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9" w:lineRule="exact"/>
        <w:rPr>
          <w:sz w:val="20"/>
          <w:szCs w:val="20"/>
          <w:color w:val="auto"/>
        </w:rPr>
      </w:pPr>
    </w:p>
    <w:p>
      <w:pPr>
        <w:ind w:left="1840" w:right="520" w:hanging="1170"/>
        <w:spacing w:after="0" w:line="501" w:lineRule="auto"/>
        <w:tabs>
          <w:tab w:leader="none" w:pos="1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2004</w:t>
      </w: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840" w:hanging="1133"/>
        <w:spacing w:after="0"/>
        <w:tabs>
          <w:tab w:leader="none" w:pos="18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80"/>
          </w:cols>
          <w:pgMar w:left="240" w:top="122" w:right="379" w:bottom="1440" w:gutter="0" w:footer="0" w:header="0"/>
        </w:sectPr>
      </w:pPr>
    </w:p>
    <w:p>
      <w:pPr>
        <w:spacing w:after="0" w:line="248" w:lineRule="exact"/>
        <w:rPr>
          <w:sz w:val="20"/>
          <w:szCs w:val="20"/>
          <w:color w:val="auto"/>
        </w:rPr>
      </w:pPr>
    </w:p>
    <w:p>
      <w:pPr>
        <w:ind w:left="184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Commission file number 1-12154</w:t>
      </w:r>
    </w:p>
    <w:p>
      <w:pPr>
        <w:sectPr>
          <w:pgSz w:w="11900" w:h="16838" w:orient="portrait"/>
          <w:cols w:equalWidth="0" w:num="1">
            <w:col w:w="11280"/>
          </w:cols>
          <w:pgMar w:left="240" w:top="122" w:right="379" w:bottom="1440" w:gutter="0" w:footer="0" w:header="0"/>
          <w:type w:val="continuous"/>
        </w:sect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39"/>
          <w:szCs w:val="39"/>
          <w:b w:val="1"/>
          <w:bCs w:val="1"/>
          <w:color w:val="auto"/>
        </w:rPr>
        <w:t>Waste Management, Inc.</w:t>
      </w: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80"/>
          </w:cols>
          <w:pgMar w:left="240" w:top="122" w:right="379" w:bottom="1440" w:gutter="0" w:footer="0" w:header="0"/>
          <w:type w:val="continuous"/>
        </w:sectPr>
      </w:pPr>
    </w:p>
    <w:p>
      <w:pPr>
        <w:spacing w:after="0" w:line="21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0"/>
          <w:szCs w:val="20"/>
          <w:color w:val="auto"/>
        </w:rPr>
      </w:pPr>
    </w:p>
    <w:p>
      <w:pPr>
        <w:ind w:left="218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73-1309529</w:t>
      </w:r>
    </w:p>
    <w:p>
      <w:pPr>
        <w:spacing w:after="0" w:line="21"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w:t>
      </w:r>
    </w:p>
    <w:p>
      <w:pPr>
        <w:spacing w:after="0" w:line="32"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0"/>
          <w:szCs w:val="20"/>
          <w:color w:val="auto"/>
        </w:rPr>
      </w:pPr>
    </w:p>
    <w:p>
      <w:pPr>
        <w:sectPr>
          <w:pgSz w:w="11900" w:h="16838" w:orient="portrait"/>
          <w:cols w:equalWidth="0" w:num="2">
            <w:col w:w="7760" w:space="720"/>
            <w:col w:w="2800"/>
          </w:cols>
          <w:pgMar w:left="240" w:top="122" w:right="379" w:bottom="1440" w:gutter="0" w:footer="0" w:header="0"/>
          <w:type w:val="continuous"/>
        </w:sectPr>
      </w:pP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1001 Fannin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Suite 4000</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(713) 512-6200</w:t>
      </w: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52" w:lineRule="exact"/>
        <w:rPr>
          <w:sz w:val="20"/>
          <w:szCs w:val="20"/>
          <w:color w:val="auto"/>
        </w:rPr>
      </w:pPr>
    </w:p>
    <w:p>
      <w:pPr>
        <w:ind w:right="320" w:firstLine="27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280"/>
          </w:cols>
          <w:pgMar w:left="240" w:top="122" w:right="379" w:bottom="1440" w:gutter="0" w:footer="0" w:header="0"/>
          <w:type w:val="continuous"/>
        </w:sect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Securities Exchange Act of 1934.)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 o</w:t>
      </w:r>
    </w:p>
    <w:p>
      <w:pPr>
        <w:spacing w:after="0" w:line="200" w:lineRule="exact"/>
        <w:rPr>
          <w:sz w:val="20"/>
          <w:szCs w:val="20"/>
          <w:color w:val="auto"/>
        </w:rPr>
      </w:pPr>
    </w:p>
    <w:p>
      <w:pPr>
        <w:sectPr>
          <w:pgSz w:w="11900" w:h="16838" w:orient="portrait"/>
          <w:cols w:equalWidth="0" w:num="3">
            <w:col w:w="9820" w:space="220"/>
            <w:col w:w="460" w:space="440"/>
            <w:col w:w="340"/>
          </w:cols>
          <w:pgMar w:left="240" w:top="122" w:right="379" w:bottom="1440" w:gutter="0" w:footer="0" w:header="0"/>
          <w:type w:val="continuous"/>
        </w:sectPr>
      </w:pPr>
    </w:p>
    <w:p>
      <w:pPr>
        <w:spacing w:after="0" w:line="75"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July 26, 2004 was 579,867,019 (excluding treasury shares of 50,415,442).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spacing w:after="0" w:line="230" w:lineRule="auto"/>
        <w:rPr>
          <w:rFonts w:ascii="Arial" w:cs="Arial" w:eastAsia="Arial" w:hAnsi="Arial"/>
          <w:sz w:val="22"/>
          <w:szCs w:val="22"/>
          <w:u w:val="single" w:color="auto"/>
          <w:color w:val="0000EE"/>
        </w:rPr>
      </w:pPr>
      <w:hyperlink w:anchor="page51">
        <w:r>
          <w:rPr>
            <w:rFonts w:ascii="Arial" w:cs="Arial" w:eastAsia="Arial" w:hAnsi="Arial"/>
            <w:sz w:val="22"/>
            <w:szCs w:val="22"/>
            <w:u w:val="single" w:color="auto"/>
            <w:color w:val="0000EE"/>
          </w:rPr>
          <w:t>SIGNATURES</w:t>
        </w:r>
      </w:hyperlink>
    </w:p>
    <w:p>
      <w:pPr>
        <w:spacing w:after="0" w:line="1" w:lineRule="exact"/>
        <w:rPr>
          <w:sz w:val="20"/>
          <w:szCs w:val="20"/>
          <w:color w:val="auto"/>
        </w:rPr>
      </w:pPr>
    </w:p>
    <w:p>
      <w:pPr>
        <w:ind w:right="4799"/>
        <w:spacing w:after="0" w:line="273" w:lineRule="auto"/>
        <w:rPr>
          <w:sz w:val="20"/>
          <w:szCs w:val="20"/>
          <w:color w:val="auto"/>
        </w:rPr>
      </w:pPr>
      <w:r>
        <w:rPr>
          <w:rFonts w:ascii="Arial" w:cs="Arial" w:eastAsia="Arial" w:hAnsi="Arial"/>
          <w:sz w:val="19"/>
          <w:szCs w:val="19"/>
          <w:u w:val="single" w:color="auto"/>
          <w:color w:val="0000EE"/>
        </w:rPr>
        <w:t>Employment Agreement - Cherie C. Rice Employment Agreement - Greg A. Robertson Computation of Ratio of Earnings to Fixed Charges Certification of CEO Pursuant to Section 302 Certification of Sr.VP and CFO Pursuant to Section 302 Certification of CEO Pursuant to Section 906 Certification of Sr.VP and CFO Pursuant to 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113030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ASSETS</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June 30,</w:t>
            </w:r>
          </w:p>
        </w:tc>
        <w:tc>
          <w:tcPr>
            <w:tcW w:w="260" w:type="dxa"/>
            <w:vAlign w:val="bottom"/>
          </w:tcPr>
          <w:p>
            <w:pPr>
              <w:spacing w:after="0"/>
              <w:rPr>
                <w:sz w:val="14"/>
                <w:szCs w:val="14"/>
                <w:color w:val="auto"/>
              </w:rPr>
            </w:pPr>
          </w:p>
        </w:tc>
        <w:tc>
          <w:tcPr>
            <w:tcW w:w="17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52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520" w:type="dxa"/>
            <w:vAlign w:val="bottom"/>
            <w:gridSpan w:val="4"/>
          </w:tcPr>
          <w:p>
            <w:pPr>
              <w:ind w:left="40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5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Accounts receivable, net of allowance for doubtful accounts of $56 and</w:t>
            </w: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$58, respectively</w:t>
            </w:r>
          </w:p>
        </w:tc>
        <w:tc>
          <w:tcPr>
            <w:tcW w:w="50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1,592</w:t>
            </w:r>
          </w:p>
        </w:tc>
        <w:tc>
          <w:tcPr>
            <w:tcW w:w="5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1,494</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Notes and other receivables</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Parts and supplies</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208</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3,121</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4"/>
              </w:rPr>
              <w:t>Property and equipment, net of accumulated depreciation and amortization</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of $10,046 and $9,553, respectively</w:t>
            </w:r>
          </w:p>
        </w:tc>
        <w:tc>
          <w:tcPr>
            <w:tcW w:w="5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11,325</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5,314</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5,266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1,308</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1,235</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21,230</w:t>
            </w:r>
          </w:p>
        </w:tc>
        <w:tc>
          <w:tcPr>
            <w:tcW w:w="52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20,738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gridSpan w:val="5"/>
            <w:shd w:val="clear" w:color="auto" w:fill="EEEEEE"/>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677</w:t>
            </w:r>
          </w:p>
        </w:tc>
        <w:tc>
          <w:tcPr>
            <w:tcW w:w="52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1,685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Deferred revenues</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442</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3,579</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7,947</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1,727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Landfill and environmental remediation liabilities</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1,161</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15,204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14,925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Common stock, $0.01 par value; 1,500,000,000 shares authorized;</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630,282,461 shares issued</w:t>
            </w:r>
          </w:p>
        </w:tc>
        <w:tc>
          <w:tcPr>
            <w:tcW w:w="5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4,486</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4,501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2,647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20"/>
              <w:spacing w:after="0"/>
              <w:rPr>
                <w:sz w:val="20"/>
                <w:szCs w:val="20"/>
                <w:color w:val="auto"/>
              </w:rPr>
            </w:pPr>
            <w:r>
              <w:rPr>
                <w:rFonts w:ascii="Arial" w:cs="Arial" w:eastAsia="Arial" w:hAnsi="Arial"/>
                <w:sz w:val="18"/>
                <w:szCs w:val="18"/>
                <w:color w:val="auto"/>
              </w:rPr>
              <w:t>Restricted stock unearned compensation</w:t>
            </w:r>
          </w:p>
        </w:tc>
        <w:tc>
          <w:tcPr>
            <w:tcW w:w="50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4"/>
              </w:rPr>
              <w:t>Treasury stock at cost, 50,308,222 and 54,164,336 shares, respectively</w:t>
            </w:r>
          </w:p>
        </w:tc>
        <w:tc>
          <w:tcPr>
            <w:tcW w:w="5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w w:val="94"/>
              </w:rPr>
              <w:t>(1,299)</w:t>
            </w: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87"/>
              </w:rPr>
              <w:t>(1,388)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stockholders’ equity</w:t>
            </w:r>
          </w:p>
        </w:tc>
        <w:tc>
          <w:tcPr>
            <w:tcW w:w="5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5,758</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5,563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21,230</w:t>
            </w:r>
          </w:p>
        </w:tc>
        <w:tc>
          <w:tcPr>
            <w:tcW w:w="52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20,738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419" w:right="1379" w:bottom="0" w:gutter="0" w:footer="0" w:header="0"/>
        </w:sectPr>
      </w:pP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10280"/>
          </w:cols>
          <w:pgMar w:left="240" w:top="419" w:right="1379" w:bottom="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3,138</w:t>
            </w:r>
          </w:p>
        </w:tc>
        <w:tc>
          <w:tcPr>
            <w:tcW w:w="16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2,934</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6,034</w:t>
            </w: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5,666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Operating (exclusive of depreciation and amortization shown below)</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3,715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633</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Restructuring</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Asset impairments and unusual items</w:t>
            </w:r>
          </w:p>
        </w:tc>
        <w:tc>
          <w:tcPr>
            <w:tcW w:w="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2,549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5,002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Equity in earnings (losses) of unconsolidated entities</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w w:val="98"/>
              </w:rPr>
              <w:t>Income before cumulative effect of changes in accounting principles and income</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taxes</w:t>
            </w:r>
          </w:p>
        </w:tc>
        <w:tc>
          <w:tcPr>
            <w:tcW w:w="3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w w:val="94"/>
              </w:rPr>
              <w:t>Cumulative effect of changes in accounting principles, net of income tax expense of</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6"/>
              </w:rPr>
              <w:t>$5 for the six months ended June 30, 2004 and income tax benefit of $31 for the</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six months ended June 30, 2003</w:t>
            </w:r>
          </w:p>
        </w:tc>
        <w:tc>
          <w:tcPr>
            <w:tcW w:w="32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0.30</w:t>
            </w:r>
          </w:p>
        </w:tc>
        <w:tc>
          <w:tcPr>
            <w:tcW w:w="320" w:type="dxa"/>
            <w:vAlign w:val="bottom"/>
          </w:tcPr>
          <w:p>
            <w:pPr>
              <w:spacing w:after="0"/>
              <w:rPr>
                <w:sz w:val="18"/>
                <w:szCs w:val="18"/>
                <w:color w:val="auto"/>
              </w:rPr>
            </w:pPr>
          </w:p>
        </w:tc>
        <w:tc>
          <w:tcPr>
            <w:tcW w:w="64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0.40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8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0.30</w:t>
            </w:r>
          </w:p>
        </w:tc>
        <w:tc>
          <w:tcPr>
            <w:tcW w:w="320" w:type="dxa"/>
            <w:vAlign w:val="bottom"/>
          </w:tcPr>
          <w:p>
            <w:pPr>
              <w:spacing w:after="0"/>
              <w:rPr>
                <w:sz w:val="18"/>
                <w:szCs w:val="18"/>
                <w:color w:val="auto"/>
              </w:rPr>
            </w:pPr>
          </w:p>
        </w:tc>
        <w:tc>
          <w:tcPr>
            <w:tcW w:w="64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0.40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Cash dividends per common share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Six Months Ended</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2004</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368</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activities:</w:t>
            </w:r>
          </w:p>
        </w:tc>
        <w:tc>
          <w:tcPr>
            <w:tcW w:w="6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Cumulative effect of changes in accounting principles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Provision for bad debts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673</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 income tax provision</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Minority interest</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5"/>
              </w:rPr>
              <w:t>Equity in losses (earnings) of unconsolidated entities, net of distributions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Net gain on disposal of assets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Effect of asset impairments and unusual items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(18)</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w w:val="92"/>
              </w:rPr>
              <w:t>Change in operating assets and liabilities, net of effects of acquisitions and</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620"/>
              <w:spacing w:after="0"/>
              <w:rPr>
                <w:sz w:val="20"/>
                <w:szCs w:val="20"/>
                <w:color w:val="auto"/>
              </w:rPr>
            </w:pPr>
            <w:r>
              <w:rPr>
                <w:rFonts w:ascii="Arial" w:cs="Arial" w:eastAsia="Arial" w:hAnsi="Arial"/>
                <w:sz w:val="18"/>
                <w:szCs w:val="18"/>
                <w:color w:val="auto"/>
              </w:rPr>
              <w:t>divestitures:</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EEEEEE"/>
          </w:tcPr>
          <w:p>
            <w:pPr>
              <w:ind w:left="740"/>
              <w:spacing w:after="0"/>
              <w:rPr>
                <w:sz w:val="20"/>
                <w:szCs w:val="20"/>
                <w:color w:val="auto"/>
              </w:rPr>
            </w:pPr>
            <w:r>
              <w:rPr>
                <w:rFonts w:ascii="Arial" w:cs="Arial" w:eastAsia="Arial" w:hAnsi="Arial"/>
                <w:sz w:val="18"/>
                <w:szCs w:val="18"/>
                <w:color w:val="auto"/>
              </w:rPr>
              <w:t>Receivables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740"/>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(10)</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740"/>
              <w:spacing w:after="0"/>
              <w:rPr>
                <w:sz w:val="20"/>
                <w:szCs w:val="20"/>
                <w:color w:val="auto"/>
              </w:rPr>
            </w:pPr>
            <w:r>
              <w:rPr>
                <w:rFonts w:ascii="Arial" w:cs="Arial" w:eastAsia="Arial" w:hAnsi="Arial"/>
                <w:sz w:val="18"/>
                <w:szCs w:val="18"/>
                <w:color w:val="auto"/>
              </w:rPr>
              <w:t>Accounts payable and accrued liabilities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740"/>
              <w:spacing w:after="0"/>
              <w:rPr>
                <w:sz w:val="20"/>
                <w:szCs w:val="20"/>
                <w:color w:val="auto"/>
              </w:rPr>
            </w:pPr>
            <w:r>
              <w:rPr>
                <w:rFonts w:ascii="Arial" w:cs="Arial" w:eastAsia="Arial" w:hAnsi="Arial"/>
                <w:sz w:val="18"/>
                <w:szCs w:val="18"/>
                <w:color w:val="auto"/>
              </w:rPr>
              <w:t>Deferred revenues and other liabilities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1,019</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1,073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w w:val="91"/>
              </w:rPr>
              <w:t>Proceeds from divestitures of businesses, net of cash divested, and other sales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of assets</w:t>
            </w: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receipts from restricted funds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New borrowings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Debt repayments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Minority interest distributions paid</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(18)</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Common stock repurchases</w:t>
            </w:r>
          </w:p>
        </w:tc>
        <w:tc>
          <w:tcPr>
            <w:tcW w:w="6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Exercise of common stock options and warrants</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(53)</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336</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Borders>
              <w:bottom w:val="single" w:sz="8" w:color="EEEEEE"/>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553</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shd w:val="clear" w:color="auto" w:fill="EEEEEE"/>
          </w:tcPr>
          <w:p>
            <w:pPr>
              <w:spacing w:after="0"/>
              <w:rPr>
                <w:sz w:val="5"/>
                <w:szCs w:val="5"/>
                <w:color w:val="auto"/>
              </w:rPr>
            </w:pPr>
          </w:p>
        </w:tc>
        <w:tc>
          <w:tcPr>
            <w:tcW w:w="60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80"/>
          </w:cols>
          <w:pgMar w:left="240" w:top="419" w:right="1379" w:bottom="1139"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139"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4"/>
                <w:szCs w:val="14"/>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Restricted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200"/>
              <w:spacing w:after="0"/>
              <w:rPr>
                <w:sz w:val="20"/>
                <w:szCs w:val="20"/>
                <w:color w:val="auto"/>
              </w:rPr>
            </w:pPr>
            <w:r>
              <w:rPr>
                <w:rFonts w:ascii="Arial" w:cs="Arial" w:eastAsia="Arial" w:hAnsi="Arial"/>
                <w:sz w:val="14"/>
                <w:szCs w:val="14"/>
                <w:b w:val="1"/>
                <w:bCs w:val="1"/>
                <w:color w:val="auto"/>
                <w:w w:val="83"/>
              </w:rPr>
              <w:t>Common Stock</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5"/>
                <w:szCs w:val="15"/>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5"/>
                <w:szCs w:val="15"/>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10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240" w:type="dxa"/>
            <w:vAlign w:val="bottom"/>
            <w:vMerge w:val="restart"/>
          </w:tcPr>
          <w:p>
            <w:pPr>
              <w:spacing w:after="0"/>
              <w:rPr>
                <w:sz w:val="8"/>
                <w:szCs w:val="8"/>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Retained</w:t>
            </w:r>
          </w:p>
        </w:tc>
        <w:tc>
          <w:tcPr>
            <w:tcW w:w="24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240" w:type="dxa"/>
            <w:vAlign w:val="bottom"/>
            <w:vMerge w:val="restart"/>
          </w:tcPr>
          <w:p>
            <w:pPr>
              <w:spacing w:after="0"/>
              <w:rPr>
                <w:sz w:val="8"/>
                <w:szCs w:val="8"/>
                <w:color w:val="auto"/>
              </w:rPr>
            </w:pPr>
          </w:p>
        </w:tc>
        <w:tc>
          <w:tcPr>
            <w:tcW w:w="12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6"/>
              </w:rPr>
              <w:t>Unearned</w:t>
            </w: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6"/>
                <w:szCs w:val="16"/>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79"/>
              </w:rPr>
              <w:t>Loss</w:t>
            </w:r>
          </w:p>
        </w:tc>
        <w:tc>
          <w:tcPr>
            <w:tcW w:w="240" w:type="dxa"/>
            <w:vAlign w:val="bottom"/>
          </w:tcPr>
          <w:p>
            <w:pPr>
              <w:spacing w:after="0"/>
              <w:rPr>
                <w:sz w:val="16"/>
                <w:szCs w:val="16"/>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2003</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630,282</w:t>
            </w:r>
          </w:p>
        </w:tc>
        <w:tc>
          <w:tcPr>
            <w:tcW w:w="160" w:type="dxa"/>
            <w:vAlign w:val="bottom"/>
            <w:shd w:val="clear" w:color="auto" w:fill="EEEEEE"/>
          </w:tcPr>
          <w:p>
            <w:pPr>
              <w:spacing w:after="0"/>
              <w:rPr>
                <w:sz w:val="18"/>
                <w:szCs w:val="18"/>
                <w:color w:val="auto"/>
              </w:rPr>
            </w:pPr>
          </w:p>
        </w:tc>
        <w:tc>
          <w:tcPr>
            <w:tcW w:w="36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$4,501</w:t>
            </w:r>
          </w:p>
        </w:tc>
        <w:tc>
          <w:tcPr>
            <w:tcW w:w="3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$2,497</w:t>
            </w:r>
          </w:p>
        </w:tc>
        <w:tc>
          <w:tcPr>
            <w:tcW w:w="18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(54,164)</w:t>
            </w:r>
          </w:p>
        </w:tc>
        <w:tc>
          <w:tcPr>
            <w:tcW w:w="11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dividends</w:t>
            </w:r>
          </w:p>
        </w:tc>
        <w:tc>
          <w:tcPr>
            <w:tcW w:w="2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Common stock issued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upon exercise of stock</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w w:val="99"/>
              </w:rPr>
              <w:t>options and warrants and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grants of restricted stock,</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including tax benefit of</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6,909</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Earned compensation</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related to restricted stock</w:t>
            </w:r>
          </w:p>
        </w:tc>
        <w:tc>
          <w:tcPr>
            <w:tcW w:w="2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repurchases</w:t>
            </w:r>
          </w:p>
        </w:tc>
        <w:tc>
          <w:tcPr>
            <w:tcW w:w="2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(3,087)</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Unrealized loss resulting</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from changes in fair</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values of derivative</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instruments, net of tax</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benefit of $6</w:t>
            </w:r>
          </w:p>
        </w:tc>
        <w:tc>
          <w:tcPr>
            <w:tcW w:w="2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(9)</w:t>
            </w: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Realized losses on</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reclassified into</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earnings, net of tax</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auto"/>
              </w:rPr>
              <w:t>benefit of $3</w:t>
            </w:r>
          </w:p>
        </w:tc>
        <w:tc>
          <w:tcPr>
            <w:tcW w:w="2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Translation adjustment of</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foreign currency</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statements</w:t>
            </w:r>
          </w:p>
        </w:tc>
        <w:tc>
          <w:tcPr>
            <w:tcW w:w="2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60" w:type="dxa"/>
            <w:vAlign w:val="bottom"/>
            <w:gridSpan w:val="3"/>
            <w:shd w:val="clear" w:color="auto" w:fill="EEEEEE"/>
          </w:tcPr>
          <w:p>
            <w:pPr>
              <w:jc w:val="right"/>
              <w:ind w:right="600"/>
              <w:spacing w:after="0"/>
              <w:rPr>
                <w:sz w:val="20"/>
                <w:szCs w:val="20"/>
                <w:color w:val="auto"/>
              </w:rPr>
            </w:pPr>
            <w:r>
              <w:rPr>
                <w:rFonts w:ascii="Arial" w:cs="Arial" w:eastAsia="Arial" w:hAnsi="Arial"/>
                <w:sz w:val="18"/>
                <w:szCs w:val="18"/>
                <w:color w:val="auto"/>
                <w:w w:val="77"/>
              </w:rPr>
              <w:t>—</w:t>
            </w:r>
          </w:p>
        </w:tc>
        <w:tc>
          <w:tcPr>
            <w:tcW w:w="26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00"/>
              <w:spacing w:after="0"/>
              <w:rPr>
                <w:sz w:val="20"/>
                <w:szCs w:val="20"/>
                <w:color w:val="auto"/>
              </w:rPr>
            </w:pPr>
            <w:r>
              <w:rPr>
                <w:rFonts w:ascii="Arial" w:cs="Arial" w:eastAsia="Arial" w:hAnsi="Arial"/>
                <w:sz w:val="18"/>
                <w:szCs w:val="18"/>
                <w:color w:val="auto"/>
                <w:w w:val="77"/>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808080"/>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120" w:type="dxa"/>
            <w:vAlign w:val="bottom"/>
            <w:tcBorders>
              <w:bottom w:val="single" w:sz="8" w:color="EEEEEE"/>
              <w:right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right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120" w:type="dxa"/>
            <w:vAlign w:val="bottom"/>
            <w:tcBorders>
              <w:right w:val="single" w:sz="8" w:color="EEEEEE"/>
            </w:tcBorders>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6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Balance, June 30, 2004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630,282</w:t>
            </w:r>
          </w:p>
        </w:tc>
        <w:tc>
          <w:tcPr>
            <w:tcW w:w="1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$4,486</w:t>
            </w: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$2,647</w:t>
            </w:r>
          </w:p>
        </w:tc>
        <w:tc>
          <w:tcPr>
            <w:tcW w:w="180" w:type="dxa"/>
            <w:vAlign w:val="bottom"/>
          </w:tcPr>
          <w:p>
            <w:pPr>
              <w:spacing w:after="0"/>
              <w:rPr>
                <w:sz w:val="18"/>
                <w:szCs w:val="18"/>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8"/>
                <w:szCs w:val="18"/>
                <w:color w:val="auto"/>
              </w:rPr>
              <w:t>$(78)</w:t>
            </w:r>
          </w:p>
        </w:tc>
        <w:tc>
          <w:tcPr>
            <w:tcW w:w="1200" w:type="dxa"/>
            <w:vAlign w:val="bottom"/>
            <w:gridSpan w:val="4"/>
          </w:tcPr>
          <w:p>
            <w:pPr>
              <w:jc w:val="right"/>
              <w:ind w:right="280"/>
              <w:spacing w:after="0"/>
              <w:rPr>
                <w:sz w:val="20"/>
                <w:szCs w:val="20"/>
                <w:color w:val="auto"/>
              </w:rPr>
            </w:pPr>
            <w:r>
              <w:rPr>
                <w:rFonts w:ascii="Arial" w:cs="Arial" w:eastAsia="Arial" w:hAnsi="Arial"/>
                <w:sz w:val="18"/>
                <w:szCs w:val="18"/>
                <w:color w:val="auto"/>
              </w:rPr>
              <w:t>$ (4)</w:t>
            </w:r>
          </w:p>
        </w:tc>
        <w:tc>
          <w:tcPr>
            <w:tcW w:w="2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(50,308)</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2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120" w:type="dxa"/>
            <w:vAlign w:val="bottom"/>
            <w:tcBorders>
              <w:right w:val="single" w:sz="8" w:color="808080"/>
            </w:tcBorders>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60" w:type="dxa"/>
            <w:vAlign w:val="bottom"/>
            <w:tcBorders>
              <w:right w:val="single" w:sz="8" w:color="808080"/>
            </w:tcBorders>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2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tcBorders>
              <w:right w:val="single" w:sz="8" w:color="EEEEEE"/>
            </w:tcBorders>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-104140</wp:posOffset>
            </wp:positionV>
            <wp:extent cx="11557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The condensed financial statements presented herein represent the consolidation of Waste Management, Inc., a Delaware corporation, its majority-owned subsidiaries and entities required to be consolidated pursuant to the Financial Accounting Standards Board (“FASB”) Interpretation No. 46, </w:t>
      </w:r>
      <w:r>
        <w:rPr>
          <w:rFonts w:ascii="Arial" w:cs="Arial" w:eastAsia="Arial" w:hAnsi="Arial"/>
          <w:sz w:val="16"/>
          <w:szCs w:val="16"/>
          <w:i w:val="1"/>
          <w:iCs w:val="1"/>
          <w:color w:val="auto"/>
        </w:rPr>
        <w:t>Consolidation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Variable Interest Entities </w:t>
      </w:r>
      <w:r>
        <w:rPr>
          <w:rFonts w:ascii="Arial" w:cs="Arial" w:eastAsia="Arial" w:hAnsi="Arial"/>
          <w:sz w:val="16"/>
          <w:szCs w:val="16"/>
          <w:color w:val="auto"/>
        </w:rPr>
        <w:t>(“FIN 46”) (see Note 9). Waste Management, Inc. is a holding company that conducts all of its operations through its subsidiaries.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“the Company,” “we,” “us” or “our” are used in this document, those terms refer to Waste Management, Inc. and all of its consolidated subsidiaries. When we use the term “WMI,” we are referring only to the parent holding company.</w:t>
      </w:r>
    </w:p>
    <w:p>
      <w:pPr>
        <w:spacing w:after="0" w:line="19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condensed consolidated financial statements as of and for the three and six months ended June 30, 2004 are unaudited. In the opinion of management, these financial statements include all adjustments, which, except as described elsewhere herein,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2003.</w:t>
      </w:r>
    </w:p>
    <w:p>
      <w:pPr>
        <w:spacing w:after="0" w:line="224" w:lineRule="exact"/>
        <w:rPr>
          <w:sz w:val="20"/>
          <w:szCs w:val="20"/>
          <w:color w:val="auto"/>
        </w:rPr>
      </w:pPr>
    </w:p>
    <w:p>
      <w:pPr>
        <w:ind w:right="440" w:firstLine="324"/>
        <w:spacing w:after="0" w:line="294"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assets, liabilities, stockholders’ equity, revenues and expenses. We must make these estimates and assumptions because certain of the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w:t>
      </w:r>
    </w:p>
    <w:p>
      <w:pPr>
        <w:spacing w:after="0" w:line="197"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i w:val="1"/>
          <w:iCs w:val="1"/>
          <w:color w:val="auto"/>
        </w:rPr>
        <w:t xml:space="preserve">Accounting change — </w:t>
      </w:r>
      <w:r>
        <w:rPr>
          <w:rFonts w:ascii="Arial" w:cs="Arial" w:eastAsia="Arial" w:hAnsi="Arial"/>
          <w:sz w:val="16"/>
          <w:szCs w:val="16"/>
          <w:color w:val="auto"/>
        </w:rPr>
        <w:t>The FASB’s December 2003 revision to FIN 46 deferred until March 31, 2004 our application of the Interpretation to non-special</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type variable interest entities created on or before January 31, 2003. Our application of FIN 46 to this type of entity resulted in the consolidation of certain trusts established to support the performance of closure, post-closure and environmental remediation activities. On March 31, 2004, we recorded an increase in our net assets and a credit to cumulative effect of changes in accounting principles of approximately $8 million, net of taxes, to consolidate these variable interest entities. The consolidation of these trusts has not had, nor is it expected to have, a material effect on our financial position, results of operations or cash flows. The impact of our implementation of FIN 46 is discussed further in Note 9.</w:t>
      </w:r>
    </w:p>
    <w:p>
      <w:pPr>
        <w:spacing w:after="0" w:line="201" w:lineRule="exact"/>
        <w:rPr>
          <w:sz w:val="20"/>
          <w:szCs w:val="20"/>
          <w:color w:val="auto"/>
        </w:rPr>
      </w:pPr>
    </w:p>
    <w:p>
      <w:pPr>
        <w:ind w:right="60" w:firstLine="324"/>
        <w:spacing w:after="0" w:line="303" w:lineRule="auto"/>
        <w:rPr>
          <w:sz w:val="20"/>
          <w:szCs w:val="20"/>
          <w:color w:val="auto"/>
        </w:rPr>
      </w:pPr>
      <w:r>
        <w:rPr>
          <w:rFonts w:ascii="Arial" w:cs="Arial" w:eastAsia="Arial" w:hAnsi="Arial"/>
          <w:sz w:val="15"/>
          <w:szCs w:val="15"/>
          <w:color w:val="auto"/>
        </w:rPr>
        <w:t xml:space="preserve">In the first quarter of 2003, we recorded a $46 million, net of tax, cumulative effect of changes in accounting principles for the adoption of the (i) Statement of Financial Accounting Standards (“SFAS”) No. 143, </w:t>
      </w:r>
      <w:r>
        <w:rPr>
          <w:rFonts w:ascii="Arial" w:cs="Arial" w:eastAsia="Arial" w:hAnsi="Arial"/>
          <w:sz w:val="15"/>
          <w:szCs w:val="15"/>
          <w:i w:val="1"/>
          <w:iCs w:val="1"/>
          <w:color w:val="auto"/>
        </w:rPr>
        <w:t>Accounting for Asset Retirement Obligations;</w:t>
      </w:r>
      <w:r>
        <w:rPr>
          <w:rFonts w:ascii="Arial" w:cs="Arial" w:eastAsia="Arial" w:hAnsi="Arial"/>
          <w:sz w:val="15"/>
          <w:szCs w:val="15"/>
          <w:color w:val="auto"/>
        </w:rPr>
        <w:t xml:space="preserve"> (ii) a change in our accounting for major repairs and maintenance expenditures and deferred costs associated with annual plant outages at our waste-to-energy facilities and independent power production plants; and</w:t>
      </w:r>
    </w:p>
    <w:p>
      <w:pPr>
        <w:spacing w:after="0" w:line="1" w:lineRule="exact"/>
        <w:rPr>
          <w:sz w:val="20"/>
          <w:szCs w:val="20"/>
          <w:color w:val="auto"/>
        </w:rPr>
      </w:pPr>
    </w:p>
    <w:p>
      <w:pPr>
        <w:ind w:right="120" w:firstLine="8"/>
        <w:spacing w:after="0" w:line="255"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accounting for future losses under customer contracts that over the contract life are projected to have direct costs greater than revenues. These accounting changes do not affect the comparability of our financial position or income before cumulative effect of changes in accounting principles as presented herein.</w:t>
      </w:r>
    </w:p>
    <w:p>
      <w:pPr>
        <w:spacing w:after="0" w:line="225"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As a result of internal review processes, we identified certain mandatory fees and taxes that have historically been treated as pass-through costs that actually represent direct obligations of the Company. Effective January 1, 2004, we began recording all mandatory fees and taxes that create direct obligations for us as operating expenses and recording revenue when the fees and taxes are billed to our customers. We have conformed the prior year’s presentation of our revenues and expenses with the current year’s presentation by increasing both our revenue and our operating expenses by approximately $19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2003 and by approximately $35 million for the six months ended June 30, 2003.</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Through our internal review processes, we also determined that certain cash accounts with negative balances and no legal right of offset had been included in cash and cash equivalents on our balance sheet in prior periods. As a result, we have increased both our cash and cash equivalents and accounts payable balances at December 31, 2003 by approximately $82 million to properly reflect our gross cash balances and current liabilities. We determined that these changes in our accounts payable balances during each reporting period should be treated as financing activities within the statement of cash flows. Accordingly, the $25 million decrease in the amount payable (from $95 million at December 31, 2002 to $70 million at June 30, 2003) has been reflected as a component of other within cash used in financing activities for the six months ended June 30, 2003.</w:t>
      </w:r>
    </w:p>
    <w:p>
      <w:pPr>
        <w:spacing w:after="0" w:line="20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various investments in unconsolidated entities that we account for using the equity method. Our equity in the earnings of these entities has historically been presented as a component of other income in our statements of operations and the related cash flow impact has been reflected as a component of the change in other assets within our statements of cash flows. As a result of investments we made during the first and second quarters of 2004, as described in Note 4, this activity has become a more significant component of our net income and operating cash flow activity. Accordingly, we have shown equity in the earnings and losses of unconsolidated entities as a separate component within our statement of operations and equity in earnings and losses of unconsolidated entities, net of distributions, as a separate component of cash provided by operating activities. Prior periods have been reclassified to conform to the current periods’ presentation.</w:t>
      </w:r>
    </w:p>
    <w:p>
      <w:pPr>
        <w:spacing w:after="0" w:line="200" w:lineRule="exact"/>
        <w:rPr>
          <w:sz w:val="20"/>
          <w:szCs w:val="20"/>
          <w:color w:val="auto"/>
        </w:rPr>
      </w:pPr>
    </w:p>
    <w:p>
      <w:pPr>
        <w:spacing w:after="0" w:line="238" w:lineRule="exact"/>
        <w:rPr>
          <w:sz w:val="20"/>
          <w:szCs w:val="20"/>
          <w:color w:val="auto"/>
        </w:rPr>
      </w:pPr>
    </w:p>
    <w:p>
      <w:pPr>
        <w:ind w:left="360" w:right="7140" w:hanging="352"/>
        <w:spacing w:after="0" w:line="535" w:lineRule="auto"/>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Landfill and Environmental Remediation Liabilities </w:t>
      </w:r>
      <w:r>
        <w:rPr>
          <w:rFonts w:ascii="Arial" w:cs="Arial" w:eastAsia="Arial" w:hAnsi="Arial"/>
          <w:sz w:val="18"/>
          <w:szCs w:val="18"/>
          <w:b w:val="1"/>
          <w:bCs w:val="1"/>
          <w:i w:val="1"/>
          <w:iCs w:val="1"/>
          <w:color w:val="auto"/>
        </w:rPr>
        <w:t>Landfill</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material financial commitments at our landfills for final capping, closure and post-closure activities, as described below:</w:t>
      </w:r>
    </w:p>
    <w:p>
      <w:pPr>
        <w:spacing w:after="0" w:line="225" w:lineRule="exact"/>
        <w:rPr>
          <w:sz w:val="20"/>
          <w:szCs w:val="20"/>
          <w:color w:val="auto"/>
        </w:rPr>
      </w:pPr>
    </w:p>
    <w:p>
      <w:pPr>
        <w:ind w:left="460" w:hanging="101"/>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Final capping </w:t>
      </w:r>
      <w:r>
        <w:rPr>
          <w:rFonts w:ascii="Arial" w:cs="Arial" w:eastAsia="Arial" w:hAnsi="Arial"/>
          <w:sz w:val="18"/>
          <w:szCs w:val="18"/>
          <w:color w:val="auto"/>
        </w:rPr>
        <w:t>— Involves the installation of flexible membrane and geosynthetic clay liners, drainage equipment and compacted soil layers and topsoil</w:t>
      </w:r>
      <w:r>
        <w:rPr>
          <w:rFonts w:ascii="Arial" w:cs="Arial" w:eastAsia="Arial" w:hAnsi="Arial"/>
          <w:sz w:val="18"/>
          <w:szCs w:val="18"/>
          <w:i w:val="1"/>
          <w:iCs w:val="1"/>
          <w:color w:val="auto"/>
        </w:rPr>
        <w:t xml:space="preserve"> </w:t>
      </w:r>
      <w:r>
        <w:rPr>
          <w:rFonts w:ascii="Arial" w:cs="Arial" w:eastAsia="Arial" w:hAnsi="Arial"/>
          <w:sz w:val="18"/>
          <w:szCs w:val="18"/>
          <w:color w:val="auto"/>
        </w:rPr>
        <w:t>over areas of a landfill where total airspace capacity has been consumed. Final capping asset retirement obligations are recorded on a units-of-consumption basis as airspace is consumed within each discrete capping event with a corresponding increase in the landfill asset until all airspace related to each discrete capping event has been consumed.</w:t>
      </w:r>
    </w:p>
    <w:p>
      <w:pPr>
        <w:spacing w:after="0" w:line="224" w:lineRule="exact"/>
        <w:rPr>
          <w:rFonts w:ascii="Arial" w:cs="Arial" w:eastAsia="Arial" w:hAnsi="Arial"/>
          <w:sz w:val="18"/>
          <w:szCs w:val="18"/>
          <w:color w:val="auto"/>
        </w:rPr>
      </w:pPr>
    </w:p>
    <w:p>
      <w:pPr>
        <w:ind w:left="460" w:right="20" w:hanging="101"/>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 maintenance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These are costs incurred after the site stops accepting waste, but before the landfill is certified as closed by the applicable regulatory agency. Closure obligations are accrued as an asset retirement obligation on a units-of-consumption basis as airspace is consumed over the life of the landfill with a corresponding increase in the landfill asset.</w:t>
      </w:r>
    </w:p>
    <w:p>
      <w:pPr>
        <w:spacing w:after="0" w:line="224" w:lineRule="exact"/>
        <w:rPr>
          <w:rFonts w:ascii="Arial" w:cs="Arial" w:eastAsia="Arial" w:hAnsi="Arial"/>
          <w:sz w:val="18"/>
          <w:szCs w:val="18"/>
          <w:color w:val="auto"/>
        </w:rPr>
      </w:pPr>
    </w:p>
    <w:p>
      <w:pPr>
        <w:ind w:left="460" w:right="20" w:hanging="101"/>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Post-closure </w:t>
      </w:r>
      <w:r>
        <w:rPr>
          <w:rFonts w:ascii="Arial" w:cs="Arial" w:eastAsia="Arial" w:hAnsi="Arial"/>
          <w:sz w:val="16"/>
          <w:szCs w:val="16"/>
          <w:color w:val="auto"/>
        </w:rPr>
        <w:t>— Once a landfill is certified closed by the applicable regulatory agency, we are required to maintain and monitor the site over a period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which is generally 30 years. These maintenance and monitoring costs are accrued as an asset retirement obligation on a units-of-consumption basis as airspace is consumed over the life of the landfill with a corresponding increase in the landfill asset.</w:t>
      </w:r>
    </w:p>
    <w:p>
      <w:pPr>
        <w:spacing w:after="0" w:line="18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develop our estimates of these obligations using input from our operations personnel, engineers and accountants. Our estimates are based on our interpretation of legal and regulatory requirements and are intended to approximate fair value under the provisions of SFAS No. 143. An estimate of fair value under SFAS No. 143 should include the premium that a third party would receive for bearing the uncertainty in cash outflows. However, when using discounted cash flow techniques, reliable estimates of market premiums are not available because there is no market for selling the responsibility for final capping, closure and post-closure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obligations independent of selling the landfill in its entirety. Accordingly, we do not believe that it is possible to develop a methodology to estimate a market risk premium and therefore no market risk premium is included in our determination of expected cash outflows for landfill asset retirement obligations. The specific methods used to calculate the fair value for final capping, closure and post-closure and the method of accruing for these balances are explained in detail in our Annual Report on Form 10-K for the year ended December 31, 2003.</w:t>
      </w:r>
    </w:p>
    <w:p>
      <w:pPr>
        <w:spacing w:after="0" w:line="22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inflate estimated final capping, closure and post-closure costs to the expected time of payment using an inflation rate of 2.5% and discount those expected future costs back to present value using a credit-adjusted, risk-free discount rate, which was 6.25% for liabilities incurred during the six months ended June 30, 2004. Our credit-adjusted, risk-free discount rate is based on the risk-free interest rate on obligations of similar maturity adjusted for our own credit rating. Changes in our credit-adjusted, risk-free discount rate do not change recorded liabilities, but subsequently recognized obligations are measured using the revised discount rate. We determine the inflation rate and our credit-adjusted, risk-free discount rate on an annual basis unless there have been interim changes in either rate that would significantly impact our results of operations.</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We routinely review and evaluate sites that require remediation and determine our estimated cost for the likely remedy based on several estimates and assumptions. These estimates are sometimes a range of “reasonably possible” outcomes. “Reasonably possible” outcomes are those outcomes that are considered more than remote and less than likely. In cases where our estimates are a range, we use the amount within the range that constitutes our best estimate. If no amount within the range appears to be a better estimate than any other, we use the low end of the range in accordance with SFAS No. 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and its interpretations. If we used the high ends of such ranges, our aggregate potential liability would be approximately $175 million higher on a</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discounted basis than the $325 million recorded in our condensed consolidated financial statements as of June 30, 2004.</w:t>
      </w:r>
    </w:p>
    <w:p>
      <w:pPr>
        <w:spacing w:after="0" w:line="20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of June 30, 2004, we had been notified that we are a potentially responsible party in connection with 71 locations listed on the NPL, which is the EPA’s National Priorities List. Through various acquisitions, we have come to own 16 of these sites that were initially developed by others. We are working with the government to characterize or remediate identified site problems and have either agreed with other parties on an arrangement for sharing the costs of remediation or are pursuing resolution of an allocation formula. We generally expect to receive any agreed-upon amounts due from these parties at, or near, the time that we make environmental remediation expenditures. Claims have been made against us at another 55 sites that we do not own but where we have been an operator, transporter or generator of waste. These claims are at different procedural stages under the Comprehensive Environmental Response, Compensation and Liability Act of 1980, as amended, which is known as CERCLA or Superfund. At some of these sites, our liability is well defined as a consequence of a governmental decision and an agreement among the parties involved as to the allocation of costs. At others where no remedy has been selected or the potentially responsible parties have been unable to agree on an appropriate allocation, our future costs are uncertain, and any of these matters could have a material adverse effect on our condensed consolidated financial statements.</w:t>
      </w:r>
    </w:p>
    <w:p>
      <w:pPr>
        <w:spacing w:after="0" w:line="20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Where we believe that both the amount of a particular environmental remediation liability and the timing of the payments are reliably determinable, we inflate the cost in current dollars until the expected time of payment and discount the cost to present value using a risk-free discount rate, which is based on the rate for United States Treasury bonds with a term approximating the weighted average period until settlement of the underlying obligation. As of June 30, 2004, we are using an inflation rate of 2.5% and a risk-free discount rate of 4.25% to record our estimated environmental remediation obligations. We determine the inflation rate and the risk-free discount rate on an annual basis unless there have been interim changes in either rate that would significantly impact our results of operations.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Statement Impact of Landfill and Environmental Remediation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ind w:left="340"/>
              <w:spacing w:after="0"/>
              <w:rPr>
                <w:sz w:val="20"/>
                <w:szCs w:val="20"/>
                <w:color w:val="auto"/>
              </w:rPr>
            </w:pPr>
            <w:r>
              <w:rPr>
                <w:rFonts w:ascii="Arial" w:cs="Arial" w:eastAsia="Arial" w:hAnsi="Arial"/>
                <w:sz w:val="14"/>
                <w:szCs w:val="14"/>
                <w:b w:val="1"/>
                <w:bCs w:val="1"/>
                <w:color w:val="auto"/>
              </w:rPr>
              <w:t>June 30, 2004</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ind w:left="340"/>
              <w:spacing w:after="0"/>
              <w:rPr>
                <w:sz w:val="20"/>
                <w:szCs w:val="20"/>
                <w:color w:val="auto"/>
              </w:rPr>
            </w:pPr>
            <w:r>
              <w:rPr>
                <w:rFonts w:ascii="Arial" w:cs="Arial" w:eastAsia="Arial" w:hAnsi="Arial"/>
                <w:sz w:val="14"/>
                <w:szCs w:val="14"/>
                <w:b w:val="1"/>
                <w:bCs w:val="1"/>
                <w:color w:val="auto"/>
              </w:rPr>
              <w:t>Environmental</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Environmental</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80" w:type="dxa"/>
            <w:vAlign w:val="bottom"/>
            <w:gridSpan w:val="3"/>
          </w:tcPr>
          <w:p>
            <w:pPr>
              <w:ind w:left="300"/>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5"/>
                <w:szCs w:val="15"/>
                <w:color w:val="auto"/>
              </w:rPr>
            </w:pPr>
          </w:p>
        </w:tc>
        <w:tc>
          <w:tcPr>
            <w:tcW w:w="1520" w:type="dxa"/>
            <w:vAlign w:val="bottom"/>
            <w:gridSpan w:val="3"/>
          </w:tcPr>
          <w:p>
            <w:pPr>
              <w:ind w:left="400"/>
              <w:spacing w:after="0"/>
              <w:rPr>
                <w:sz w:val="20"/>
                <w:szCs w:val="20"/>
                <w:color w:val="auto"/>
              </w:rPr>
            </w:pPr>
            <w:r>
              <w:rPr>
                <w:rFonts w:ascii="Arial" w:cs="Arial" w:eastAsia="Arial" w:hAnsi="Arial"/>
                <w:sz w:val="14"/>
                <w:szCs w:val="14"/>
                <w:b w:val="1"/>
                <w:bCs w:val="1"/>
                <w:color w:val="auto"/>
              </w:rPr>
              <w:t>Remediation</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Current (in accrued liabilities)</w:t>
            </w:r>
          </w:p>
        </w:tc>
        <w:tc>
          <w:tcPr>
            <w:tcW w:w="380" w:type="dxa"/>
            <w:vAlign w:val="bottom"/>
            <w:shd w:val="clear" w:color="auto" w:fill="EEEEEE"/>
          </w:tcPr>
          <w:p>
            <w:pPr>
              <w:ind w:left="300"/>
              <w:spacing w:after="0"/>
              <w:rPr>
                <w:sz w:val="20"/>
                <w:szCs w:val="20"/>
                <w:color w:val="auto"/>
              </w:rPr>
            </w:pPr>
            <w:r>
              <w:rPr>
                <w:rFonts w:ascii="Arial" w:cs="Arial" w:eastAsia="Arial" w:hAnsi="Arial"/>
                <w:sz w:val="15"/>
                <w:szCs w:val="15"/>
                <w:color w:val="auto"/>
                <w:w w:val="71"/>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6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6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Long-term</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268</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1,161</w:t>
            </w:r>
          </w:p>
        </w:tc>
        <w:tc>
          <w:tcPr>
            <w:tcW w:w="3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275</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62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6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1,001</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325</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1,326</w:t>
            </w:r>
          </w:p>
        </w:tc>
        <w:tc>
          <w:tcPr>
            <w:tcW w:w="3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$958</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332</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6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62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6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six months ended June 30, 2004 and 2003 are reflected in the tables below (in millions):</w:t>
      </w: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Landfill</w:t>
            </w:r>
          </w:p>
        </w:tc>
        <w:tc>
          <w:tcPr>
            <w:tcW w:w="260" w:type="dxa"/>
            <w:vAlign w:val="bottom"/>
          </w:tcPr>
          <w:p>
            <w:pPr>
              <w:spacing w:after="0"/>
              <w:rPr>
                <w:sz w:val="15"/>
                <w:szCs w:val="15"/>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2003</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958</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Obligations settled</w:t>
            </w:r>
          </w:p>
        </w:tc>
        <w:tc>
          <w:tcPr>
            <w:tcW w:w="4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(25)</w:t>
            </w:r>
          </w:p>
        </w:tc>
        <w:tc>
          <w:tcPr>
            <w:tcW w:w="18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accretion</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Revisions in estimates</w:t>
            </w: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4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June 30, 2004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1,001</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$325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72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December 31, 2002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655</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$343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 in accounting principle</w:t>
            </w: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Obligations settled</w:t>
            </w:r>
          </w:p>
        </w:tc>
        <w:tc>
          <w:tcPr>
            <w:tcW w:w="4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(20)</w:t>
            </w:r>
          </w:p>
        </w:tc>
        <w:tc>
          <w:tcPr>
            <w:tcW w:w="18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accretion</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Revisions in estimates</w:t>
            </w:r>
          </w:p>
        </w:tc>
        <w:tc>
          <w:tcPr>
            <w:tcW w:w="4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7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7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June 30, 2003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978</w:t>
            </w:r>
          </w:p>
        </w:tc>
        <w:tc>
          <w:tcPr>
            <w:tcW w:w="4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72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At several of our landfills, we provide financial assurance by depositing cash into escrow accounts or trust funds that are legally restricted for purposes of settling closure, post-closure and environmental remediation obligations. The fair value of these escrow accounts and trust funds was approximately $200 million at June 30, 2004, and is primarily included as other long-term assets in our condensed consolidated balance sheet. Balances maintained by us in trust funds and escrow accounts restricted for closure, post-closure and environmental remediation activities will fluctuate based on (i) changes in statutory requirements; (ii) the ongoing use of funds for qualifying closure, post-closure and environmental remediation activities; (iii) acquisitions or divestitures of landfills; and (iv) changes in the fair value of the underlying financial instruments.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Debt and Interest Rate Derivatives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consisted of the following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ind w:lef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facilities(a), (b)</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7"/>
              </w:rPr>
              <w:t>Senior notes and debentures, maturing through 2032, interest rates ranging from</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5.00% to 8.75% (weighted average interest rate of 7.0% at June 30, 2004)</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5,593</w:t>
            </w:r>
          </w:p>
        </w:tc>
        <w:tc>
          <w:tcPr>
            <w:tcW w:w="700" w:type="dxa"/>
            <w:vAlign w:val="bottom"/>
          </w:tcPr>
          <w:p>
            <w:pPr>
              <w:spacing w:after="0"/>
              <w:rPr>
                <w:sz w:val="20"/>
                <w:szCs w:val="20"/>
                <w:color w:val="auto"/>
              </w:rPr>
            </w:pPr>
            <w:r>
              <w:rPr>
                <w:rFonts w:ascii="Arial" w:cs="Arial" w:eastAsia="Arial" w:hAnsi="Arial"/>
                <w:sz w:val="18"/>
                <w:szCs w:val="18"/>
                <w:color w:val="auto"/>
              </w:rPr>
              <w:t>(c)</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5,662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w w:val="94"/>
              </w:rPr>
              <w:t>Tax-exempt bonds maturing through 2038, fixed and variable interest rates ranging</w:t>
            </w:r>
          </w:p>
        </w:tc>
        <w:tc>
          <w:tcPr>
            <w:tcW w:w="7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from 1.1% to 7.4% (weighted average interest rate of 3.3% at June 30, 2004)</w:t>
            </w:r>
          </w:p>
        </w:tc>
        <w:tc>
          <w:tcPr>
            <w:tcW w:w="76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1,888</w:t>
            </w:r>
          </w:p>
        </w:tc>
        <w:tc>
          <w:tcPr>
            <w:tcW w:w="700" w:type="dxa"/>
            <w:vAlign w:val="bottom"/>
            <w:shd w:val="clear" w:color="auto" w:fill="EEEEEE"/>
          </w:tcPr>
          <w:p>
            <w:pPr>
              <w:spacing w:after="0"/>
              <w:rPr>
                <w:sz w:val="20"/>
                <w:szCs w:val="20"/>
                <w:color w:val="auto"/>
              </w:rPr>
            </w:pPr>
            <w:r>
              <w:rPr>
                <w:rFonts w:ascii="Arial" w:cs="Arial" w:eastAsia="Arial" w:hAnsi="Arial"/>
                <w:sz w:val="18"/>
                <w:szCs w:val="18"/>
                <w:color w:val="auto"/>
              </w:rPr>
              <w:t>(d)</w:t>
            </w:r>
          </w:p>
        </w:tc>
        <w:tc>
          <w:tcPr>
            <w:tcW w:w="280" w:type="dxa"/>
            <w:vAlign w:val="bottom"/>
            <w:shd w:val="clear" w:color="auto" w:fill="EEEEEE"/>
          </w:tcPr>
          <w:p>
            <w:pPr>
              <w:spacing w:after="0"/>
              <w:rPr>
                <w:sz w:val="19"/>
                <w:szCs w:val="19"/>
                <w:color w:val="auto"/>
              </w:rPr>
            </w:pPr>
          </w:p>
        </w:tc>
        <w:tc>
          <w:tcPr>
            <w:tcW w:w="7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1,762</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Tax-exempt project bonds, principal payable in periodic installments, maturing</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through 2027, fixed and variable interest rates ranging from 1.1% to 9.3%</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120"/>
              <w:spacing w:after="0"/>
              <w:rPr>
                <w:sz w:val="20"/>
                <w:szCs w:val="20"/>
                <w:color w:val="auto"/>
              </w:rPr>
            </w:pPr>
            <w:r>
              <w:rPr>
                <w:rFonts w:ascii="Arial" w:cs="Arial" w:eastAsia="Arial" w:hAnsi="Arial"/>
                <w:sz w:val="18"/>
                <w:szCs w:val="18"/>
                <w:color w:val="auto"/>
              </w:rPr>
              <w:t>(weighted average interest rate of 5.1% at June 30, 2004)</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564</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5.75% convertible subordinated notes due 2005</w:t>
            </w:r>
          </w:p>
        </w:tc>
        <w:tc>
          <w:tcPr>
            <w:tcW w:w="7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Capital leases and other, maturing through 2027, interest rates up to 12%</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643</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Borders>
              <w:bottom w:val="single" w:sz="8" w:color="EEEEEE"/>
            </w:tcBorders>
            <w:shd w:val="clear" w:color="auto" w:fill="EEEEEE"/>
          </w:tcPr>
          <w:p>
            <w:pPr>
              <w:spacing w:after="0"/>
              <w:rPr>
                <w:sz w:val="9"/>
                <w:szCs w:val="9"/>
                <w:color w:val="auto"/>
              </w:rPr>
            </w:pPr>
          </w:p>
        </w:tc>
        <w:tc>
          <w:tcPr>
            <w:tcW w:w="76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right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6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shd w:val="clear" w:color="auto" w:fill="EEEEEE"/>
          </w:tcPr>
          <w:p>
            <w:pPr>
              <w:spacing w:after="0"/>
              <w:rPr>
                <w:sz w:val="8"/>
                <w:szCs w:val="8"/>
                <w:color w:val="auto"/>
              </w:rPr>
            </w:pPr>
          </w:p>
        </w:tc>
        <w:tc>
          <w:tcPr>
            <w:tcW w:w="76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700" w:type="dxa"/>
            <w:vAlign w:val="bottom"/>
            <w:tcBorders>
              <w:right w:val="single" w:sz="8" w:color="EEEEEE"/>
            </w:tcBorders>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6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8,722</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8,511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Less current portion</w:t>
            </w:r>
          </w:p>
        </w:tc>
        <w:tc>
          <w:tcPr>
            <w:tcW w:w="7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775</w:t>
            </w:r>
          </w:p>
        </w:tc>
        <w:tc>
          <w:tcPr>
            <w:tcW w:w="700" w:type="dxa"/>
            <w:vAlign w:val="bottom"/>
            <w:shd w:val="clear" w:color="auto" w:fill="EEEEEE"/>
          </w:tcPr>
          <w:p>
            <w:pPr>
              <w:spacing w:after="0"/>
              <w:rPr>
                <w:sz w:val="20"/>
                <w:szCs w:val="20"/>
                <w:color w:val="auto"/>
              </w:rPr>
            </w:pPr>
            <w:r>
              <w:rPr>
                <w:rFonts w:ascii="Arial" w:cs="Arial" w:eastAsia="Arial" w:hAnsi="Arial"/>
                <w:sz w:val="18"/>
                <w:szCs w:val="18"/>
                <w:color w:val="auto"/>
              </w:rPr>
              <w:t>(e), (f)</w:t>
            </w:r>
          </w:p>
        </w:tc>
        <w:tc>
          <w:tcPr>
            <w:tcW w:w="2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7,947</w:t>
            </w:r>
          </w:p>
        </w:tc>
        <w:tc>
          <w:tcPr>
            <w:tcW w:w="7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7,997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120" w:hanging="462"/>
        <w:spacing w:after="0" w:line="298"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June 30, 2004, we had a three-year, $650 million syndicated revolving credit facility and a five-year, $1.75 billion syndicated revolving credit facility. The three-year revolver matures in June 2005 and the five-year revolver matures in June 2006. These facilities have generally been used to support letters of credit issued to support our bonding and financial assurance needs. As of June 30, 2004, no borrowings were outstanding under these facilities, and we had unused and available credit capacity of $969 million.</w:t>
      </w:r>
    </w:p>
    <w:p>
      <w:pPr>
        <w:spacing w:after="0" w:line="193" w:lineRule="exact"/>
        <w:rPr>
          <w:rFonts w:ascii="Arial" w:cs="Arial" w:eastAsia="Arial" w:hAnsi="Arial"/>
          <w:sz w:val="16"/>
          <w:szCs w:val="16"/>
          <w:color w:val="auto"/>
        </w:rPr>
      </w:pPr>
    </w:p>
    <w:p>
      <w:pPr>
        <w:ind w:left="700" w:hanging="462"/>
        <w:spacing w:after="0" w:line="289"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required to maintain the following financial covenants under our revolving credit facilities: (i) an interest coverage ratio in excess of 3 to 1; (ii) total debt to EBITDA ratio of less than 3.25 to 1; and (iii) minimum net worth of at least $3.5 billion plus 75% of cumulative consolidated net income beginning with the quarter ended March 31, 2001, all as defined in the credit facilities for the purpose of determining compliance with the covenants. The credit facilities state that the calculations must be based on generally accepted accounting principles promulgated by the FASB that were in effect as of the last fiscal year before the date we entered into these facilities. We therefore calculate our covenants based on GAAP as of December 31, 2000 and 2001 for the five-year revolver and the three-year revolver, respectively, and our adoption or implementation of accounting pronouncements or interpretations effective on or after those dates does not impact the calculation of the financial covenants defined above. As of June 30, 2004 and December 31, 2003, we were in compliance with all covenants under our revolving credit facilities and all other debt instruments.</w:t>
      </w:r>
    </w:p>
    <w:p>
      <w:pPr>
        <w:spacing w:after="0" w:line="199" w:lineRule="exact"/>
        <w:rPr>
          <w:rFonts w:ascii="Arial" w:cs="Arial" w:eastAsia="Arial" w:hAnsi="Arial"/>
          <w:sz w:val="16"/>
          <w:szCs w:val="16"/>
          <w:color w:val="auto"/>
        </w:rPr>
      </w:pPr>
    </w:p>
    <w:p>
      <w:pPr>
        <w:ind w:left="700" w:right="140" w:hanging="462"/>
        <w:spacing w:after="0" w:line="255"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March 2004, we issued $350 million of 5.0% senior notes due March 15, 2014. Interest on the notes is payable on March 15 and September 15 of each year. The net proceeds of the offering were approximately $346 million after deducting underwriters’ discounts and expenses. These proceeds were used to pay $150 million of 8.0% senior notes due April 30, 2004 and $200 million of 6.5% senior notes due May 15, 2004. As discussed in further detail below, there has been a $69 million decrease in the carrying value of our senior notes from December 31, 2003 as a result of hedge accounting for our interest rate derivatives.</w:t>
      </w:r>
    </w:p>
    <w:p>
      <w:pPr>
        <w:spacing w:after="0" w:line="223" w:lineRule="exact"/>
        <w:rPr>
          <w:rFonts w:ascii="Arial" w:cs="Arial" w:eastAsia="Arial" w:hAnsi="Arial"/>
          <w:sz w:val="18"/>
          <w:szCs w:val="18"/>
          <w:color w:val="auto"/>
        </w:rPr>
      </w:pPr>
    </w:p>
    <w:p>
      <w:pPr>
        <w:ind w:left="700" w:right="160" w:hanging="462"/>
        <w:spacing w:after="0" w:line="298"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Proceeds from tax-exempt bond issues are treated as non-cash financing activities and are excluded from cash provided by financing activities in our cash flow statement as the proceeds are deposited directly into trust funds and may only be used for the specific purpose for which the money was raised, which is generally the construction of collection and disposal facilities. Accordingly, our 2004 issuances of approximately $163 million of tax-exempt bonds maturing through 2033 were treated as non-cash financing activities.</w:t>
      </w:r>
    </w:p>
    <w:p>
      <w:pPr>
        <w:spacing w:after="0" w:line="193" w:lineRule="exact"/>
        <w:rPr>
          <w:rFonts w:ascii="Arial" w:cs="Arial" w:eastAsia="Arial" w:hAnsi="Arial"/>
          <w:sz w:val="16"/>
          <w:szCs w:val="16"/>
          <w:color w:val="auto"/>
        </w:rPr>
      </w:pPr>
    </w:p>
    <w:p>
      <w:pPr>
        <w:ind w:left="700" w:right="20" w:hanging="462"/>
        <w:spacing w:after="0" w:line="25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debt obligations as of June 30, 2004 include approximately $416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that would serve to guarantee repayment in the event of a failed re-offering and are, therefore, considered a current obligation. Approximately</w:t>
      </w:r>
    </w:p>
    <w:p>
      <w:pPr>
        <w:sectPr>
          <w:pgSz w:w="11900" w:h="16838" w:orient="portrait"/>
          <w:cols w:equalWidth="0" w:num="1">
            <w:col w:w="11400"/>
          </w:cols>
          <w:pgMar w:left="240" w:top="419" w:right="259"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700" w:right="60"/>
        <w:spacing w:after="0" w:line="306" w:lineRule="auto"/>
        <w:rPr>
          <w:sz w:val="20"/>
          <w:szCs w:val="20"/>
          <w:color w:val="auto"/>
        </w:rPr>
      </w:pPr>
      <w:r>
        <w:rPr>
          <w:rFonts w:ascii="Arial" w:cs="Arial" w:eastAsia="Arial" w:hAnsi="Arial"/>
          <w:sz w:val="16"/>
          <w:szCs w:val="16"/>
          <w:color w:val="auto"/>
        </w:rPr>
        <w:t>$277 million of these bonds has been classified as long-term in our condensed consolidated balance sheet as of June 30, 2004.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 which is long-term.</w:t>
      </w:r>
    </w:p>
    <w:p>
      <w:pPr>
        <w:spacing w:after="0" w:line="161" w:lineRule="exact"/>
        <w:rPr>
          <w:sz w:val="20"/>
          <w:szCs w:val="20"/>
          <w:color w:val="auto"/>
        </w:rPr>
      </w:pPr>
    </w:p>
    <w:p>
      <w:pPr>
        <w:ind w:left="580" w:hanging="342"/>
        <w:spacing w:after="0" w:line="255"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June 30, 2004, we have $590 million of tax-exempt bonds and $46 million of tax-exempt project bonds that are remarketed either daily or weekly by a remarketing agent to effectively maintain a variable yield. If the remarketing agent is unable to remarket the bonds, then the remarketing agent can put the bonds to us. We have obtained letters of credit to guarantee repayment of the bonds in this event. We classified these borrowings as long-term in our condensed consolidated balance sheet at June 30, 2004 because the borrowings are supported by letters of credit issued under our five-year revolving credit facility, which is long-term.</w:t>
      </w:r>
    </w:p>
    <w:p>
      <w:pPr>
        <w:spacing w:after="0" w:line="224" w:lineRule="exact"/>
        <w:rPr>
          <w:sz w:val="20"/>
          <w:szCs w:val="20"/>
          <w:color w:val="auto"/>
        </w:rPr>
      </w:pPr>
    </w:p>
    <w:p>
      <w:pPr>
        <w:ind w:right="20" w:firstLine="270"/>
        <w:spacing w:after="0" w:line="323" w:lineRule="auto"/>
        <w:rPr>
          <w:sz w:val="20"/>
          <w:szCs w:val="20"/>
          <w:color w:val="auto"/>
        </w:rPr>
      </w:pPr>
      <w:r>
        <w:rPr>
          <w:rFonts w:ascii="Arial" w:cs="Arial" w:eastAsia="Arial" w:hAnsi="Arial"/>
          <w:sz w:val="15"/>
          <w:szCs w:val="15"/>
          <w:color w:val="auto"/>
        </w:rPr>
        <w:t>Our debt balances are generally unsecured, except for approximately $473 million of the tax-exempt project bonds outstanding at June 30, 2004 that are issued by certain subsidiaries within our Wheelabrator Group. These bonds are secured by both assets of the related subsidiaries that have a carrying value of approximately $673 million and the related subsidiaries’ future revenue. Additionally, our consolidated variable interest entities have approximately $171 million of outstanding borrowings that are collateralized by assets of those entities. These assets have a carrying value of approximately $395 million as of June 30, 2004.</w:t>
      </w:r>
    </w:p>
    <w:p>
      <w:pPr>
        <w:spacing w:after="0" w:line="179"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As part of our operations, and in connection with issuances of tax-exempt bonds, we use letters of credit to support our bonding and financial assurance needs. The following table summarizes our outstanding letters of credit (in millions):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5"/>
                <w:szCs w:val="15"/>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1200" w:type="dxa"/>
            <w:vAlign w:val="bottom"/>
            <w:tcBorders>
              <w:right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$ 1,431</w:t>
            </w:r>
          </w:p>
        </w:tc>
        <w:tc>
          <w:tcPr>
            <w:tcW w:w="7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$ 1,608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Letter of credit and term loan agreements(a)</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700" w:type="dxa"/>
            <w:vAlign w:val="bottom"/>
          </w:tcPr>
          <w:p>
            <w:pPr>
              <w:spacing w:after="0"/>
              <w:rPr>
                <w:sz w:val="20"/>
                <w:szCs w:val="20"/>
                <w:color w:val="auto"/>
              </w:rPr>
            </w:pPr>
            <w:r>
              <w:rPr>
                <w:rFonts w:ascii="Arial" w:cs="Arial" w:eastAsia="Arial" w:hAnsi="Arial"/>
                <w:sz w:val="18"/>
                <w:szCs w:val="18"/>
                <w:color w:val="auto"/>
              </w:rPr>
              <w:t>(a)</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520" w:type="dxa"/>
            <w:vAlign w:val="bottom"/>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Letter of credit facility(b)</w:t>
            </w:r>
          </w:p>
        </w:tc>
        <w:tc>
          <w:tcPr>
            <w:tcW w:w="1200" w:type="dxa"/>
            <w:vAlign w:val="bottom"/>
            <w:tcBorders>
              <w:right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336</w:t>
            </w:r>
          </w:p>
        </w:tc>
        <w:tc>
          <w:tcPr>
            <w:tcW w:w="700" w:type="dxa"/>
            <w:vAlign w:val="bottom"/>
            <w:shd w:val="clear" w:color="auto" w:fill="EEEEEE"/>
          </w:tcPr>
          <w:p>
            <w:pPr>
              <w:spacing w:after="0"/>
              <w:rPr>
                <w:sz w:val="20"/>
                <w:szCs w:val="20"/>
                <w:color w:val="auto"/>
              </w:rPr>
            </w:pPr>
            <w:r>
              <w:rPr>
                <w:rFonts w:ascii="Arial" w:cs="Arial" w:eastAsia="Arial" w:hAnsi="Arial"/>
                <w:sz w:val="18"/>
                <w:szCs w:val="18"/>
                <w:color w:val="auto"/>
              </w:rPr>
              <w:t>(b)</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lines of credit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7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EEEEEE"/>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7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right w:val="single" w:sz="8" w:color="EEEEEE"/>
            </w:tcBorders>
            <w:shd w:val="clear" w:color="auto" w:fill="EEEEEE"/>
          </w:tcPr>
          <w:p>
            <w:pPr>
              <w:spacing w:after="0"/>
              <w:rPr>
                <w:sz w:val="9"/>
                <w:szCs w:val="9"/>
                <w:color w:val="auto"/>
              </w:rPr>
            </w:pPr>
          </w:p>
        </w:tc>
        <w:tc>
          <w:tcPr>
            <w:tcW w:w="44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7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80" w:type="dxa"/>
            <w:vAlign w:val="bottom"/>
            <w:tcBorders>
              <w:right w:val="single" w:sz="8" w:color="EEEEEE"/>
            </w:tcBorders>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$ 2,139</w:t>
            </w:r>
          </w:p>
        </w:tc>
        <w:tc>
          <w:tcPr>
            <w:tcW w:w="7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$ 2,387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58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EEEEEE"/>
          </w:tcPr>
          <w:p>
            <w:pPr>
              <w:spacing w:after="0"/>
              <w:rPr>
                <w:sz w:val="5"/>
                <w:szCs w:val="5"/>
                <w:color w:val="auto"/>
              </w:rPr>
            </w:pPr>
          </w:p>
        </w:tc>
        <w:tc>
          <w:tcPr>
            <w:tcW w:w="700" w:type="dxa"/>
            <w:vAlign w:val="bottom"/>
            <w:shd w:val="clear" w:color="auto" w:fill="EEEEEE"/>
          </w:tcPr>
          <w:p>
            <w:pPr>
              <w:spacing w:after="0"/>
              <w:rPr>
                <w:sz w:val="5"/>
                <w:szCs w:val="5"/>
                <w:color w:val="auto"/>
              </w:rPr>
            </w:pPr>
          </w:p>
        </w:tc>
        <w:tc>
          <w:tcPr>
            <w:tcW w:w="500" w:type="dxa"/>
            <w:vAlign w:val="bottom"/>
            <w:tcBorders>
              <w:right w:val="single" w:sz="8" w:color="EEEEEE"/>
            </w:tcBorders>
            <w:shd w:val="clear" w:color="auto" w:fill="808080"/>
          </w:tcPr>
          <w:p>
            <w:pPr>
              <w:spacing w:after="0"/>
              <w:rPr>
                <w:sz w:val="5"/>
                <w:szCs w:val="5"/>
                <w:color w:val="auto"/>
              </w:rPr>
            </w:pPr>
          </w:p>
        </w:tc>
        <w:tc>
          <w:tcPr>
            <w:tcW w:w="70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580" w:type="dxa"/>
            <w:vAlign w:val="bottom"/>
            <w:tcBorders>
              <w:right w:val="single" w:sz="8" w:color="808080"/>
            </w:tcBorders>
            <w:shd w:val="clear" w:color="auto" w:fill="EEEEEE"/>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580" w:type="dxa"/>
            <w:vAlign w:val="bottom"/>
            <w:tcBorders>
              <w:right w:val="single" w:sz="8" w:color="EEEEEE"/>
            </w:tcBorders>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180" w:hanging="462"/>
        <w:spacing w:after="0" w:line="332"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June 2003 we entered into a five-year, $15 million letter of credit and term loan agreement, a seven-year, $175 million letter of credit and term loan agreement, and a ten-year, $105 million letter of credit and term loan agreement, which expire in June 2008, 2010, and 2013, respectively.</w:t>
      </w:r>
    </w:p>
    <w:p>
      <w:pPr>
        <w:spacing w:after="0" w:line="166" w:lineRule="exact"/>
        <w:rPr>
          <w:rFonts w:ascii="Arial" w:cs="Arial" w:eastAsia="Arial" w:hAnsi="Arial"/>
          <w:sz w:val="16"/>
          <w:szCs w:val="16"/>
          <w:color w:val="auto"/>
        </w:rPr>
      </w:pPr>
    </w:p>
    <w:p>
      <w:pPr>
        <w:ind w:left="700" w:hanging="46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2003 we entered into a five-year, $350 million letter of credit facility.</w:t>
      </w:r>
    </w:p>
    <w:p>
      <w:pPr>
        <w:spacing w:after="0" w:line="279"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Our letters of credit generally have terms allowing for automatic renewal after one year. In the event of an unreimbursed draw on a letter of credit, the unreimbursed amount generally converts into a term loan for the remaining term under the respective agreement or facility. Through June 30, 2004, we had not experienced any unreimbursed draws on letters of credit.</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63% fixed and 37% floating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at June 30, 2004. Interest rate swap agreements outstanding as of December 31, 2003 and June 30, 2004 are set forth in the table below (dollars in millions):</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ind w:left="5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tcPr>
          <w:p>
            <w:pPr>
              <w:ind w:left="720"/>
              <w:spacing w:after="0"/>
              <w:rPr>
                <w:sz w:val="20"/>
                <w:szCs w:val="20"/>
                <w:color w:val="auto"/>
              </w:rPr>
            </w:pPr>
            <w:r>
              <w:rPr>
                <w:rFonts w:ascii="Arial" w:cs="Arial" w:eastAsia="Arial" w:hAnsi="Arial"/>
                <w:sz w:val="14"/>
                <w:szCs w:val="14"/>
                <w:color w:val="auto"/>
              </w:rPr>
              <w:t>As of</w:t>
            </w:r>
          </w:p>
        </w:tc>
        <w:tc>
          <w:tcPr>
            <w:tcW w:w="200" w:type="dxa"/>
            <w:vAlign w:val="bottom"/>
          </w:tcPr>
          <w:p>
            <w:pPr>
              <w:spacing w:after="0"/>
              <w:rPr>
                <w:sz w:val="15"/>
                <w:szCs w:val="15"/>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2"/>
              </w:rPr>
              <w:t>Maturity Date</w:t>
            </w:r>
          </w:p>
        </w:tc>
        <w:tc>
          <w:tcPr>
            <w:tcW w:w="220" w:type="dxa"/>
            <w:vAlign w:val="bottom"/>
          </w:tcPr>
          <w:p>
            <w:pPr>
              <w:spacing w:after="0"/>
              <w:rPr>
                <w:sz w:val="15"/>
                <w:szCs w:val="15"/>
                <w:color w:val="auto"/>
              </w:rPr>
            </w:pPr>
          </w:p>
        </w:tc>
        <w:tc>
          <w:tcPr>
            <w:tcW w:w="1660" w:type="dxa"/>
            <w:vAlign w:val="bottom"/>
            <w:gridSpan w:val="3"/>
          </w:tcPr>
          <w:p>
            <w:pPr>
              <w:ind w:left="500"/>
              <w:spacing w:after="0"/>
              <w:rPr>
                <w:sz w:val="20"/>
                <w:szCs w:val="20"/>
                <w:color w:val="auto"/>
              </w:rPr>
            </w:pPr>
            <w:r>
              <w:rPr>
                <w:rFonts w:ascii="Arial" w:cs="Arial" w:eastAsia="Arial" w:hAnsi="Arial"/>
                <w:sz w:val="14"/>
                <w:szCs w:val="14"/>
                <w:b w:val="1"/>
                <w:bCs w:val="1"/>
                <w:color w:val="auto"/>
              </w:rPr>
              <w:t>Liability(a)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2003</w:t>
            </w:r>
          </w:p>
        </w:tc>
        <w:tc>
          <w:tcPr>
            <w:tcW w:w="620" w:type="dxa"/>
            <w:vAlign w:val="bottom"/>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17</w:t>
            </w:r>
          </w:p>
        </w:tc>
        <w:tc>
          <w:tcPr>
            <w:tcW w:w="180" w:type="dxa"/>
            <w:vAlign w:val="bottom"/>
            <w:shd w:val="clear" w:color="auto" w:fill="EEEEEE"/>
          </w:tcPr>
          <w:p>
            <w:pPr>
              <w:spacing w:after="0"/>
              <w:rPr>
                <w:sz w:val="18"/>
                <w:szCs w:val="18"/>
                <w:color w:val="auto"/>
              </w:rPr>
            </w:pPr>
          </w:p>
        </w:tc>
        <w:tc>
          <w:tcPr>
            <w:tcW w:w="3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Through December 31, 2012</w:t>
            </w:r>
          </w:p>
        </w:tc>
        <w:tc>
          <w:tcPr>
            <w:tcW w:w="8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EEEEEE"/>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December 31, 2003</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2,250</w:t>
            </w:r>
          </w:p>
        </w:tc>
        <w:tc>
          <w:tcPr>
            <w:tcW w:w="18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7"/>
              </w:rPr>
              <w:t>Through December 15, 2017</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660" w:type="dxa"/>
            <w:vAlign w:val="bottom"/>
          </w:tcPr>
          <w:p>
            <w:pPr>
              <w:ind w:left="20"/>
              <w:spacing w:after="0"/>
              <w:rPr>
                <w:sz w:val="20"/>
                <w:szCs w:val="20"/>
                <w:color w:val="auto"/>
              </w:rPr>
            </w:pPr>
            <w:r>
              <w:rPr>
                <w:rFonts w:ascii="Arial" w:cs="Arial" w:eastAsia="Arial" w:hAnsi="Arial"/>
                <w:sz w:val="18"/>
                <w:szCs w:val="18"/>
                <w:color w:val="auto"/>
              </w:rPr>
              <w:t>(c),(d)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EEEEE"/>
          </w:tcPr>
          <w:p>
            <w:pPr>
              <w:spacing w:after="0"/>
              <w:rPr>
                <w:sz w:val="20"/>
                <w:szCs w:val="20"/>
                <w:color w:val="auto"/>
              </w:rPr>
            </w:pPr>
            <w:r>
              <w:rPr>
                <w:rFonts w:ascii="Arial" w:cs="Arial" w:eastAsia="Arial" w:hAnsi="Arial"/>
                <w:sz w:val="18"/>
                <w:szCs w:val="18"/>
                <w:color w:val="auto"/>
              </w:rPr>
              <w:t>June 30, 2004</w:t>
            </w:r>
          </w:p>
        </w:tc>
        <w:tc>
          <w:tcPr>
            <w:tcW w:w="620" w:type="dxa"/>
            <w:vAlign w:val="bottom"/>
            <w:gridSpan w:val="2"/>
            <w:shd w:val="clear" w:color="auto" w:fill="EEEEEE"/>
          </w:tcPr>
          <w:p>
            <w:pPr>
              <w:ind w:left="54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EEEEE"/>
          </w:tcPr>
          <w:p>
            <w:pPr>
              <w:spacing w:after="0"/>
              <w:rPr>
                <w:sz w:val="18"/>
                <w:szCs w:val="18"/>
                <w:color w:val="auto"/>
              </w:rPr>
            </w:pPr>
          </w:p>
        </w:tc>
        <w:tc>
          <w:tcPr>
            <w:tcW w:w="3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Through December 31, 2012</w:t>
            </w:r>
          </w:p>
        </w:tc>
        <w:tc>
          <w:tcPr>
            <w:tcW w:w="8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EEEEEE"/>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June 30, 2004</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2,550</w:t>
            </w:r>
          </w:p>
        </w:tc>
        <w:tc>
          <w:tcPr>
            <w:tcW w:w="18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87"/>
              </w:rPr>
              <w:t>Through December 15, 2017</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(143)</w:t>
            </w:r>
          </w:p>
        </w:tc>
        <w:tc>
          <w:tcPr>
            <w:tcW w:w="660" w:type="dxa"/>
            <w:vAlign w:val="bottom"/>
          </w:tcPr>
          <w:p>
            <w:pPr>
              <w:ind w:left="20"/>
              <w:spacing w:after="0"/>
              <w:rPr>
                <w:sz w:val="20"/>
                <w:szCs w:val="20"/>
                <w:color w:val="auto"/>
              </w:rPr>
            </w:pPr>
            <w:r>
              <w:rPr>
                <w:rFonts w:ascii="Arial" w:cs="Arial" w:eastAsia="Arial" w:hAnsi="Arial"/>
                <w:sz w:val="18"/>
                <w:szCs w:val="18"/>
                <w:color w:val="auto"/>
              </w:rPr>
              <w:t>(c),(d)</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00" w:right="180" w:hanging="462"/>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of interest rate derivatives is included in our balance sheets as components of other long-term assets and other long-term liabilities. Fair values of these interest rate derivatives are based on third party pricing models.</w:t>
      </w:r>
    </w:p>
    <w:p>
      <w:pPr>
        <w:spacing w:after="0" w:line="212" w:lineRule="exact"/>
        <w:rPr>
          <w:rFonts w:ascii="Arial" w:cs="Arial" w:eastAsia="Arial" w:hAnsi="Arial"/>
          <w:sz w:val="18"/>
          <w:szCs w:val="18"/>
          <w:color w:val="auto"/>
        </w:rPr>
      </w:pPr>
    </w:p>
    <w:p>
      <w:pPr>
        <w:ind w:left="700" w:right="320" w:hanging="462"/>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derivative contract terms do not qualify for hedge accounting. Therefore, the related derivatives are accounted for at fair value with changes in fair value recognized immediately in interest expense.</w:t>
      </w:r>
    </w:p>
    <w:p>
      <w:pPr>
        <w:spacing w:after="0" w:line="212" w:lineRule="exact"/>
        <w:rPr>
          <w:rFonts w:ascii="Arial" w:cs="Arial" w:eastAsia="Arial" w:hAnsi="Arial"/>
          <w:sz w:val="18"/>
          <w:szCs w:val="18"/>
          <w:color w:val="auto"/>
        </w:rPr>
      </w:pPr>
    </w:p>
    <w:p>
      <w:pPr>
        <w:ind w:left="700" w:right="500" w:hanging="462"/>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interest rate derivatives qualify for hedge accounting. Therefore, changes in fair value of these interest rate swap contracts are deferred and recognized as an adjustment to interest expense over the remaining life of the hedged instrument.</w:t>
      </w:r>
    </w:p>
    <w:p>
      <w:pPr>
        <w:spacing w:after="0" w:line="212" w:lineRule="exact"/>
        <w:rPr>
          <w:rFonts w:ascii="Arial" w:cs="Arial" w:eastAsia="Arial" w:hAnsi="Arial"/>
          <w:sz w:val="18"/>
          <w:szCs w:val="18"/>
          <w:color w:val="auto"/>
        </w:rPr>
      </w:pPr>
    </w:p>
    <w:p>
      <w:pPr>
        <w:ind w:left="700" w:right="180" w:hanging="462"/>
        <w:spacing w:after="0" w:line="306"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fair value of these interest rate derivatives at December 31, 2003 is a net fair value liability of $99 million that is comprised of $2 million of other long-term assets and $101 million of other long-term liabilities. The fair value of these interest rate derivatives at June 30, 2004 is a net fair value liability of $143 million that is comprised of $1 million of other long-term assets and $144 million of other long-term liabilities.</w:t>
      </w:r>
    </w:p>
    <w:p>
      <w:pPr>
        <w:spacing w:after="0" w:line="18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Fair value hedge accounting for interest rate swap contracts increased the carrying value of debt instruments by approximately $99 million as of June 30, 2004 and $168 million as of December 31, 2003. The following table summarizes the accumulated fair value adjustments from interest rate swap agreements by underlying debt instrument category (in millions):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ind w:left="1340"/>
              <w:spacing w:after="0"/>
              <w:rPr>
                <w:sz w:val="20"/>
                <w:szCs w:val="20"/>
                <w:color w:val="auto"/>
              </w:rPr>
            </w:pPr>
            <w:r>
              <w:rPr>
                <w:rFonts w:ascii="Arial" w:cs="Arial" w:eastAsia="Arial" w:hAnsi="Arial"/>
                <w:sz w:val="14"/>
                <w:szCs w:val="14"/>
                <w:b w:val="1"/>
                <w:bCs w:val="1"/>
                <w:color w:val="auto"/>
              </w:rPr>
              <w:t>Increase (decrease) in carrying value of debt due</w:t>
            </w:r>
          </w:p>
        </w:tc>
        <w:tc>
          <w:tcPr>
            <w:tcW w:w="260" w:type="dxa"/>
            <w:vAlign w:val="bottom"/>
          </w:tcPr>
          <w:p>
            <w:pPr>
              <w:spacing w:after="0"/>
              <w:rPr>
                <w:sz w:val="14"/>
                <w:szCs w:val="14"/>
                <w:color w:val="auto"/>
              </w:rPr>
            </w:pPr>
          </w:p>
        </w:tc>
        <w:tc>
          <w:tcPr>
            <w:tcW w:w="1520" w:type="dxa"/>
            <w:vAlign w:val="bottom"/>
            <w:gridSpan w:val="3"/>
          </w:tcPr>
          <w:p>
            <w:pPr>
              <w:ind w:left="52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tcPr>
          <w:p>
            <w:pPr>
              <w:ind w:left="1500"/>
              <w:spacing w:after="0"/>
              <w:rPr>
                <w:sz w:val="20"/>
                <w:szCs w:val="20"/>
                <w:color w:val="auto"/>
              </w:rPr>
            </w:pPr>
            <w:r>
              <w:rPr>
                <w:rFonts w:ascii="Arial" w:cs="Arial" w:eastAsia="Arial" w:hAnsi="Arial"/>
                <w:sz w:val="14"/>
                <w:szCs w:val="14"/>
                <w:b w:val="1"/>
                <w:bCs w:val="1"/>
                <w:color w:val="auto"/>
              </w:rPr>
              <w:t>to hedge accounting for interest rate swaps</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600" w:type="dxa"/>
            <w:vAlign w:val="bottom"/>
          </w:tcPr>
          <w:p>
            <w:pPr>
              <w:spacing w:after="0"/>
              <w:rPr>
                <w:sz w:val="15"/>
                <w:szCs w:val="15"/>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Senior notes and debentures: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Active swap agreements</w:t>
            </w: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72"/>
              <w:spacing w:after="0"/>
              <w:rPr>
                <w:sz w:val="20"/>
                <w:szCs w:val="20"/>
                <w:color w:val="auto"/>
              </w:rPr>
            </w:pPr>
            <w:r>
              <w:rPr>
                <w:rFonts w:ascii="Arial" w:cs="Arial" w:eastAsia="Arial" w:hAnsi="Arial"/>
                <w:sz w:val="18"/>
                <w:szCs w:val="18"/>
                <w:color w:val="auto"/>
                <w:w w:val="85"/>
              </w:rPr>
              <w:t>(143)</w:t>
            </w:r>
          </w:p>
        </w:tc>
        <w:tc>
          <w:tcPr>
            <w:tcW w:w="1860" w:type="dxa"/>
            <w:vAlign w:val="bottom"/>
            <w:gridSpan w:val="4"/>
          </w:tcPr>
          <w:p>
            <w:pPr>
              <w:jc w:val="right"/>
              <w:ind w:right="560"/>
              <w:spacing w:after="0"/>
              <w:rPr>
                <w:sz w:val="20"/>
                <w:szCs w:val="20"/>
                <w:color w:val="auto"/>
              </w:rPr>
            </w:pPr>
            <w:r>
              <w:rPr>
                <w:rFonts w:ascii="Arial" w:cs="Arial" w:eastAsia="Arial" w:hAnsi="Arial"/>
                <w:sz w:val="18"/>
                <w:szCs w:val="18"/>
                <w:color w:val="auto"/>
              </w:rPr>
              <w:t>$ (99)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Terminated swap agreements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241</w:t>
            </w:r>
          </w:p>
        </w:tc>
        <w:tc>
          <w:tcPr>
            <w:tcW w:w="6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0"/>
              </w:rPr>
              <w:t>(a)</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6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Tax-exempt and project bonds: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Terminated swap agreements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0"/>
              </w:rPr>
              <w:t>(a)</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ind w:left="76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6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hanging="462"/>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these amounts, $44 million (on a pre-tax basis) is scheduled to be reclassified as a credit to interest expense over the next twelve months.</w:t>
      </w:r>
    </w:p>
    <w:p>
      <w:pPr>
        <w:spacing w:after="0" w:line="302" w:lineRule="exact"/>
        <w:rPr>
          <w:sz w:val="20"/>
          <w:szCs w:val="20"/>
          <w:color w:val="auto"/>
        </w:rPr>
      </w:pPr>
    </w:p>
    <w:p>
      <w:pPr>
        <w:jc w:val="both"/>
        <w:ind w:right="40" w:firstLine="270"/>
        <w:spacing w:after="0" w:line="259" w:lineRule="auto"/>
        <w:rPr>
          <w:sz w:val="20"/>
          <w:szCs w:val="20"/>
          <w:color w:val="auto"/>
        </w:rPr>
      </w:pPr>
      <w:r>
        <w:rPr>
          <w:rFonts w:ascii="Arial" w:cs="Arial" w:eastAsia="Arial" w:hAnsi="Arial"/>
          <w:sz w:val="18"/>
          <w:szCs w:val="18"/>
          <w:color w:val="auto"/>
        </w:rPr>
        <w:t>Interest rate swap agreements reduced net interest expense by $26 million and $50 million for the three and six months ended June 30, 2004, respectively, and $23 million and $47 million for the three and six months ended June 30, 2003, respectively. The significant terms of the interest rate contracts and the underlying debt instruments are identical and therefore no ineffectiveness has been realized.</w:t>
      </w:r>
    </w:p>
    <w:p>
      <w:pPr>
        <w:spacing w:after="0" w:line="200" w:lineRule="exact"/>
        <w:rPr>
          <w:sz w:val="20"/>
          <w:szCs w:val="20"/>
          <w:color w:val="auto"/>
        </w:rPr>
      </w:pPr>
    </w:p>
    <w:p>
      <w:pPr>
        <w:spacing w:after="0" w:line="231"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current tax obligations associated with the provision for income taxes recorded in the statements of operations are reflected in the accompanying condensed consolidated balance sheets as a component of accrued liabilities, and the deferred tax obligations are reflected in deferred income taxes. The difference in federal income taxes computed at the federal statutory rate and reported income taxes for the three and six months ended June 30, 2004 is primarily due to the favorable impact of non-conventional fuel tax credits and favorable audit settlements, offset in part by state and local income taxes. The difference in federal income taxes computed at the federal statutory rate and reported income taxes for the three and six months ended</w:t>
      </w:r>
    </w:p>
    <w:p>
      <w:pPr>
        <w:sectPr>
          <w:pgSz w:w="11900" w:h="16838" w:orient="portrait"/>
          <w:cols w:equalWidth="0" w:num="1">
            <w:col w:w="11420"/>
          </w:cols>
          <w:pgMar w:left="240" w:top="419"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June 30, 2003 is primarily due to state and local income taxes, offset in part by non-conventional fuel tax credits. We continue to evaluate our effective tax rate at each interim period and adjust it accordingly as facts and circumstances warrant.</w:t>
      </w:r>
    </w:p>
    <w:p>
      <w:pPr>
        <w:spacing w:after="0" w:line="21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the first and second quarters of 2004, we acquired minority ownership interests in two coal-based synthetic fuel production facilities (the “Facilities”) for approximately $119.7 million, which is comprised primarily of notes payable of $118.5 million, as well as commitments to fund our pro-rata share of the operations of the Facilities. We have also agreed to make additional payments to the seller based on our pro-rata allocation of the tax credits generated by each Facility. The synthetic fuel produced at the Facilities through 2007 qualifies for tax credits pursuant to Section 29 of the Internal Revenue Code (currently credits are not available for fuel produced after 2007). We have been granted private letter rulings from the U.S. Internal Revenue Service confirming that the synthetic fuel produced by the Facilities is a “qualified fuel” under Section 29 of the Internal Revenue Code and that the resulting tax credits may be allocated among the owners of the interests in the Facilities.</w:t>
      </w:r>
    </w:p>
    <w:p>
      <w:pPr>
        <w:spacing w:after="0" w:line="19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account for our investment in the Facilities using the equity method of accounting, which results in the recognition of our pro-rata share of the Facilities’ losses, the amortization of our initial investments and other estimated obligations being recorded as equity in losses of unconsolidated entities within our statement of operations. The total loss recognized during the three months ended June 30, 2004 was approximately $26 million, making cumulative losses recognized during the six months ended June 30, 2004 approximately $45 million. We also recognized interest expense related to these investments of approximately $2 million during the three months ended June 30, 2004 and approximately $4 million during the six months ended June 30, 2004. The tax benefits that we will realize as a result of our investments in the Facilities have been reflected as a reduction to our provision for income taxes. This resulted in a decrease in our tax provision of approximately $35 million for the three months ended June 30, 2004 and approximately $54 million for the six months ended June 30, 2004, which more than offset the equity losses and interest expense recognized during each period. The decreases in our tax provision represent an 8.3 percentage point reduction in our effective tax rate for the three months ended June 30, 2004 and a 7.0 percentage point reduction in our effective tax rate for the six months ended June 30, 2004.</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Comprehensive income represents all changes in our equity except for changes resulting from investments by, and distributions to, stockholders.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six months ended June 30, 2004 and June 30, 2003 was as follows (in millions):</w:t>
      </w:r>
    </w:p>
    <w:p>
      <w:pPr>
        <w:spacing w:after="0" w:line="200" w:lineRule="exact"/>
        <w:rPr>
          <w:sz w:val="20"/>
          <w:szCs w:val="20"/>
          <w:color w:val="auto"/>
        </w:r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w w:val="99"/>
              </w:rPr>
              <w:t>Unrealized loss resulting from changes in fair values of</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derivative instruments, net of tax benefit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(9)</w:t>
            </w:r>
          </w:p>
        </w:tc>
        <w:tc>
          <w:tcPr>
            <w:tcW w:w="1360" w:type="dxa"/>
            <w:vAlign w:val="bottom"/>
            <w:gridSpan w:val="5"/>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3"/>
              </w:rPr>
              <w:t>Realized losses on derivative instruments reclassified into</w:t>
            </w:r>
          </w:p>
        </w:tc>
        <w:tc>
          <w:tcPr>
            <w:tcW w:w="3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earnings, net of taxes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Minimum pension liability adjustment, net of taxes</w:t>
            </w:r>
          </w:p>
        </w:tc>
        <w:tc>
          <w:tcPr>
            <w:tcW w:w="3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Unrealized loss on marketable securities, net of taxes</w:t>
            </w:r>
          </w:p>
        </w:tc>
        <w:tc>
          <w:tcPr>
            <w:tcW w:w="7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Translation adjustment of foreign currency statements</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(21)</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shd w:val="clear" w:color="auto" w:fill="EEEEEE"/>
          </w:tcPr>
          <w:p>
            <w:pPr>
              <w:spacing w:after="0"/>
              <w:rPr>
                <w:sz w:val="8"/>
                <w:szCs w:val="8"/>
                <w:color w:val="auto"/>
              </w:rPr>
            </w:pPr>
          </w:p>
        </w:tc>
        <w:tc>
          <w:tcPr>
            <w:tcW w:w="36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(25)</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right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shd w:val="clear" w:color="auto" w:fill="EEEEEE"/>
          </w:tcPr>
          <w:p>
            <w:pPr>
              <w:spacing w:after="0"/>
              <w:rPr>
                <w:sz w:val="8"/>
                <w:szCs w:val="8"/>
                <w:color w:val="auto"/>
              </w:rPr>
            </w:pPr>
          </w:p>
        </w:tc>
        <w:tc>
          <w:tcPr>
            <w:tcW w:w="36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shd w:val="clear" w:color="auto" w:fill="EEEEEE"/>
          </w:tcPr>
          <w:p>
            <w:pPr>
              <w:spacing w:after="0"/>
              <w:rPr>
                <w:sz w:val="5"/>
                <w:szCs w:val="5"/>
                <w:color w:val="auto"/>
              </w:rPr>
            </w:pPr>
          </w:p>
        </w:tc>
        <w:tc>
          <w:tcPr>
            <w:tcW w:w="360" w:type="dxa"/>
            <w:vAlign w:val="bottom"/>
            <w:tcBorders>
              <w:right w:val="single" w:sz="8" w:color="808080"/>
            </w:tcBorders>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shd w:val="clear" w:color="auto" w:fill="EEEEEE"/>
          </w:tcPr>
          <w:p>
            <w:pPr>
              <w:spacing w:after="0"/>
              <w:rPr>
                <w:sz w:val="9"/>
                <w:szCs w:val="9"/>
                <w:color w:val="auto"/>
              </w:rPr>
            </w:pPr>
          </w:p>
        </w:tc>
        <w:tc>
          <w:tcPr>
            <w:tcW w:w="36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were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2004</w:t>
            </w: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Accumulated unrealized loss on derivative instruments, net of tax benefit</w:t>
            </w:r>
          </w:p>
        </w:tc>
        <w:tc>
          <w:tcPr>
            <w:tcW w:w="13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$(46)</w:t>
            </w:r>
          </w:p>
        </w:tc>
        <w:tc>
          <w:tcPr>
            <w:tcW w:w="178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Accumulated unrealized gain on marketable securities, net of taxes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13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(33)</w:t>
            </w:r>
          </w:p>
        </w:tc>
        <w:tc>
          <w:tcPr>
            <w:tcW w:w="178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$(78)</w:t>
            </w:r>
          </w:p>
        </w:tc>
        <w:tc>
          <w:tcPr>
            <w:tcW w:w="178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reconciles the number of common shares outstanding at June 30 of each year to the number of weighted average basic common shares outstanding and the number of weighted average diluted</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common shares outstanding for the purpose of calculating basic and diluted earnings per common share (shares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4"/>
          </w:tcPr>
          <w:p>
            <w:pPr>
              <w:jc w:val="center"/>
              <w:ind w:left="132"/>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22"/>
                <w:szCs w:val="22"/>
                <w:color w:val="auto"/>
              </w:rPr>
            </w:pPr>
          </w:p>
        </w:tc>
        <w:tc>
          <w:tcPr>
            <w:tcW w:w="10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580.0</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591.8</w:t>
            </w:r>
          </w:p>
        </w:tc>
        <w:tc>
          <w:tcPr>
            <w:tcW w:w="28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580.0</w:t>
            </w:r>
          </w:p>
        </w:tc>
        <w:tc>
          <w:tcPr>
            <w:tcW w:w="8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591.8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20"/>
              <w:spacing w:after="0"/>
              <w:rPr>
                <w:sz w:val="20"/>
                <w:szCs w:val="20"/>
                <w:color w:val="auto"/>
              </w:rPr>
            </w:pPr>
            <w:r>
              <w:rPr>
                <w:rFonts w:ascii="Arial" w:cs="Arial" w:eastAsia="Arial" w:hAnsi="Arial"/>
                <w:sz w:val="18"/>
                <w:szCs w:val="18"/>
                <w:color w:val="auto"/>
                <w:w w:val="99"/>
              </w:rPr>
              <w:t>Effect of using weighted average common shares outstanding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right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tcBorders>
              <w:right w:val="single" w:sz="8" w:color="EEEEEE"/>
            </w:tcBorders>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580.2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591.5</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578.8</w:t>
            </w:r>
          </w:p>
        </w:tc>
        <w:tc>
          <w:tcPr>
            <w:tcW w:w="8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592.6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Dilutive effect of common stock options, warrants, restricted</w:t>
            </w: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stock and contingently issuable shares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EEEEEE"/>
          </w:tcPr>
          <w:p>
            <w:pPr>
              <w:spacing w:after="0"/>
              <w:rPr>
                <w:sz w:val="19"/>
                <w:szCs w:val="19"/>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EEEEEE"/>
          </w:tcPr>
          <w:p>
            <w:pPr>
              <w:spacing w:after="0"/>
              <w:rPr>
                <w:sz w:val="19"/>
                <w:szCs w:val="19"/>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diluted common shares outstanding</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585.4</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594.8</w:t>
            </w:r>
          </w:p>
        </w:tc>
        <w:tc>
          <w:tcPr>
            <w:tcW w:w="28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584.1</w:t>
            </w:r>
          </w:p>
        </w:tc>
        <w:tc>
          <w:tcPr>
            <w:tcW w:w="8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595.2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At June 30, 2004, there were approximately 49.7 million shares of common stock potentially issuable with respect to stock options, warrants and convertible debt. Approximately 9.7 million shares and 18.2 million shares were not included in the diluted earnings per share computations for the three and six months ended June 30, 2004, respectively, because their exercise price was greater than the average per share market price of our stock for the related periods. Including the impact of these potentially issuable shares in the current period calculations would not have been dilutive for the periods presented, but may dilute earnings per share in the future.</w:t>
      </w:r>
    </w:p>
    <w:p>
      <w:pPr>
        <w:spacing w:after="0" w:line="200" w:lineRule="exact"/>
        <w:rPr>
          <w:sz w:val="20"/>
          <w:szCs w:val="20"/>
          <w:color w:val="auto"/>
        </w:rPr>
      </w:pPr>
    </w:p>
    <w:p>
      <w:pPr>
        <w:spacing w:after="0" w:line="234" w:lineRule="exact"/>
        <w:rPr>
          <w:sz w:val="20"/>
          <w:szCs w:val="20"/>
          <w:color w:val="auto"/>
        </w:rPr>
      </w:pPr>
    </w:p>
    <w:p>
      <w:pPr>
        <w:ind w:left="360" w:right="4420" w:hanging="352"/>
        <w:spacing w:after="0" w:line="535" w:lineRule="auto"/>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Common Stock Dividends and Common Stock Repurchases </w:t>
      </w:r>
      <w:r>
        <w:rPr>
          <w:rFonts w:ascii="Arial" w:cs="Arial" w:eastAsia="Arial" w:hAnsi="Arial"/>
          <w:sz w:val="18"/>
          <w:szCs w:val="18"/>
          <w:b w:val="1"/>
          <w:bCs w:val="1"/>
          <w:i w:val="1"/>
          <w:iCs w:val="1"/>
          <w:color w:val="auto"/>
        </w:rPr>
        <w:t>Stock-Based Compensation</w:t>
      </w:r>
    </w:p>
    <w:p>
      <w:pPr>
        <w:spacing w:after="0" w:line="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Pursuant to our stock incentive plans, we have the ability to issue stock options, stock awards and stock appreciation rights, all on terms and conditions that are determined by the Compensation Committee of our Board of Directors. The following is a summary of the significant terms of the stock options and restricted stock granted to our officers and employees under these plans during the six months ended June 30, 2004.</w:t>
      </w:r>
    </w:p>
    <w:p>
      <w:pPr>
        <w:spacing w:after="0" w:line="18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 During the six months ended June 30, 2004, we have issued an aggregate of approximately 8.9 million of stock options to certain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employees as part of the 2004 annual grant or as grants issued for promotions or new hire incentives. The weighted average exercise price of options granted during this period was $29.20 per common share. These stock options all have exercise prices equal to the fair market value of our common stock as of the date of grant, expire ten years from the date of grant and vest ratably over a four-year period.</w:t>
      </w:r>
    </w:p>
    <w:p>
      <w:pPr>
        <w:spacing w:after="0" w:line="194"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i w:val="1"/>
          <w:iCs w:val="1"/>
          <w:color w:val="auto"/>
        </w:rPr>
        <w:t xml:space="preserve">Restricted stock — </w:t>
      </w:r>
      <w:r>
        <w:rPr>
          <w:rFonts w:ascii="Arial" w:cs="Arial" w:eastAsia="Arial" w:hAnsi="Arial"/>
          <w:sz w:val="16"/>
          <w:szCs w:val="16"/>
          <w:color w:val="auto"/>
        </w:rPr>
        <w:t>During the six months ended June 30, 2004, we have issued an aggregate of 159,400 shares of our restricted stock to certain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as part of the 2004 annual grant or as grants issued for promotions or new hire incentives. The restricted stock grants also vest ratably over a four-year period. The shares issued are subject to forfeiture in the event of termination of employment and entitle the holder to all benefits of a stockholder, including the right to receive dividends and vote on all matters put to a vote of security holders.</w:t>
      </w:r>
    </w:p>
    <w:p>
      <w:pPr>
        <w:spacing w:after="0" w:line="19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account for our stock-based compensation using the intrinsic value method. Under this method, we do not recognize compensation cost for our stock options because the number of shares potentially issuable and the exercise price, which is equal to the fair market value of the underlying stock on the date of grant, are fixed. We recognize compensation expense for restricted stock awards on a straight-line basis over the vesting period based on the fair market value of our common stock on the date of grant.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jc w:val="both"/>
        <w:ind w:right="560" w:firstLine="324"/>
        <w:spacing w:after="0" w:line="306" w:lineRule="auto"/>
        <w:rPr>
          <w:sz w:val="20"/>
          <w:szCs w:val="20"/>
          <w:color w:val="auto"/>
        </w:rPr>
      </w:pPr>
      <w:r>
        <w:rPr>
          <w:rFonts w:ascii="Arial" w:cs="Arial" w:eastAsia="Arial" w:hAnsi="Arial"/>
          <w:sz w:val="16"/>
          <w:szCs w:val="16"/>
          <w:color w:val="auto"/>
        </w:rPr>
        <w:t xml:space="preserve">The following schedule reflects the pro forma impact on net income and earnings per common share of accounting for our stock options using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which would result in the recognition of compensation expense for the fair value of stock options as computed using the Black-Scholes option-pricing model (in millions, except per share amounts):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7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3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9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$ 216</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$ 176</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$ 368</w:t>
            </w:r>
          </w:p>
        </w:tc>
        <w:tc>
          <w:tcPr>
            <w:tcW w:w="12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$ 237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$ 201</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$ 158</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$ 340</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$ 204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$0.63</w:t>
            </w:r>
          </w:p>
        </w:tc>
        <w:tc>
          <w:tcPr>
            <w:tcW w:w="12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0.05</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$0.27</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$0.58</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$0.63</w:t>
            </w:r>
          </w:p>
        </w:tc>
        <w:tc>
          <w:tcPr>
            <w:tcW w:w="12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0.05</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 forma 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$0.27</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$0.58</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Common Stock Dividends and Repurchases</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In August 2003, we announced that our Board of Directors approved a quarterly dividend program. In May 2004, we declared our second quarterly dividend of $0.1875 per share of common stock, or approximately $109 million, which was paid on June 25, 2004 to stockholders of record as of June 1, 2004. We have paid approximately $218 million in dividends during the six months ended June 30, 2004. Based on shares outstanding as of June 30, 2004, continued quarterly dividend declarations by our Board of Directors of $0.1875 per common share would result in total annual payments of approximately $436 million in 2004.</w:t>
      </w:r>
    </w:p>
    <w:p>
      <w:pPr>
        <w:spacing w:after="0" w:line="19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February 2002 we announced that our Board of Directors had approved a stock repurchase program for up to $1 billion in annual repurchases through 2004, to be implemented at management’s discretion. Although we are authorized to purchase up to $1 billion of our common stock under this program, we currently intend to spend between $400 million and $500 million on share repurchases during the year ended December 31, 2004. During the current quarter, we repurchased approximately three million shares of our common stock at a cost of approximately $89 million. We did not repurchase any of our common stock during the first quarter of 2004, although we made a cash payment of approximately $24 million in January 2004 to settle repurchases made in December 2003. Approximately $5 million of the share repurchases completed in the second quarter will be settled in cash in July.</w:t>
      </w:r>
    </w:p>
    <w:p>
      <w:pPr>
        <w:spacing w:after="0" w:line="20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As of June 30, 2004, we have the ability, under our most restrictive financial covenants, to make dividend payments and share repurchases in the aggregate amount of approximately $515 million.</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right="20" w:firstLine="324"/>
        <w:spacing w:after="0" w:line="370" w:lineRule="auto"/>
        <w:rPr>
          <w:sz w:val="20"/>
          <w:szCs w:val="20"/>
          <w:color w:val="auto"/>
        </w:rPr>
      </w:pPr>
      <w:r>
        <w:rPr>
          <w:rFonts w:ascii="Arial" w:cs="Arial" w:eastAsia="Arial" w:hAnsi="Arial"/>
          <w:sz w:val="15"/>
          <w:szCs w:val="15"/>
          <w:i w:val="1"/>
          <w:iCs w:val="1"/>
          <w:color w:val="auto"/>
        </w:rPr>
        <w:t xml:space="preserve">Financial instruments </w:t>
      </w:r>
      <w:r>
        <w:rPr>
          <w:rFonts w:ascii="Arial" w:cs="Arial" w:eastAsia="Arial" w:hAnsi="Arial"/>
          <w:sz w:val="15"/>
          <w:szCs w:val="15"/>
          <w:color w:val="auto"/>
        </w:rPr>
        <w:t>— We have obtained letters of credit, performance bonds and insurance policies, and have established trust funds and issued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guarantees to support tax-exempt bonds, contracts, performance of landfill closure and post-closure requirements, environmental remediation and other obliga-</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tions. We obtain these financial assurance instruments from several sources, including an entity that we have an investment in and account for under the equity method; a wholly-owned insurance company, the sole business of which is to issue policies for the parent holding company and its other subsidiaries; and a consolidated variable interest entity that was formed to provide surety bonds to the waste industry (see Note 9).</w:t>
      </w:r>
    </w:p>
    <w:p>
      <w:pPr>
        <w:spacing w:after="0" w:line="188"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Because virtually no claims have been made against these financial instruments in the past, and considering our current financial position, we do not expect that these instruments will have a material adverse effect on our consolidated financial statements. We have not experienced any unmanageable difficulty in obtaining the required financial assurance instruments for our current operations. However, in an ongoing effort to mitigate risks of future cost increases and reductions in available capacity, we continue to evaluate various options to access cost-effective sources of financial assurance.</w:t>
      </w:r>
    </w:p>
    <w:p>
      <w:pPr>
        <w:spacing w:after="0" w:line="194"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i w:val="1"/>
          <w:iCs w:val="1"/>
          <w:color w:val="auto"/>
        </w:rPr>
        <w:t xml:space="preserve">Insurance — </w:t>
      </w:r>
      <w:r>
        <w:rPr>
          <w:rFonts w:ascii="Arial" w:cs="Arial" w:eastAsia="Arial" w:hAnsi="Arial"/>
          <w:sz w:val="16"/>
          <w:szCs w:val="16"/>
          <w:color w:val="auto"/>
        </w:rPr>
        <w:t>We carry insurance coverage for protection of our assets and operations from certain risks including automobile liability, general liability, real</w:t>
      </w:r>
      <w:r>
        <w:rPr>
          <w:rFonts w:ascii="Arial" w:cs="Arial" w:eastAsia="Arial" w:hAnsi="Arial"/>
          <w:sz w:val="16"/>
          <w:szCs w:val="16"/>
          <w:i w:val="1"/>
          <w:iCs w:val="1"/>
          <w:color w:val="auto"/>
        </w:rPr>
        <w:t xml:space="preserve"> </w:t>
      </w:r>
      <w:r>
        <w:rPr>
          <w:rFonts w:ascii="Arial" w:cs="Arial" w:eastAsia="Arial" w:hAnsi="Arial"/>
          <w:sz w:val="16"/>
          <w:szCs w:val="16"/>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timely meet their commitments. 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The estimated accruals for these liabilities could be affected if future occurrences or loss development significantly differ from utilized assumptions. We do not expect the impact of any known casualty, property, environmental or other contingency to have a material impact on our financial condition, results of operations or cash flows.</w:t>
      </w:r>
    </w:p>
    <w:p>
      <w:pPr>
        <w:spacing w:after="0" w:line="199"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potential recoveries from the liquidation, currently estimated to be approximately $26 million, it is unlikely that events relating to Reliance will have a material adverse impact on our financial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We have entered into the following guarantee agreements associated with our operations.</w:t>
      </w:r>
    </w:p>
    <w:p>
      <w:pPr>
        <w:spacing w:after="0" w:line="225" w:lineRule="exact"/>
        <w:rPr>
          <w:sz w:val="20"/>
          <w:szCs w:val="20"/>
          <w:color w:val="auto"/>
        </w:rPr>
      </w:pPr>
    </w:p>
    <w:p>
      <w:pPr>
        <w:ind w:left="460" w:hanging="101"/>
        <w:spacing w:after="0" w:line="29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Waste Management Holdings, Inc. (“WM Holdings”), one of WMI’s wholly-owned subsidiaries, has fully and unconditionally guaranteed WMI’s senior indebtedness that matures through 2032. WMI has fully and unconditionally guaranteed the senior indebtedness of WM Holdings that matures through 2026 and WM Holdings’ 5.75% convertible subordinated notes due 2005. Performance under these guarantee agreements would be required if either party defaulted on its respective obligations. No additional liability has been recorded for these guarantees because the underlying obligations are reflected in our consolidated balance sheets. See Note 11 for further information.</w:t>
      </w:r>
    </w:p>
    <w:p>
      <w:pPr>
        <w:spacing w:after="0" w:line="196" w:lineRule="exact"/>
        <w:rPr>
          <w:rFonts w:ascii="Arial" w:cs="Arial" w:eastAsia="Arial" w:hAnsi="Arial"/>
          <w:sz w:val="16"/>
          <w:szCs w:val="16"/>
          <w:color w:val="auto"/>
        </w:rPr>
      </w:pPr>
    </w:p>
    <w:p>
      <w:pPr>
        <w:ind w:left="460" w:right="40" w:hanging="101"/>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consolidated balance sheets. See Note 3 for information related to the balances and maturities of our tax-exempt bonds.</w:t>
      </w:r>
    </w:p>
    <w:p>
      <w:pPr>
        <w:spacing w:after="0" w:line="224" w:lineRule="exact"/>
        <w:rPr>
          <w:rFonts w:ascii="Arial" w:cs="Arial" w:eastAsia="Arial" w:hAnsi="Arial"/>
          <w:sz w:val="18"/>
          <w:szCs w:val="18"/>
          <w:color w:val="auto"/>
        </w:rPr>
      </w:pPr>
    </w:p>
    <w:p>
      <w:pPr>
        <w:ind w:left="460" w:right="160" w:hanging="10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guaranteed certain financial obligations of unconsolidated entities. The guarantees are primarily for the benefit of entities that we account for under the equity method of accounting. The related obligations, which mature through 2020, are not recorded on our consolidated balance sheets, and we have not recorded any liability for these guarantees. As of June 30, 2004, our maximum future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payments associated with these guarantees is approximately $35 million. However, we have ongoing relationships with the entities and believe that our performance under these guarantees is not likely.</w:t>
      </w:r>
    </w:p>
    <w:p>
      <w:pPr>
        <w:spacing w:after="0" w:line="213" w:lineRule="exact"/>
        <w:rPr>
          <w:sz w:val="20"/>
          <w:szCs w:val="20"/>
          <w:color w:val="auto"/>
        </w:rPr>
      </w:pPr>
    </w:p>
    <w:p>
      <w:pPr>
        <w:ind w:left="460" w:right="640" w:hanging="101"/>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2003, we issued a $25.6 million letter of credit to support the debt of a surety bonding company. The guaranteed obligation is included as a component of long-term debt in our condensed consolidated balance sheet.</w:t>
      </w:r>
    </w:p>
    <w:p>
      <w:pPr>
        <w:spacing w:after="0" w:line="212" w:lineRule="exact"/>
        <w:rPr>
          <w:rFonts w:ascii="Arial" w:cs="Arial" w:eastAsia="Arial" w:hAnsi="Arial"/>
          <w:sz w:val="18"/>
          <w:szCs w:val="18"/>
          <w:color w:val="auto"/>
        </w:rPr>
      </w:pPr>
    </w:p>
    <w:p>
      <w:pPr>
        <w:ind w:left="460" w:right="40" w:hanging="101"/>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WM Holdings has guaranteed all reimbursement obligations of WMI under its $350 million letter of credit facility and $295 million letter of credit and term loan agreements. Under those facilities, any draw on a letter of credit supported by the facilities will be reimbursed by WMI to the entities funding the facilities. As of June 30, 2004, we had approximately $621 million in outstanding letters of credit under these facilities.</w:t>
      </w:r>
    </w:p>
    <w:p>
      <w:pPr>
        <w:spacing w:after="0" w:line="187" w:lineRule="exact"/>
        <w:rPr>
          <w:rFonts w:ascii="Arial" w:cs="Arial" w:eastAsia="Arial" w:hAnsi="Arial"/>
          <w:sz w:val="16"/>
          <w:szCs w:val="16"/>
          <w:color w:val="auto"/>
        </w:rPr>
      </w:pPr>
    </w:p>
    <w:p>
      <w:pPr>
        <w:ind w:left="460" w:right="200" w:hanging="101"/>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the $350 million letter of credit facility, WMI and WM Holdings entered into a guarantee pursuant to which they guaranteed interest rate swap payments made by the entity funding the letter of credit facility. The probability of loss for the guarantees was determined to be remote and the fair value of the guarantees is immaterial to our financial position and results of operations.</w:t>
      </w:r>
    </w:p>
    <w:p>
      <w:pPr>
        <w:spacing w:after="0" w:line="221" w:lineRule="exact"/>
        <w:rPr>
          <w:rFonts w:ascii="Arial" w:cs="Arial" w:eastAsia="Arial" w:hAnsi="Arial"/>
          <w:sz w:val="18"/>
          <w:szCs w:val="18"/>
          <w:color w:val="auto"/>
        </w:rPr>
      </w:pPr>
    </w:p>
    <w:p>
      <w:pPr>
        <w:ind w:left="460" w:right="20" w:hanging="101"/>
        <w:spacing w:after="0" w:line="323"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Certain of our subsidiaries have guaranteed the market value of various residential properties that are adjacent to our landfills. These guarantee agreements extend over the life of the landfill. Under these agreements, we would be responsible for the difference between the sale value and the guaranteed market value of the homeowners’ properties, if any. We do not believe it is possible to determine the contingent obligation associated with these guarantees, but we do not believe that these contingent obligations will have a material effect on our financial position, results of operations or cash flows.</w:t>
      </w:r>
    </w:p>
    <w:p>
      <w:pPr>
        <w:spacing w:after="0" w:line="178" w:lineRule="exact"/>
        <w:rPr>
          <w:rFonts w:ascii="Arial" w:cs="Arial" w:eastAsia="Arial" w:hAnsi="Arial"/>
          <w:sz w:val="15"/>
          <w:szCs w:val="15"/>
          <w:color w:val="auto"/>
        </w:rPr>
      </w:pPr>
    </w:p>
    <w:p>
      <w:pPr>
        <w:ind w:left="460" w:right="360" w:hanging="101"/>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it is possible to determine the contingent obligations associated with these indemnities.</w:t>
      </w:r>
    </w:p>
    <w:p>
      <w:pPr>
        <w:spacing w:after="0" w:line="221" w:lineRule="exact"/>
        <w:rPr>
          <w:rFonts w:ascii="Arial" w:cs="Arial" w:eastAsia="Arial" w:hAnsi="Arial"/>
          <w:sz w:val="18"/>
          <w:szCs w:val="18"/>
          <w:color w:val="auto"/>
        </w:rPr>
      </w:pPr>
    </w:p>
    <w:p>
      <w:pPr>
        <w:ind w:left="460" w:hanging="101"/>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WMI guarantees the service, lease and general operating obligations of certain of its subsidiaries. If such a subsidiary fails to meet its contractual obligations as they come due, WMI has an unconditional obligation to perform on its behalf. No additional liability has been recorded for service or general operating guarantees because the subsidiaries’ obligations are properly accounted for as costs of operations as services are provided or general operating obligations are incurred. No additional liability has been recorded for the lease guarantees because the subsidiaries’ obligations are properly accounted for as operating or capital leases, as appropriate.</w:t>
      </w:r>
    </w:p>
    <w:p>
      <w:pPr>
        <w:spacing w:after="0" w:line="224" w:lineRule="exact"/>
        <w:rPr>
          <w:sz w:val="20"/>
          <w:szCs w:val="20"/>
          <w:color w:val="auto"/>
        </w:rPr>
      </w:pPr>
    </w:p>
    <w:p>
      <w:pPr>
        <w:ind w:right="860" w:firstLine="324"/>
        <w:spacing w:after="0" w:line="268"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213"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i w:val="1"/>
          <w:iCs w:val="1"/>
          <w:color w:val="auto"/>
        </w:rPr>
        <w:t xml:space="preserve">Environmental matters — </w:t>
      </w:r>
      <w:r>
        <w:rPr>
          <w:rFonts w:ascii="Arial" w:cs="Arial" w:eastAsia="Arial" w:hAnsi="Arial"/>
          <w:sz w:val="16"/>
          <w:szCs w:val="16"/>
          <w:color w:val="auto"/>
        </w:rPr>
        <w:t>Our business is intrinsically connected with the protection of the environment. As such, a significant portion of our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 For more information regarding environmental matters, see Note 2.</w:t>
      </w:r>
    </w:p>
    <w:p>
      <w:pPr>
        <w:spacing w:after="0" w:line="19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Litigation — </w:t>
      </w:r>
      <w:r>
        <w:rPr>
          <w:rFonts w:ascii="Arial" w:cs="Arial" w:eastAsia="Arial" w:hAnsi="Arial"/>
          <w:sz w:val="18"/>
          <w:szCs w:val="18"/>
          <w:color w:val="auto"/>
        </w:rPr>
        <w:t>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last several years due to numerous motions and rulings by the court related to the viability of these claims. Only limited discovery has occurred and the defendants continue to defend themselves vigorously. The extent of possible damages, if any, in this action cannot yet be determined.</w:t>
      </w:r>
    </w:p>
    <w:p>
      <w:pPr>
        <w:spacing w:after="0" w:line="16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April 2002, a former participant in WM Holdings’ ERISA plans and another individual filed a lawsuit in Washington, D.C. against us, 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the Company, its officers and directors. However, the case is ongoing with respect to WM Holdings and others. Additionally, a single group of stockholders opted not to participate in the settlement of the class action lawsuit against us related to 1998 and 1999 activity and filed an individual lawsuit against us. The Company intends to defend itself vigorously in all of these proceedings.</w:t>
      </w:r>
    </w:p>
    <w:p>
      <w:pPr>
        <w:spacing w:after="0" w:line="20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Three groups of stockholders have filed separate lawsuits in state courts in Texas and federal court in Illinois against us and certain of our former officers. The lawsuit filed in Illinois was subsequently transferred to federal court in Texas. The petitions allege that the plaintiffs are substantial holders of the Company’s common stock who intended to sell their stock in 1999, or to otherwise protect themselves against loss, but that the public statements we made regarding our prospects, and in some instances statements made by the individual defendants, were false and misleading and induced the plaintiffs to retain their stock or not to take other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 2002. That dismissal was reversed in the first quarter of 2004 by an intermediate appellate court, and we are appealing that decision. The second case also filed in state court is stayed pending resolution of the first case, and we intend to continue to vigorously defend these claims. In March 2004, the court granted our motion to dismiss the third case, which was pending in federal court, and the plaintiffs have appealed that dismissal.</w:t>
      </w:r>
    </w:p>
    <w:p>
      <w:pPr>
        <w:spacing w:after="0" w:line="201"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From time to time, we pay fines or penalties in environmental proceedings relating primarily to waste treatment, storage or disposal facilities. As of June 30, 2004, there were seven proceedings involving our subsidiaries where we reasonably believe that the sanctions could exceed $100,000. The matters involve allegations that subsidiaries (i) operated a waste-to-energy facility that, as a result of intermittent and isolated equipment malfunctions, exceeded emission limits and failed to meet monitoring requirements; (ii) are responsible for remediation of landfill gas and chemical compounds required pursuant to a Unilateral Administrative Order associated with an NPL site (a Consent Decree setting forth resolution of this matter was lodged with the Court on May 21, 2004); (iii) are responsible for late performance of work required under a Unilateral Administrative Order; (iv) improperly operated a solid waste landfill and caused excess odors; (v) improperly operated a solid waste landfill by failing to maintain required records, properly place and cover waste and adhere to proper leachate levels;</w:t>
      </w:r>
    </w:p>
    <w:p>
      <w:pPr>
        <w:ind w:firstLine="8"/>
        <w:spacing w:after="0" w:line="302" w:lineRule="auto"/>
        <w:tabs>
          <w:tab w:leader="none" w:pos="2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did not comply with air regulations requiring control of emissions at a closed landfill; and (vii) discharged wastewater from a cogeneration facility in noncompliance with waste discharge requirements issued pursuant to a state water code. We do not believe that the fines or other penalties in any of these matters will, individually or in the aggregate, have a material adverse effect on our financial condition or results of operations.</w:t>
      </w:r>
    </w:p>
    <w:p>
      <w:pPr>
        <w:spacing w:after="0" w:line="19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or results of operations in one or more future periods.</w:t>
      </w:r>
    </w:p>
    <w:p>
      <w:pPr>
        <w:spacing w:after="0" w:line="224"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We are also currently involved in other routine civil litigation and governmental proceedings relating to the conduct of our business, including litigation involving former employees and competitors. We do not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believe that any of the matters may ultimately have a material adverse impact on our consolidated financial statements.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are currently under audit by the IRS and from time to time are audited by other taxing authorities. We fully cooperate with all audits, but</w:t>
      </w:r>
      <w:r>
        <w:rPr>
          <w:rFonts w:ascii="Arial" w:cs="Arial" w:eastAsia="Arial" w:hAnsi="Arial"/>
          <w:sz w:val="16"/>
          <w:szCs w:val="16"/>
          <w:i w:val="1"/>
          <w:iCs w:val="1"/>
          <w:color w:val="auto"/>
        </w:rPr>
        <w:t xml:space="preserve"> </w:t>
      </w:r>
      <w:r>
        <w:rPr>
          <w:rFonts w:ascii="Arial" w:cs="Arial" w:eastAsia="Arial" w:hAnsi="Arial"/>
          <w:sz w:val="16"/>
          <w:szCs w:val="16"/>
          <w:color w:val="auto"/>
        </w:rPr>
        <w:t>defend our positions vigorously. Our audits are in various stages of completion. Specifically, we are in the process of concluding the appeals phase of IRS audits for the years 1989 to 1996. The audits for these years should be completed within the next 12 months. In addition, we are in the examination phase of an IRS audit for the years 1997 to 2000. This audit should also be completed within the next 12 months. To provide for potential tax exposures, we maintain an allowance for tax contingencies, the balance of which management believes is adequate. Results of audit assessments by taxing authorities could have a material effect on our quarterly or annual cash flows over the next 12 months as these audits are completed. However, we do not believe that any of these matters will have a material adverse impact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Variable Interest Entities</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January 2003, the FASB issued FIN 46, which requires variable interest entities to be consolidated by their primary beneficiaries. A primary beneficiary is the party that absorbs a majority of the entity’s expected losses or receives a majority of the entity’s expected residual returns, or both, as a result of ownership, contractual or other financial interests in the entity. In December 2003, the FASB revised FIN 46 to provide additional exemptions for application, an extended initial application period and clarification of key terms.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it applies to us, the effective dates for FIN 46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480" w:type="dxa"/>
            <w:vAlign w:val="bottom"/>
            <w:gridSpan w:val="3"/>
          </w:tcPr>
          <w:p>
            <w:pPr>
              <w:ind w:left="320"/>
              <w:spacing w:after="0"/>
              <w:rPr>
                <w:sz w:val="20"/>
                <w:szCs w:val="20"/>
                <w:color w:val="auto"/>
              </w:rPr>
            </w:pPr>
            <w:r>
              <w:rPr>
                <w:rFonts w:ascii="Arial" w:cs="Arial" w:eastAsia="Arial" w:hAnsi="Arial"/>
                <w:sz w:val="14"/>
                <w:szCs w:val="14"/>
                <w:b w:val="1"/>
                <w:bCs w:val="1"/>
                <w:color w:val="auto"/>
              </w:rPr>
              <w:t>Entity Characteristics</w:t>
            </w:r>
          </w:p>
        </w:tc>
        <w:tc>
          <w:tcPr>
            <w:tcW w:w="2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40" w:type="dxa"/>
            <w:vAlign w:val="bottom"/>
          </w:tcPr>
          <w:p>
            <w:pPr>
              <w:ind w:left="860"/>
              <w:spacing w:after="0"/>
              <w:rPr>
                <w:sz w:val="20"/>
                <w:szCs w:val="20"/>
                <w:color w:val="auto"/>
              </w:rPr>
            </w:pPr>
            <w:r>
              <w:rPr>
                <w:rFonts w:ascii="Arial" w:cs="Arial" w:eastAsia="Arial" w:hAnsi="Arial"/>
                <w:sz w:val="14"/>
                <w:szCs w:val="14"/>
                <w:color w:val="auto"/>
              </w:rPr>
              <w:t>Creation or Modification</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40" w:type="dxa"/>
            <w:vAlign w:val="bottom"/>
          </w:tcPr>
          <w:p>
            <w:pPr>
              <w:ind w:left="1480"/>
              <w:spacing w:after="0"/>
              <w:rPr>
                <w:sz w:val="20"/>
                <w:szCs w:val="20"/>
                <w:color w:val="auto"/>
              </w:rPr>
            </w:pPr>
            <w:r>
              <w:rPr>
                <w:rFonts w:ascii="Arial" w:cs="Arial" w:eastAsia="Arial" w:hAnsi="Arial"/>
                <w:sz w:val="14"/>
                <w:szCs w:val="14"/>
                <w:b w:val="1"/>
                <w:bCs w:val="1"/>
                <w:color w:val="auto"/>
              </w:rPr>
              <w:t>Entity Type</w:t>
            </w:r>
          </w:p>
        </w:tc>
        <w:tc>
          <w:tcPr>
            <w:tcW w:w="280" w:type="dxa"/>
            <w:vAlign w:val="bottom"/>
          </w:tcPr>
          <w:p>
            <w:pPr>
              <w:spacing w:after="0"/>
              <w:rPr>
                <w:sz w:val="22"/>
                <w:szCs w:val="22"/>
                <w:color w:val="auto"/>
              </w:rPr>
            </w:pPr>
          </w:p>
        </w:tc>
        <w:tc>
          <w:tcPr>
            <w:tcW w:w="2960" w:type="dxa"/>
            <w:vAlign w:val="bottom"/>
          </w:tcPr>
          <w:p>
            <w:pPr>
              <w:ind w:left="1040"/>
              <w:spacing w:after="0"/>
              <w:rPr>
                <w:sz w:val="20"/>
                <w:szCs w:val="20"/>
                <w:color w:val="auto"/>
              </w:rPr>
            </w:pPr>
            <w:r>
              <w:rPr>
                <w:rFonts w:ascii="Arial" w:cs="Arial" w:eastAsia="Arial" w:hAnsi="Arial"/>
                <w:sz w:val="14"/>
                <w:szCs w:val="14"/>
                <w:b w:val="1"/>
                <w:bCs w:val="1"/>
                <w:color w:val="auto"/>
              </w:rPr>
              <w:t>Effective Dates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After January 31, 2003</w:t>
            </w:r>
          </w:p>
        </w:tc>
        <w:tc>
          <w:tcPr>
            <w:tcW w:w="560" w:type="dxa"/>
            <w:vAlign w:val="bottom"/>
            <w:shd w:val="clear" w:color="auto" w:fill="EEEEEE"/>
          </w:tcPr>
          <w:p>
            <w:pPr>
              <w:spacing w:after="0"/>
              <w:rPr>
                <w:sz w:val="18"/>
                <w:szCs w:val="18"/>
                <w:color w:val="auto"/>
              </w:rPr>
            </w:pPr>
          </w:p>
        </w:tc>
        <w:tc>
          <w:tcPr>
            <w:tcW w:w="392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All variable interest entities(a), (b)</w:t>
            </w:r>
          </w:p>
        </w:tc>
        <w:tc>
          <w:tcPr>
            <w:tcW w:w="280" w:type="dxa"/>
            <w:vAlign w:val="bottom"/>
            <w:shd w:val="clear" w:color="auto" w:fill="EEEEEE"/>
          </w:tcPr>
          <w:p>
            <w:pPr>
              <w:spacing w:after="0"/>
              <w:rPr>
                <w:sz w:val="18"/>
                <w:szCs w:val="18"/>
                <w:color w:val="auto"/>
              </w:rPr>
            </w:pPr>
          </w:p>
        </w:tc>
        <w:tc>
          <w:tcPr>
            <w:tcW w:w="2960" w:type="dxa"/>
            <w:vAlign w:val="bottom"/>
            <w:shd w:val="clear" w:color="auto" w:fill="EEEEEE"/>
          </w:tcPr>
          <w:p>
            <w:pPr>
              <w:ind w:left="780"/>
              <w:spacing w:after="0"/>
              <w:rPr>
                <w:sz w:val="20"/>
                <w:szCs w:val="20"/>
                <w:color w:val="auto"/>
              </w:rPr>
            </w:pPr>
            <w:r>
              <w:rPr>
                <w:rFonts w:ascii="Arial" w:cs="Arial" w:eastAsia="Arial" w:hAnsi="Arial"/>
                <w:sz w:val="18"/>
                <w:szCs w:val="18"/>
                <w:color w:val="auto"/>
              </w:rPr>
              <w:t>February 1,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On or before January 31, 2003</w:t>
            </w:r>
          </w:p>
        </w:tc>
        <w:tc>
          <w:tcPr>
            <w:tcW w:w="560" w:type="dxa"/>
            <w:vAlign w:val="bottom"/>
          </w:tcPr>
          <w:p>
            <w:pPr>
              <w:spacing w:after="0"/>
              <w:rPr>
                <w:sz w:val="18"/>
                <w:szCs w:val="18"/>
                <w:color w:val="auto"/>
              </w:rPr>
            </w:pPr>
          </w:p>
        </w:tc>
        <w:tc>
          <w:tcPr>
            <w:tcW w:w="3920" w:type="dxa"/>
            <w:vAlign w:val="bottom"/>
            <w:gridSpan w:val="2"/>
          </w:tcPr>
          <w:p>
            <w:pPr>
              <w:ind w:left="280"/>
              <w:spacing w:after="0"/>
              <w:rPr>
                <w:sz w:val="20"/>
                <w:szCs w:val="20"/>
                <w:color w:val="auto"/>
              </w:rPr>
            </w:pPr>
            <w:r>
              <w:rPr>
                <w:rFonts w:ascii="Arial" w:cs="Arial" w:eastAsia="Arial" w:hAnsi="Arial"/>
                <w:sz w:val="18"/>
                <w:szCs w:val="18"/>
                <w:color w:val="auto"/>
              </w:rPr>
              <w:t>Special purpose variable interest entities(c)</w:t>
            </w:r>
          </w:p>
        </w:tc>
        <w:tc>
          <w:tcPr>
            <w:tcW w:w="280" w:type="dxa"/>
            <w:vAlign w:val="bottom"/>
          </w:tcPr>
          <w:p>
            <w:pPr>
              <w:spacing w:after="0"/>
              <w:rPr>
                <w:sz w:val="18"/>
                <w:szCs w:val="18"/>
                <w:color w:val="auto"/>
              </w:rPr>
            </w:pPr>
          </w:p>
        </w:tc>
        <w:tc>
          <w:tcPr>
            <w:tcW w:w="2960" w:type="dxa"/>
            <w:vAlign w:val="bottom"/>
          </w:tcPr>
          <w:p>
            <w:pPr>
              <w:ind w:left="780"/>
              <w:spacing w:after="0"/>
              <w:rPr>
                <w:sz w:val="20"/>
                <w:szCs w:val="20"/>
                <w:color w:val="auto"/>
              </w:rPr>
            </w:pPr>
            <w:r>
              <w:rPr>
                <w:rFonts w:ascii="Arial" w:cs="Arial" w:eastAsia="Arial" w:hAnsi="Arial"/>
                <w:sz w:val="18"/>
                <w:szCs w:val="18"/>
                <w:color w:val="auto"/>
              </w:rPr>
              <w:t>December 31,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On or before January 31, 2003</w:t>
            </w:r>
          </w:p>
        </w:tc>
        <w:tc>
          <w:tcPr>
            <w:tcW w:w="560" w:type="dxa"/>
            <w:vAlign w:val="bottom"/>
            <w:shd w:val="clear" w:color="auto" w:fill="EEEEEE"/>
          </w:tcPr>
          <w:p>
            <w:pPr>
              <w:spacing w:after="0"/>
              <w:rPr>
                <w:sz w:val="18"/>
                <w:szCs w:val="18"/>
                <w:color w:val="auto"/>
              </w:rPr>
            </w:pPr>
          </w:p>
        </w:tc>
        <w:tc>
          <w:tcPr>
            <w:tcW w:w="392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All other variable interest entities(d)</w:t>
            </w:r>
          </w:p>
        </w:tc>
        <w:tc>
          <w:tcPr>
            <w:tcW w:w="280" w:type="dxa"/>
            <w:vAlign w:val="bottom"/>
            <w:shd w:val="clear" w:color="auto" w:fill="EEEEEE"/>
          </w:tcPr>
          <w:p>
            <w:pPr>
              <w:spacing w:after="0"/>
              <w:rPr>
                <w:sz w:val="18"/>
                <w:szCs w:val="18"/>
                <w:color w:val="auto"/>
              </w:rPr>
            </w:pPr>
          </w:p>
        </w:tc>
        <w:tc>
          <w:tcPr>
            <w:tcW w:w="2960" w:type="dxa"/>
            <w:vAlign w:val="bottom"/>
            <w:shd w:val="clear" w:color="auto" w:fill="EEEEEE"/>
          </w:tcPr>
          <w:p>
            <w:pPr>
              <w:ind w:left="780"/>
              <w:spacing w:after="0"/>
              <w:rPr>
                <w:sz w:val="20"/>
                <w:szCs w:val="20"/>
                <w:color w:val="auto"/>
              </w:rPr>
            </w:pPr>
            <w:r>
              <w:rPr>
                <w:rFonts w:ascii="Arial" w:cs="Arial" w:eastAsia="Arial" w:hAnsi="Arial"/>
                <w:sz w:val="18"/>
                <w:szCs w:val="18"/>
                <w:color w:val="auto"/>
              </w:rPr>
              <w:t>March 31, 2004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180" w:hanging="462"/>
        <w:spacing w:after="0" w:line="306"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third quarter of 2003, we began consolidating a surety bonding company that was formed July 1, 2003 due to our financial interest in that company, as described in our annual report on Form 10-K for the year ended December 31, 2003. The consolidation of this variable interest entity has not had a material impact on our financial position or results of operations as of and for the three and six months ended June 30, 2004.</w:t>
      </w:r>
    </w:p>
    <w:p>
      <w:pPr>
        <w:spacing w:after="0" w:line="187" w:lineRule="exact"/>
        <w:rPr>
          <w:rFonts w:ascii="Arial" w:cs="Arial" w:eastAsia="Arial" w:hAnsi="Arial"/>
          <w:sz w:val="16"/>
          <w:szCs w:val="16"/>
          <w:color w:val="auto"/>
        </w:rPr>
      </w:pPr>
    </w:p>
    <w:p>
      <w:pPr>
        <w:ind w:left="700" w:right="200" w:hanging="462"/>
        <w:spacing w:after="0" w:line="298"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discussed in Note 4, we hold an ownership interest in two coal-based synthetic fuel production facilities. Along with the other equity investors, we support the operations of the entities in exchange for a pro-rata share of the tax credits generated by the facilities. Our obligation to support the facilities’ future operations is, therefore, limited to the tax benefit we expect to receive. We are not the primary beneficiary of either of these entities, and we do not believe that we have any material exposure to loss, as measured under the provisions of FIN 46, as a result of our investments.</w:t>
      </w:r>
    </w:p>
    <w:p>
      <w:pPr>
        <w:spacing w:after="0" w:line="193" w:lineRule="exact"/>
        <w:rPr>
          <w:rFonts w:ascii="Arial" w:cs="Arial" w:eastAsia="Arial" w:hAnsi="Arial"/>
          <w:sz w:val="16"/>
          <w:szCs w:val="16"/>
          <w:color w:val="auto"/>
        </w:rPr>
      </w:pPr>
    </w:p>
    <w:p>
      <w:pPr>
        <w:ind w:left="700" w:right="260" w:hanging="462"/>
        <w:spacing w:after="0" w:line="298"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December 31, 2003, we began consolidating two limited liability companies from which we lease three waste-to-energy facilities, as described in our Annual Report on Form 10-K for the year ended December 31, 2003. The consolidation of these entities decreased our operating expenses by approximately $13 million and $27 million for the three and six months ended June 30, 2004, respectively. However, this decrease was substantially offset by increases in depreciation expense, interest expense and minority interest expense, resulting in an immaterial impact on our net income.</w:t>
      </w:r>
    </w:p>
    <w:p>
      <w:pPr>
        <w:spacing w:after="0" w:line="193" w:lineRule="exact"/>
        <w:rPr>
          <w:rFonts w:ascii="Arial" w:cs="Arial" w:eastAsia="Arial" w:hAnsi="Arial"/>
          <w:sz w:val="16"/>
          <w:szCs w:val="16"/>
          <w:color w:val="auto"/>
        </w:rPr>
      </w:pPr>
    </w:p>
    <w:p>
      <w:pPr>
        <w:ind w:left="700" w:right="40" w:hanging="462"/>
        <w:spacing w:after="0" w:line="25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determined that we are the primary beneficiary of trust funds that are created for purposes of settling certain of our closure, post-closure or environmental remediation obligations. Therefore, on March 31, 2004, we recorded a credit of approximately $8 million, net of tax, or $0.01 per diluted share, as a cumulative effect of change in accounting principle to consolidate these trust funds. As the trust funds are generally invested in high quality, low risk financial instruments and are expected to continue to meet the statutory requirements for which they were established, we do not believe that there is any material exposure to loss associated with the trusts. The consolidation of these variable interest entities has not materially affected our financial position or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Related Information</w:t>
      </w:r>
    </w:p>
    <w:p>
      <w:pPr>
        <w:spacing w:after="0" w:line="258" w:lineRule="exact"/>
        <w:rPr>
          <w:sz w:val="20"/>
          <w:szCs w:val="20"/>
          <w:color w:val="auto"/>
        </w:rPr>
      </w:pPr>
    </w:p>
    <w:p>
      <w:pPr>
        <w:ind w:right="120" w:firstLine="324"/>
        <w:spacing w:after="0" w:line="314" w:lineRule="auto"/>
        <w:rPr>
          <w:sz w:val="20"/>
          <w:szCs w:val="20"/>
          <w:color w:val="auto"/>
        </w:rPr>
      </w:pPr>
      <w:r>
        <w:rPr>
          <w:rFonts w:ascii="Arial" w:cs="Arial" w:eastAsia="Arial" w:hAnsi="Arial"/>
          <w:sz w:val="15"/>
          <w:szCs w:val="15"/>
          <w:color w:val="auto"/>
        </w:rPr>
        <w:t>We manage and evaluate our operations primarily through our Eastern, Midwest, Southern, Western, Canadian, Wheelabrator and Recycling Groups. These seven operating Groups are presented below as our 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and hazardous waste landfills), transfer, waste-to-energy facilities and independent power production plants that are managed by Wheelabrator, recycling and other miscellaneous services to commercial, industrial, municipal and residential customers throughout the United States, Puerto Rico and Canada. The operations not managed through our seven operating Groups are presented herein as “Other NASW.”</w:t>
      </w:r>
    </w:p>
    <w:p>
      <w:pPr>
        <w:spacing w:after="0" w:line="186" w:lineRule="exact"/>
        <w:rPr>
          <w:sz w:val="20"/>
          <w:szCs w:val="20"/>
          <w:color w:val="auto"/>
        </w:rPr>
      </w:pPr>
    </w:p>
    <w:p>
      <w:pPr>
        <w:ind w:right="540" w:firstLine="324"/>
        <w:spacing w:after="0" w:line="332" w:lineRule="auto"/>
        <w:rPr>
          <w:sz w:val="20"/>
          <w:szCs w:val="20"/>
          <w:color w:val="auto"/>
        </w:rPr>
      </w:pPr>
      <w:r>
        <w:rPr>
          <w:rFonts w:ascii="Arial" w:cs="Arial" w:eastAsia="Arial" w:hAnsi="Arial"/>
          <w:sz w:val="16"/>
          <w:szCs w:val="16"/>
          <w:color w:val="auto"/>
        </w:rPr>
        <w:t>Summarized financial information concerning our reportable segments for the three and six months ended June 30 is shown in the following tables (in millions). For comparability purposes, prior period information has been restated to conform to the current year presentation.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Intercompany</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240" w:type="dxa"/>
            <w:vAlign w:val="bottom"/>
          </w:tcPr>
          <w:p>
            <w:pPr>
              <w:spacing w:after="0"/>
              <w:rPr>
                <w:sz w:val="12"/>
                <w:szCs w:val="12"/>
                <w:color w:val="auto"/>
              </w:rPr>
            </w:pP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22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220" w:type="dxa"/>
            <w:vAlign w:val="bottom"/>
          </w:tcPr>
          <w:p>
            <w:pPr>
              <w:spacing w:after="0"/>
              <w:rPr>
                <w:sz w:val="12"/>
                <w:szCs w:val="12"/>
                <w:color w:val="auto"/>
              </w:rPr>
            </w:pPr>
          </w:p>
        </w:tc>
        <w:tc>
          <w:tcPr>
            <w:tcW w:w="14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Income from</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2420" w:type="dxa"/>
            <w:vAlign w:val="bottom"/>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40" w:type="dxa"/>
            <w:vAlign w:val="bottom"/>
          </w:tcPr>
          <w:p>
            <w:pPr>
              <w:spacing w:after="0"/>
              <w:rPr>
                <w:sz w:val="15"/>
                <w:szCs w:val="15"/>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Revenues(d)</w:t>
            </w:r>
          </w:p>
        </w:tc>
        <w:tc>
          <w:tcPr>
            <w:tcW w:w="220" w:type="dxa"/>
            <w:vAlign w:val="bottom"/>
          </w:tcPr>
          <w:p>
            <w:pPr>
              <w:spacing w:after="0"/>
              <w:rPr>
                <w:sz w:val="15"/>
                <w:szCs w:val="15"/>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Revenues(e)</w:t>
            </w:r>
          </w:p>
        </w:tc>
        <w:tc>
          <w:tcPr>
            <w:tcW w:w="220" w:type="dxa"/>
            <w:vAlign w:val="bottom"/>
          </w:tcPr>
          <w:p>
            <w:pPr>
              <w:spacing w:after="0"/>
              <w:rPr>
                <w:sz w:val="15"/>
                <w:szCs w:val="15"/>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Operations(f)</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June 30, 2004</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Canadian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1,054</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(232)</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101</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Midwest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(115)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811</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(126)</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685</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158</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Western</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Recycling</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Other NASW(a)</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3,755</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(617)</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3,138</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544</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Other(b)</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5"/>
              </w:rPr>
              <w:t>(114)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3,755</w:t>
            </w:r>
          </w:p>
        </w:tc>
        <w:tc>
          <w:tcPr>
            <w:tcW w:w="4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(617)</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3,138</w:t>
            </w:r>
          </w:p>
        </w:tc>
        <w:tc>
          <w:tcPr>
            <w:tcW w:w="4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442</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June 30, 2003</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Canadian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1,005</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(220)</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785</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Midwest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762</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(119)</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643</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141</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Western</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548</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Recycling</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Other NASW(a)</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3,518</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(584)</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2,934</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477</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Other(b)</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3,518</w:t>
            </w:r>
          </w:p>
        </w:tc>
        <w:tc>
          <w:tcPr>
            <w:tcW w:w="4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(584)</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2,934</w:t>
            </w:r>
          </w:p>
        </w:tc>
        <w:tc>
          <w:tcPr>
            <w:tcW w:w="4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385</w:t>
            </w:r>
          </w:p>
        </w:tc>
        <w:tc>
          <w:tcPr>
            <w:tcW w:w="5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gridSpan w:val="2"/>
            <w:vMerge w:val="restart"/>
          </w:tcPr>
          <w:p>
            <w:pPr>
              <w:jc w:val="right"/>
              <w:ind w:right="172"/>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Intercompany</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Operating</w:t>
            </w:r>
          </w:p>
        </w:tc>
        <w:tc>
          <w:tcPr>
            <w:tcW w:w="200" w:type="dxa"/>
            <w:vAlign w:val="bottom"/>
          </w:tcPr>
          <w:p>
            <w:pPr>
              <w:spacing w:after="0"/>
              <w:rPr>
                <w:sz w:val="12"/>
                <w:szCs w:val="12"/>
                <w:color w:val="auto"/>
              </w:rPr>
            </w:pPr>
          </w:p>
        </w:tc>
        <w:tc>
          <w:tcPr>
            <w:tcW w:w="166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2"/>
                <w:szCs w:val="12"/>
                <w:color w:val="auto"/>
              </w:rPr>
            </w:pP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220" w:type="dxa"/>
            <w:vAlign w:val="bottom"/>
          </w:tcPr>
          <w:p>
            <w:pPr>
              <w:spacing w:after="0"/>
              <w:rPr>
                <w:sz w:val="12"/>
                <w:szCs w:val="12"/>
                <w:color w:val="auto"/>
              </w:rPr>
            </w:pPr>
          </w:p>
        </w:tc>
        <w:tc>
          <w:tcPr>
            <w:tcW w:w="14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Income from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ind w:left="5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1"/>
              </w:rPr>
              <w:t>Revenues</w:t>
            </w:r>
          </w:p>
        </w:tc>
        <w:tc>
          <w:tcPr>
            <w:tcW w:w="200" w:type="dxa"/>
            <w:vAlign w:val="bottom"/>
          </w:tcPr>
          <w:p>
            <w:pPr>
              <w:spacing w:after="0"/>
              <w:rPr>
                <w:sz w:val="15"/>
                <w:szCs w:val="15"/>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Revenues(d)</w:t>
            </w:r>
          </w:p>
        </w:tc>
        <w:tc>
          <w:tcPr>
            <w:tcW w:w="220" w:type="dxa"/>
            <w:vAlign w:val="bottom"/>
          </w:tcPr>
          <w:p>
            <w:pPr>
              <w:spacing w:after="0"/>
              <w:rPr>
                <w:sz w:val="15"/>
                <w:szCs w:val="15"/>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Revenues(e)</w:t>
            </w:r>
          </w:p>
        </w:tc>
        <w:tc>
          <w:tcPr>
            <w:tcW w:w="220" w:type="dxa"/>
            <w:vAlign w:val="bottom"/>
          </w:tcPr>
          <w:p>
            <w:pPr>
              <w:spacing w:after="0"/>
              <w:rPr>
                <w:sz w:val="15"/>
                <w:szCs w:val="15"/>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Operations(f)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June 30, 2004</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Canadian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298</w:t>
            </w:r>
          </w:p>
        </w:tc>
        <w:tc>
          <w:tcPr>
            <w:tcW w:w="480" w:type="dxa"/>
            <w:vAlign w:val="bottom"/>
          </w:tcPr>
          <w:p>
            <w:pPr>
              <w:spacing w:after="0"/>
              <w:rPr>
                <w:sz w:val="18"/>
                <w:szCs w:val="18"/>
                <w:color w:val="auto"/>
              </w:rPr>
            </w:pP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268</w:t>
            </w:r>
          </w:p>
        </w:tc>
        <w:tc>
          <w:tcPr>
            <w:tcW w:w="5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1,975</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1,554</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169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Midwest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1,602</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1,353</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317</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407</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379</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126</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Other NASW(a)</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7,197</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7"/>
              </w:rPr>
              <w:t>(1,163)</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6,034</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983</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Other(b)</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Corporate(c)</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7,197</w:t>
            </w:r>
          </w:p>
        </w:tc>
        <w:tc>
          <w:tcPr>
            <w:tcW w:w="4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ind w:left="7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7"/>
              </w:rPr>
              <w:t>(1,163)</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6,034</w:t>
            </w:r>
          </w:p>
        </w:tc>
        <w:tc>
          <w:tcPr>
            <w:tcW w:w="5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786</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June 30, 2003</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Canadian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480" w:type="dxa"/>
            <w:vAlign w:val="bottom"/>
          </w:tcPr>
          <w:p>
            <w:pPr>
              <w:spacing w:after="0"/>
              <w:rPr>
                <w:sz w:val="18"/>
                <w:szCs w:val="18"/>
                <w:color w:val="auto"/>
              </w:rPr>
            </w:pP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239</w:t>
            </w:r>
          </w:p>
        </w:tc>
        <w:tc>
          <w:tcPr>
            <w:tcW w:w="5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Eastern</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1,887</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1,489</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149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Midwest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Southern</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1,504</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1,272</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281</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Wheelabrator</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113</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Other NASW(a)</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Total NASW</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6,758</w:t>
            </w: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7"/>
              </w:rPr>
              <w:t>(1,092)</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5,666</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869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 (b)</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8"/>
                <w:szCs w:val="18"/>
                <w:color w:val="auto"/>
              </w:rPr>
              <w:t>Corporate (c)</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w w:val="85"/>
              </w:rPr>
              <w:t>(203)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6,758</w:t>
            </w:r>
          </w:p>
        </w:tc>
        <w:tc>
          <w:tcPr>
            <w:tcW w:w="4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ind w:left="7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7"/>
              </w:rPr>
              <w:t>(1,092)</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5,666</w:t>
            </w:r>
          </w:p>
        </w:tc>
        <w:tc>
          <w:tcPr>
            <w:tcW w:w="5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664</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460" w:hanging="462"/>
        <w:spacing w:after="0" w:line="30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NASW includes operations provided throughout our operating Groups for methane gas recovery and certain third party sub- contract and administration revenues managed by our national accounts department. Also included are certain quarter-end adjustments related to the reportable segments that are not included in the measure of segment profit or loss used to assess their performance for the periods disclosed.</w:t>
      </w:r>
    </w:p>
    <w:p>
      <w:pPr>
        <w:spacing w:after="0" w:line="187" w:lineRule="exact"/>
        <w:rPr>
          <w:rFonts w:ascii="Arial" w:cs="Arial" w:eastAsia="Arial" w:hAnsi="Arial"/>
          <w:sz w:val="16"/>
          <w:szCs w:val="16"/>
          <w:color w:val="auto"/>
        </w:rPr>
      </w:pPr>
    </w:p>
    <w:p>
      <w:pPr>
        <w:ind w:left="700" w:right="280" w:hanging="462"/>
        <w:spacing w:after="0" w:line="335" w:lineRule="auto"/>
        <w:tabs>
          <w:tab w:leader="none" w:pos="7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All of our international waste management services and non-solid waste services, reported herein as “Other”, were divested by March 31, 2002. The income (loss) from operations recognized during each of the periods presented above represents the combined impact of minimal administrative expenses that we continue to incur in connection with these divestitures and revisions of our estimated obligations associated with these divestitures.</w:t>
      </w:r>
    </w:p>
    <w:p>
      <w:pPr>
        <w:spacing w:after="0" w:line="169" w:lineRule="exact"/>
        <w:rPr>
          <w:rFonts w:ascii="Arial" w:cs="Arial" w:eastAsia="Arial" w:hAnsi="Arial"/>
          <w:sz w:val="15"/>
          <w:szCs w:val="15"/>
          <w:color w:val="auto"/>
        </w:rPr>
      </w:pPr>
    </w:p>
    <w:p>
      <w:pPr>
        <w:ind w:left="700" w:right="60" w:hanging="462"/>
        <w:spacing w:after="0" w:line="25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functions include the treasury, legal, information technology, tax, insurance, management of closed landfills and related insurance recoveries, centralized service center and other typical administrative functions. Certain of the associated costs for support services are allocated to the seven operating Groups.</w:t>
      </w:r>
    </w:p>
    <w:p>
      <w:pPr>
        <w:spacing w:after="0" w:line="221" w:lineRule="exact"/>
        <w:rPr>
          <w:rFonts w:ascii="Arial" w:cs="Arial" w:eastAsia="Arial" w:hAnsi="Arial"/>
          <w:sz w:val="18"/>
          <w:szCs w:val="18"/>
          <w:color w:val="auto"/>
        </w:rPr>
      </w:pPr>
    </w:p>
    <w:p>
      <w:pPr>
        <w:ind w:left="700" w:hanging="462"/>
        <w:spacing w:after="0" w:line="33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66" w:lineRule="exact"/>
        <w:rPr>
          <w:rFonts w:ascii="Arial" w:cs="Arial" w:eastAsia="Arial" w:hAnsi="Arial"/>
          <w:sz w:val="16"/>
          <w:szCs w:val="16"/>
          <w:color w:val="auto"/>
        </w:rPr>
      </w:pPr>
    </w:p>
    <w:p>
      <w:pPr>
        <w:ind w:left="700" w:right="80" w:hanging="462"/>
        <w:spacing w:after="0" w:line="256"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also tend to decrease during the winter months. Our first and fourth quarter results of operations typically reflect these seasonal trends. In addition, particularly harsh weather conditions may result in the temporary suspension of certain of our operations.</w:t>
      </w:r>
    </w:p>
    <w:p>
      <w:pPr>
        <w:spacing w:after="0" w:line="197" w:lineRule="exact"/>
        <w:rPr>
          <w:rFonts w:ascii="Arial" w:cs="Arial" w:eastAsia="Arial" w:hAnsi="Arial"/>
          <w:sz w:val="18"/>
          <w:szCs w:val="18"/>
          <w:color w:val="auto"/>
        </w:rPr>
      </w:pPr>
    </w:p>
    <w:p>
      <w:pPr>
        <w:ind w:left="580" w:right="480" w:hanging="342"/>
        <w:spacing w:after="0" w:line="25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our segments are generally the same as those described in the summary of significant accounting policies included in our December 31, 2003 Form 10-K, except as discussed in Note 1 included herein.</w:t>
      </w:r>
    </w:p>
    <w:p>
      <w:pPr>
        <w:sectPr>
          <w:pgSz w:w="11900" w:h="16838" w:orient="portrait"/>
          <w:cols w:equalWidth="0" w:num="1">
            <w:col w:w="11420"/>
          </w:cols>
          <w:pgMar w:left="240" w:top="419" w:right="239" w:bottom="805"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05"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shows the total revenues by principal lines of business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96"/>
              </w:rPr>
              <w:t>June 30,</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7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9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$1,950</w:t>
            </w:r>
          </w:p>
        </w:tc>
        <w:tc>
          <w:tcPr>
            <w:tcW w:w="3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$ 4,023</w:t>
            </w:r>
          </w:p>
        </w:tc>
        <w:tc>
          <w:tcPr>
            <w:tcW w:w="8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$ 3,817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Landfill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735</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1,437</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1,363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410</w:t>
            </w:r>
          </w:p>
        </w:tc>
        <w:tc>
          <w:tcPr>
            <w:tcW w:w="3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810</w:t>
            </w:r>
          </w:p>
        </w:tc>
        <w:tc>
          <w:tcPr>
            <w:tcW w:w="8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752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Wheelabrator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203</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other(a)</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3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Intercompany(b)</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(617)</w:t>
            </w:r>
          </w:p>
        </w:tc>
        <w:tc>
          <w:tcPr>
            <w:tcW w:w="1540" w:type="dxa"/>
            <w:vAlign w:val="bottom"/>
            <w:gridSpan w:val="5"/>
          </w:tcPr>
          <w:p>
            <w:pPr>
              <w:jc w:val="right"/>
              <w:ind w:right="300"/>
              <w:spacing w:after="0"/>
              <w:rPr>
                <w:sz w:val="20"/>
                <w:szCs w:val="20"/>
                <w:color w:val="auto"/>
              </w:rPr>
            </w:pPr>
            <w:r>
              <w:rPr>
                <w:rFonts w:ascii="Arial" w:cs="Arial" w:eastAsia="Arial" w:hAnsi="Arial"/>
                <w:sz w:val="18"/>
                <w:szCs w:val="18"/>
                <w:color w:val="auto"/>
              </w:rPr>
              <w:t>(584)</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(1,163)</w:t>
            </w:r>
          </w:p>
        </w:tc>
        <w:tc>
          <w:tcPr>
            <w:tcW w:w="1420" w:type="dxa"/>
            <w:vAlign w:val="bottom"/>
            <w:gridSpan w:val="5"/>
          </w:tcPr>
          <w:p>
            <w:pPr>
              <w:jc w:val="right"/>
              <w:ind w:right="18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EEEEEE"/>
              <w:right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Operating revenues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$2,934</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$ 6,034</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$ 5,666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320" w:type="dxa"/>
            <w:vAlign w:val="bottom"/>
            <w:tcBorders>
              <w:right w:val="single" w:sz="8" w:color="808080"/>
            </w:tcBorders>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420" w:hanging="462"/>
        <w:spacing w:after="0" w:line="370" w:lineRule="auto"/>
        <w:tabs>
          <w:tab w:leader="none" w:pos="700" w:val="left"/>
        </w:tabs>
        <w:numPr>
          <w:ilvl w:val="1"/>
          <w:numId w:val="22"/>
        </w:numPr>
        <w:rPr>
          <w:rFonts w:ascii="Arial" w:cs="Arial" w:eastAsia="Arial" w:hAnsi="Arial"/>
          <w:sz w:val="15"/>
          <w:szCs w:val="15"/>
          <w:color w:val="auto"/>
        </w:rPr>
      </w:pPr>
      <w:r>
        <w:rPr>
          <w:rFonts w:ascii="Arial" w:cs="Arial" w:eastAsia="Arial" w:hAnsi="Arial"/>
          <w:sz w:val="15"/>
          <w:szCs w:val="15"/>
          <w:color w:val="auto"/>
        </w:rPr>
        <w:t>In addition to the revenue generated by our Recycling Group, we have included revenues generated within our five geographic operating Groups derived from recycling, methane gas operations, sweeping services and Port-O-Let® services in the “recycling and other” line of business.</w:t>
      </w:r>
    </w:p>
    <w:p>
      <w:pPr>
        <w:spacing w:after="0" w:line="143" w:lineRule="exact"/>
        <w:rPr>
          <w:rFonts w:ascii="Arial" w:cs="Arial" w:eastAsia="Arial" w:hAnsi="Arial"/>
          <w:sz w:val="15"/>
          <w:szCs w:val="15"/>
          <w:color w:val="auto"/>
        </w:rPr>
      </w:pPr>
    </w:p>
    <w:p>
      <w:pPr>
        <w:ind w:left="700" w:hanging="462"/>
        <w:spacing w:after="0"/>
        <w:tabs>
          <w:tab w:leader="none" w:pos="7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WM Holdings has fully and unconditionally guaranteed WMI’s senior indebtedness. WMI has fully and unconditionally guaranteed all of WM Holdings’ senior indebtedness and its 5.75% convertible subordinated notes due 2005. None of WMI’s other subsidiaries have guaranteed any of WMI’s or WM Holdings’ debt. As a result of these guarantee arrangements, we are required to present the following condensed consolidating financial information (in millions):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WM</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Holdings</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5"/>
                <w:szCs w:val="15"/>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2,568</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2,568</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11,325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11,325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and advances to affiliates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9,883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6,374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(16,257)</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6,715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6,784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$10,499</w:t>
            </w: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$6,416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$20,608</w:t>
            </w:r>
          </w:p>
        </w:tc>
        <w:tc>
          <w:tcPr>
            <w:tcW w:w="40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$(16,293)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$21,230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440" w:type="dxa"/>
            <w:vAlign w:val="bottom"/>
            <w:gridSpan w:val="2"/>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780" w:type="dxa"/>
            <w:vAlign w:val="bottom"/>
            <w:gridSpan w:val="2"/>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5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800" w:type="dxa"/>
            <w:vAlign w:val="bottom"/>
            <w:shd w:val="clear" w:color="auto" w:fill="EEEEEE"/>
          </w:tcPr>
          <w:p>
            <w:pPr>
              <w:spacing w:after="0"/>
              <w:rPr>
                <w:sz w:val="24"/>
                <w:szCs w:val="24"/>
                <w:color w:val="auto"/>
              </w:rPr>
            </w:pPr>
          </w:p>
        </w:tc>
        <w:tc>
          <w:tcPr>
            <w:tcW w:w="58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0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180" w:type="dxa"/>
            <w:vAlign w:val="bottom"/>
            <w:shd w:val="clear" w:color="auto" w:fill="EEEEEE"/>
          </w:tcPr>
          <w:p>
            <w:pPr>
              <w:spacing w:after="0"/>
              <w:rPr>
                <w:sz w:val="24"/>
                <w:szCs w:val="24"/>
                <w:color w:val="auto"/>
              </w:rPr>
            </w:pPr>
          </w:p>
        </w:tc>
        <w:tc>
          <w:tcPr>
            <w:tcW w:w="42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00" w:type="dxa"/>
            <w:vAlign w:val="bottom"/>
            <w:shd w:val="clear" w:color="auto" w:fill="EEEEEE"/>
          </w:tcPr>
          <w:p>
            <w:pPr>
              <w:spacing w:after="0"/>
              <w:rPr>
                <w:sz w:val="24"/>
                <w:szCs w:val="24"/>
                <w:color w:val="auto"/>
              </w:rPr>
            </w:pPr>
          </w:p>
        </w:tc>
        <w:tc>
          <w:tcPr>
            <w:tcW w:w="500" w:type="dxa"/>
            <w:vAlign w:val="bottom"/>
            <w:shd w:val="clear" w:color="auto" w:fill="EEEEEE"/>
          </w:tcPr>
          <w:p>
            <w:pPr>
              <w:spacing w:after="0"/>
              <w:rPr>
                <w:sz w:val="24"/>
                <w:szCs w:val="24"/>
                <w:color w:val="auto"/>
              </w:rPr>
            </w:pPr>
          </w:p>
        </w:tc>
        <w:tc>
          <w:tcPr>
            <w:tcW w:w="40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440" w:type="dxa"/>
            <w:vAlign w:val="bottom"/>
            <w:tcBorders>
              <w:right w:val="single" w:sz="8" w:color="EEEEEE"/>
            </w:tcBorders>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240" w:type="dxa"/>
            <w:vAlign w:val="bottom"/>
            <w:gridSpan w:val="12"/>
          </w:tcPr>
          <w:p>
            <w:pPr>
              <w:jc w:val="center"/>
              <w:ind w:right="460"/>
              <w:spacing w:after="0"/>
              <w:rPr>
                <w:sz w:val="20"/>
                <w:szCs w:val="20"/>
                <w:color w:val="auto"/>
              </w:rPr>
            </w:pPr>
            <w:r>
              <w:rPr>
                <w:rFonts w:ascii="Arial" w:cs="Arial" w:eastAsia="Arial" w:hAnsi="Arial"/>
                <w:sz w:val="18"/>
                <w:szCs w:val="18"/>
                <w:color w:val="auto"/>
                <w:w w:val="97"/>
              </w:rPr>
              <w:t>LIABILITIES AND STOCKHOLDERS’ EQUITY</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9"/>
              </w:rPr>
              <w:t>Accounts payable and other current liabilities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2,738</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3,057</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1,203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7,947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Due to affiliates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5,674</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(5,674)</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3,678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1,375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14,798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(5,710)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15,204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w w:val="91"/>
              </w:rPr>
              <w:t>Minority interest in subsidiaries and variable interest</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entities</w:t>
            </w:r>
          </w:p>
        </w:tc>
        <w:tc>
          <w:tcPr>
            <w:tcW w:w="5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w:t>
            </w: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spacing w:after="0"/>
              <w:rPr>
                <w:sz w:val="19"/>
                <w:szCs w:val="19"/>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5,758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5,041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5,542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(10,583)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5,758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right w:val="single" w:sz="8" w:color="EEEEEE"/>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40" w:type="dxa"/>
            <w:vAlign w:val="bottom"/>
            <w:tcBorders>
              <w:right w:val="single" w:sz="8" w:color="EEEEEE"/>
            </w:tcBorders>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$10,499</w:t>
            </w: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$6,416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$20,608</w:t>
            </w:r>
          </w:p>
        </w:tc>
        <w:tc>
          <w:tcPr>
            <w:tcW w:w="40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$(16,293)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$21,230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440" w:type="dxa"/>
            <w:vAlign w:val="bottom"/>
            <w:gridSpan w:val="2"/>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5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7"/>
          </w:tcPr>
          <w:p>
            <w:pPr>
              <w:jc w:val="center"/>
              <w:spacing w:after="0"/>
              <w:rPr>
                <w:sz w:val="20"/>
                <w:szCs w:val="20"/>
                <w:color w:val="auto"/>
              </w:rPr>
            </w:pPr>
            <w:r>
              <w:rPr>
                <w:rFonts w:ascii="Arial" w:cs="Arial" w:eastAsia="Arial" w:hAnsi="Arial"/>
                <w:sz w:val="18"/>
                <w:szCs w:val="18"/>
                <w:color w:val="auto"/>
                <w:w w:val="87"/>
              </w:rPr>
              <w:t>December 31, 2003</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5"/>
          </w:tcPr>
          <w:p>
            <w:pPr>
              <w:jc w:val="center"/>
              <w:ind w:right="560"/>
              <w:spacing w:after="0"/>
              <w:rPr>
                <w:sz w:val="20"/>
                <w:szCs w:val="20"/>
                <w:color w:val="auto"/>
              </w:rPr>
            </w:pPr>
            <w:r>
              <w:rPr>
                <w:rFonts w:ascii="Arial" w:cs="Arial" w:eastAsia="Arial" w:hAnsi="Arial"/>
                <w:sz w:val="18"/>
                <w:szCs w:val="18"/>
                <w:color w:val="auto"/>
                <w:w w:val="90"/>
              </w:rPr>
              <w:t>ASSETS</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WM</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Non-Guarantor</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Holdings</w:t>
            </w:r>
          </w:p>
        </w:tc>
        <w:tc>
          <w:tcPr>
            <w:tcW w:w="1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5"/>
                <w:szCs w:val="15"/>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2,453</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2,453</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11,411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and advances to affiliates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9,936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6,065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(16,001)</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6,522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6,657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1360" w:type="dxa"/>
            <w:vAlign w:val="bottom"/>
            <w:tcBorders>
              <w:right w:val="single" w:sz="8" w:color="EEEEEE"/>
            </w:tcBorders>
            <w:gridSpan w:val="3"/>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880" w:type="dxa"/>
            <w:vAlign w:val="bottom"/>
            <w:tcBorders>
              <w:right w:val="single" w:sz="8" w:color="EEEEEE"/>
            </w:tcBorders>
            <w:gridSpan w:val="3"/>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000" w:type="dxa"/>
            <w:vAlign w:val="bottom"/>
            <w:gridSpan w:val="2"/>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660" w:type="dxa"/>
            <w:vAlign w:val="bottom"/>
            <w:gridSpan w:val="4"/>
            <w:shd w:val="clear" w:color="auto" w:fill="EEEEEE"/>
          </w:tcPr>
          <w:p>
            <w:pPr>
              <w:spacing w:after="0"/>
              <w:rPr>
                <w:sz w:val="9"/>
                <w:szCs w:val="9"/>
                <w:color w:val="auto"/>
              </w:rPr>
            </w:pPr>
          </w:p>
        </w:tc>
        <w:tc>
          <w:tcPr>
            <w:tcW w:w="1280" w:type="dxa"/>
            <w:vAlign w:val="bottom"/>
            <w:gridSpan w:val="3"/>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Borders>
              <w:top w:val="single" w:sz="8" w:color="EEEEEE"/>
            </w:tcBorders>
            <w:shd w:val="clear" w:color="auto" w:fill="EEEEEE"/>
          </w:tcPr>
          <w:p>
            <w:pPr>
              <w:spacing w:after="0"/>
              <w:rPr>
                <w:sz w:val="8"/>
                <w:szCs w:val="8"/>
                <w:color w:val="auto"/>
              </w:rPr>
            </w:pPr>
          </w:p>
        </w:tc>
        <w:tc>
          <w:tcPr>
            <w:tcW w:w="58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500" w:type="dxa"/>
            <w:vAlign w:val="bottom"/>
            <w:tcBorders>
              <w:top w:val="single" w:sz="8" w:color="808080"/>
              <w:right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1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EEEEEE"/>
            </w:tcBorders>
            <w:shd w:val="clear" w:color="auto" w:fill="EEEEEE"/>
          </w:tcPr>
          <w:p>
            <w:pPr>
              <w:spacing w:after="0"/>
              <w:rPr>
                <w:sz w:val="8"/>
                <w:szCs w:val="8"/>
                <w:color w:val="auto"/>
              </w:rPr>
            </w:pPr>
          </w:p>
        </w:tc>
        <w:tc>
          <w:tcPr>
            <w:tcW w:w="500" w:type="dxa"/>
            <w:vAlign w:val="bottom"/>
            <w:tcBorders>
              <w:top w:val="single" w:sz="8" w:color="EEEEEE"/>
            </w:tcBorders>
            <w:shd w:val="clear" w:color="auto" w:fill="EEEEEE"/>
          </w:tcPr>
          <w:p>
            <w:pPr>
              <w:spacing w:after="0"/>
              <w:rPr>
                <w:sz w:val="8"/>
                <w:szCs w:val="8"/>
                <w:color w:val="auto"/>
              </w:rPr>
            </w:pPr>
          </w:p>
        </w:tc>
        <w:tc>
          <w:tcPr>
            <w:tcW w:w="500" w:type="dxa"/>
            <w:vAlign w:val="bottom"/>
            <w:tcBorders>
              <w:top w:val="single" w:sz="8" w:color="808080"/>
            </w:tcBorders>
            <w:shd w:val="clear" w:color="auto" w:fill="EEEEEE"/>
          </w:tcPr>
          <w:p>
            <w:pPr>
              <w:spacing w:after="0"/>
              <w:rPr>
                <w:sz w:val="8"/>
                <w:szCs w:val="8"/>
                <w:color w:val="auto"/>
              </w:rPr>
            </w:pPr>
          </w:p>
        </w:tc>
        <w:tc>
          <w:tcPr>
            <w:tcW w:w="40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440" w:type="dxa"/>
            <w:vAlign w:val="bottom"/>
            <w:tcBorders>
              <w:top w:val="single" w:sz="8" w:color="EEEEEE"/>
              <w:right w:val="single" w:sz="8" w:color="EEEEEE"/>
            </w:tcBorders>
            <w:shd w:val="clear" w:color="auto" w:fill="EEEEEE"/>
          </w:tcPr>
          <w:p>
            <w:pPr>
              <w:spacing w:after="0"/>
              <w:rPr>
                <w:sz w:val="8"/>
                <w:szCs w:val="8"/>
                <w:color w:val="auto"/>
              </w:rPr>
            </w:pPr>
          </w:p>
        </w:tc>
        <w:tc>
          <w:tcPr>
            <w:tcW w:w="5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26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8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$10,189</w:t>
            </w:r>
          </w:p>
        </w:tc>
        <w:tc>
          <w:tcPr>
            <w:tcW w:w="1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$6,171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$20,386</w:t>
            </w:r>
          </w:p>
        </w:tc>
        <w:tc>
          <w:tcPr>
            <w:tcW w:w="400" w:type="dxa"/>
            <w:vAlign w:val="bottom"/>
          </w:tcPr>
          <w:p>
            <w:pPr>
              <w:spacing w:after="0"/>
              <w:rPr>
                <w:sz w:val="18"/>
                <w:szCs w:val="18"/>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$(16,008)</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$20,738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shd w:val="clear" w:color="auto" w:fill="EEEEEE"/>
          </w:tcPr>
          <w:p>
            <w:pPr>
              <w:spacing w:after="0"/>
              <w:rPr>
                <w:sz w:val="9"/>
                <w:szCs w:val="9"/>
                <w:color w:val="auto"/>
              </w:rPr>
            </w:pPr>
          </w:p>
        </w:tc>
        <w:tc>
          <w:tcPr>
            <w:tcW w:w="4240" w:type="dxa"/>
            <w:vAlign w:val="bottom"/>
            <w:gridSpan w:val="12"/>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shd w:val="clear" w:color="auto" w:fill="EEEEEE"/>
          </w:tcPr>
          <w:p>
            <w:pPr>
              <w:spacing w:after="0"/>
              <w:rPr>
                <w:sz w:val="5"/>
                <w:szCs w:val="5"/>
                <w:color w:val="auto"/>
              </w:rPr>
            </w:pPr>
          </w:p>
        </w:tc>
        <w:tc>
          <w:tcPr>
            <w:tcW w:w="5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40" w:type="dxa"/>
            <w:vAlign w:val="bottom"/>
            <w:tcBorders>
              <w:right w:val="single" w:sz="8" w:color="808080"/>
            </w:tcBorders>
            <w:shd w:val="clear" w:color="auto" w:fill="EEEEE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800" w:type="dxa"/>
            <w:vAlign w:val="bottom"/>
            <w:shd w:val="clear" w:color="auto" w:fill="EEEEEE"/>
          </w:tcPr>
          <w:p>
            <w:pPr>
              <w:spacing w:after="0"/>
              <w:rPr>
                <w:sz w:val="24"/>
                <w:szCs w:val="24"/>
                <w:color w:val="auto"/>
              </w:rPr>
            </w:pPr>
          </w:p>
        </w:tc>
        <w:tc>
          <w:tcPr>
            <w:tcW w:w="58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0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180" w:type="dxa"/>
            <w:vAlign w:val="bottom"/>
            <w:shd w:val="clear" w:color="auto" w:fill="EEEEEE"/>
          </w:tcPr>
          <w:p>
            <w:pPr>
              <w:spacing w:after="0"/>
              <w:rPr>
                <w:sz w:val="24"/>
                <w:szCs w:val="24"/>
                <w:color w:val="auto"/>
              </w:rPr>
            </w:pPr>
          </w:p>
        </w:tc>
        <w:tc>
          <w:tcPr>
            <w:tcW w:w="420" w:type="dxa"/>
            <w:vAlign w:val="bottom"/>
            <w:tcBorders>
              <w:right w:val="single" w:sz="8" w:color="EEEEEE"/>
            </w:tcBorders>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280" w:type="dxa"/>
            <w:vAlign w:val="bottom"/>
            <w:shd w:val="clear" w:color="auto" w:fill="EEEEEE"/>
          </w:tcPr>
          <w:p>
            <w:pPr>
              <w:spacing w:after="0"/>
              <w:rPr>
                <w:sz w:val="24"/>
                <w:szCs w:val="24"/>
                <w:color w:val="auto"/>
              </w:rPr>
            </w:pPr>
          </w:p>
        </w:tc>
        <w:tc>
          <w:tcPr>
            <w:tcW w:w="500" w:type="dxa"/>
            <w:vAlign w:val="bottom"/>
            <w:shd w:val="clear" w:color="auto" w:fill="EEEEEE"/>
          </w:tcPr>
          <w:p>
            <w:pPr>
              <w:spacing w:after="0"/>
              <w:rPr>
                <w:sz w:val="24"/>
                <w:szCs w:val="24"/>
                <w:color w:val="auto"/>
              </w:rPr>
            </w:pPr>
          </w:p>
        </w:tc>
        <w:tc>
          <w:tcPr>
            <w:tcW w:w="500" w:type="dxa"/>
            <w:vAlign w:val="bottom"/>
            <w:shd w:val="clear" w:color="auto" w:fill="EEEEEE"/>
          </w:tcPr>
          <w:p>
            <w:pPr>
              <w:spacing w:after="0"/>
              <w:rPr>
                <w:sz w:val="24"/>
                <w:szCs w:val="24"/>
                <w:color w:val="auto"/>
              </w:rPr>
            </w:pPr>
          </w:p>
        </w:tc>
        <w:tc>
          <w:tcPr>
            <w:tcW w:w="40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440" w:type="dxa"/>
            <w:vAlign w:val="bottom"/>
            <w:tcBorders>
              <w:right w:val="single" w:sz="8" w:color="EEEEEE"/>
            </w:tcBorders>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260" w:type="dxa"/>
            <w:vAlign w:val="bottom"/>
            <w:shd w:val="clear" w:color="auto" w:fill="EEEEEE"/>
          </w:tcPr>
          <w:p>
            <w:pPr>
              <w:spacing w:after="0"/>
              <w:rPr>
                <w:sz w:val="24"/>
                <w:szCs w:val="24"/>
                <w:color w:val="auto"/>
              </w:rPr>
            </w:pPr>
          </w:p>
        </w:tc>
        <w:tc>
          <w:tcPr>
            <w:tcW w:w="540" w:type="dxa"/>
            <w:vAlign w:val="bottom"/>
            <w:shd w:val="clear" w:color="auto" w:fill="EEEEEE"/>
          </w:tcPr>
          <w:p>
            <w:pPr>
              <w:spacing w:after="0"/>
              <w:rPr>
                <w:sz w:val="24"/>
                <w:szCs w:val="24"/>
                <w:color w:val="auto"/>
              </w:rPr>
            </w:pPr>
          </w:p>
        </w:tc>
        <w:tc>
          <w:tcPr>
            <w:tcW w:w="480" w:type="dxa"/>
            <w:vAlign w:val="bottom"/>
            <w:shd w:val="clear" w:color="auto" w:fill="EEEEEE"/>
          </w:tcPr>
          <w:p>
            <w:pPr>
              <w:spacing w:after="0"/>
              <w:rPr>
                <w:sz w:val="24"/>
                <w:szCs w:val="24"/>
                <w:color w:val="auto"/>
              </w:rPr>
            </w:pPr>
          </w:p>
        </w:tc>
        <w:tc>
          <w:tcPr>
            <w:tcW w:w="42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240" w:type="dxa"/>
            <w:vAlign w:val="bottom"/>
            <w:gridSpan w:val="12"/>
          </w:tcPr>
          <w:p>
            <w:pPr>
              <w:jc w:val="center"/>
              <w:ind w:right="460"/>
              <w:spacing w:after="0"/>
              <w:rPr>
                <w:sz w:val="20"/>
                <w:szCs w:val="20"/>
                <w:color w:val="auto"/>
              </w:rPr>
            </w:pPr>
            <w:r>
              <w:rPr>
                <w:rFonts w:ascii="Arial" w:cs="Arial" w:eastAsia="Arial" w:hAnsi="Arial"/>
                <w:sz w:val="18"/>
                <w:szCs w:val="18"/>
                <w:color w:val="auto"/>
                <w:w w:val="97"/>
              </w:rPr>
              <w:t>LIABILITIES AND STOCKHOLDERS’ EQUITY</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40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9"/>
              </w:rPr>
              <w:t>Accounts payable and other current liabilities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2,776</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3,172</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3,414</w:t>
            </w:r>
          </w:p>
        </w:tc>
        <w:tc>
          <w:tcPr>
            <w:tcW w:w="420" w:type="dxa"/>
            <w:vAlign w:val="bottom"/>
          </w:tcPr>
          <w:p>
            <w:pPr>
              <w:spacing w:after="0"/>
              <w:rPr>
                <w:sz w:val="19"/>
                <w:szCs w:val="19"/>
                <w:color w:val="auto"/>
              </w:rPr>
            </w:pPr>
          </w:p>
        </w:tc>
      </w:tr>
      <w:tr>
        <w:trPr>
          <w:trHeight w:val="218"/>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4,325</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1,531</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2,141</w:t>
            </w:r>
          </w:p>
        </w:tc>
        <w:tc>
          <w:tcPr>
            <w:tcW w:w="10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420" w:type="dxa"/>
            <w:vAlign w:val="bottom"/>
            <w:shd w:val="clear" w:color="auto" w:fill="EEEEEE"/>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Due to affiliates</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6,327</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(6,327)</w:t>
            </w:r>
          </w:p>
        </w:tc>
        <w:tc>
          <w:tcPr>
            <w:tcW w:w="6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3,413</w:t>
            </w:r>
          </w:p>
        </w:tc>
        <w:tc>
          <w:tcPr>
            <w:tcW w:w="10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3,514</w:t>
            </w:r>
          </w:p>
        </w:tc>
        <w:tc>
          <w:tcPr>
            <w:tcW w:w="420" w:type="dxa"/>
            <w:vAlign w:val="bottom"/>
            <w:shd w:val="clear" w:color="auto" w:fill="EEEEEE"/>
          </w:tcPr>
          <w:p>
            <w:pPr>
              <w:spacing w:after="0"/>
              <w:rPr>
                <w:sz w:val="18"/>
                <w:szCs w:val="18"/>
                <w:color w:val="auto"/>
              </w:rPr>
            </w:pPr>
          </w:p>
        </w:tc>
      </w:tr>
      <w:tr>
        <w:trPr>
          <w:trHeight w:val="108"/>
        </w:trPr>
        <w:tc>
          <w:tcPr>
            <w:tcW w:w="4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102"/>
        </w:trPr>
        <w:tc>
          <w:tcPr>
            <w:tcW w:w="4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41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liabilities</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4,626</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1,580</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15,053</w:t>
            </w:r>
          </w:p>
        </w:tc>
        <w:tc>
          <w:tcPr>
            <w:tcW w:w="224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(6,334)</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14,925</w:t>
            </w:r>
          </w:p>
        </w:tc>
        <w:tc>
          <w:tcPr>
            <w:tcW w:w="420" w:type="dxa"/>
            <w:vAlign w:val="bottom"/>
            <w:shd w:val="clear" w:color="auto" w:fill="EEEEEE"/>
          </w:tcPr>
          <w:p>
            <w:pPr>
              <w:spacing w:after="0"/>
              <w:rPr>
                <w:sz w:val="18"/>
                <w:szCs w:val="18"/>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Minority interest in subsidiaries and variable interest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4160" w:type="dxa"/>
            <w:vAlign w:val="bottom"/>
          </w:tcPr>
          <w:p>
            <w:pPr>
              <w:ind w:left="140"/>
              <w:spacing w:after="0"/>
              <w:rPr>
                <w:sz w:val="20"/>
                <w:szCs w:val="20"/>
                <w:color w:val="auto"/>
              </w:rPr>
            </w:pPr>
            <w:r>
              <w:rPr>
                <w:rFonts w:ascii="Arial" w:cs="Arial" w:eastAsia="Arial" w:hAnsi="Arial"/>
                <w:sz w:val="18"/>
                <w:szCs w:val="18"/>
                <w:color w:val="auto"/>
              </w:rPr>
              <w:t>entities</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08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9"/>
                <w:szCs w:val="19"/>
                <w:color w:val="auto"/>
              </w:rPr>
            </w:pPr>
          </w:p>
        </w:tc>
      </w:tr>
      <w:tr>
        <w:trPr>
          <w:trHeight w:val="218"/>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5,563</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4,591</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5,083</w:t>
            </w:r>
          </w:p>
        </w:tc>
        <w:tc>
          <w:tcPr>
            <w:tcW w:w="224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(9,674)</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5,563</w:t>
            </w:r>
          </w:p>
        </w:tc>
        <w:tc>
          <w:tcPr>
            <w:tcW w:w="420" w:type="dxa"/>
            <w:vAlign w:val="bottom"/>
            <w:shd w:val="clear" w:color="auto" w:fill="EEEEEE"/>
          </w:tcPr>
          <w:p>
            <w:pPr>
              <w:spacing w:after="0"/>
              <w:rPr>
                <w:sz w:val="18"/>
                <w:szCs w:val="18"/>
                <w:color w:val="auto"/>
              </w:rPr>
            </w:pPr>
          </w:p>
        </w:tc>
      </w:tr>
      <w:tr>
        <w:trPr>
          <w:trHeight w:val="108"/>
        </w:trPr>
        <w:tc>
          <w:tcPr>
            <w:tcW w:w="4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102"/>
        </w:trPr>
        <w:tc>
          <w:tcPr>
            <w:tcW w:w="4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41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$10,189</w:t>
            </w:r>
          </w:p>
        </w:tc>
        <w:tc>
          <w:tcPr>
            <w:tcW w:w="10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$6,171</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$20,386</w:t>
            </w:r>
          </w:p>
        </w:tc>
        <w:tc>
          <w:tcPr>
            <w:tcW w:w="224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$(16,008)</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$20,738</w:t>
            </w:r>
          </w:p>
        </w:tc>
        <w:tc>
          <w:tcPr>
            <w:tcW w:w="420" w:type="dxa"/>
            <w:vAlign w:val="bottom"/>
            <w:shd w:val="clear" w:color="auto" w:fill="EEEEEE"/>
          </w:tcPr>
          <w:p>
            <w:pPr>
              <w:spacing w:after="0"/>
              <w:rPr>
                <w:sz w:val="18"/>
                <w:szCs w:val="18"/>
                <w:color w:val="auto"/>
              </w:rPr>
            </w:pPr>
          </w:p>
        </w:tc>
      </w:tr>
      <w:tr>
        <w:trPr>
          <w:trHeight w:val="105"/>
        </w:trPr>
        <w:tc>
          <w:tcPr>
            <w:tcW w:w="4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4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535"/>
        </w:trPr>
        <w:tc>
          <w:tcPr>
            <w:tcW w:w="4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8"/>
        </w:trPr>
        <w:tc>
          <w:tcPr>
            <w:tcW w:w="4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June 30,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11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6"/>
              </w:rPr>
              <w:t>Holdings</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56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ind w:right="680"/>
              <w:spacing w:after="0"/>
              <w:rPr>
                <w:sz w:val="20"/>
                <w:szCs w:val="20"/>
                <w:color w:val="auto"/>
              </w:rPr>
            </w:pPr>
            <w:r>
              <w:rPr>
                <w:rFonts w:ascii="Arial" w:cs="Arial" w:eastAsia="Arial" w:hAnsi="Arial"/>
                <w:sz w:val="18"/>
                <w:szCs w:val="18"/>
                <w:color w:val="auto"/>
              </w:rPr>
              <w:t>$ —</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$3,138</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$3,138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2,696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2,696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 net</w:t>
            </w:r>
          </w:p>
        </w:tc>
        <w:tc>
          <w:tcPr>
            <w:tcW w:w="114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(66)</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(531)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gridSpan w:val="4"/>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w w:val="91"/>
              </w:rPr>
              <w:t>Equity in losses of unconsolidated entities and other,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(531)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(531)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114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(24)</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(8)</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4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$(531)</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3"/>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gridSpan w:val="3"/>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660" w:type="dxa"/>
            <w:vAlign w:val="bottom"/>
            <w:gridSpan w:val="3"/>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00" w:type="dxa"/>
            <w:vAlign w:val="bottom"/>
            <w:gridSpan w:val="10"/>
          </w:tcPr>
          <w:p>
            <w:pPr>
              <w:jc w:val="center"/>
              <w:ind w:right="60"/>
              <w:spacing w:after="0"/>
              <w:rPr>
                <w:sz w:val="20"/>
                <w:szCs w:val="20"/>
                <w:color w:val="auto"/>
              </w:rPr>
            </w:pPr>
            <w:r>
              <w:rPr>
                <w:rFonts w:ascii="Arial" w:cs="Arial" w:eastAsia="Arial" w:hAnsi="Arial"/>
                <w:sz w:val="18"/>
                <w:szCs w:val="18"/>
                <w:color w:val="auto"/>
                <w:w w:val="87"/>
              </w:rPr>
              <w:t>Three Months Ended June 30, 2003</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8"/>
          </w:tcPr>
          <w:p>
            <w:pPr>
              <w:jc w:val="center"/>
              <w:ind w:right="820"/>
              <w:spacing w:after="0"/>
              <w:rPr>
                <w:sz w:val="20"/>
                <w:szCs w:val="20"/>
                <w:color w:val="auto"/>
              </w:rPr>
            </w:pPr>
            <w:r>
              <w:rPr>
                <w:rFonts w:ascii="Arial" w:cs="Arial" w:eastAsia="Arial" w:hAnsi="Arial"/>
                <w:sz w:val="18"/>
                <w:szCs w:val="18"/>
                <w:color w:val="auto"/>
                <w:w w:val="91"/>
              </w:rPr>
              <w:t>(Unaudited)</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11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6"/>
              </w:rPr>
              <w:t>Holdings</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gridSpan w:val="5"/>
          </w:tcPr>
          <w:p>
            <w:pPr>
              <w:spacing w:after="0"/>
              <w:rPr>
                <w:sz w:val="8"/>
                <w:szCs w:val="8"/>
                <w:color w:val="auto"/>
              </w:rPr>
            </w:pPr>
          </w:p>
        </w:tc>
        <w:tc>
          <w:tcPr>
            <w:tcW w:w="80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760" w:type="dxa"/>
            <w:vAlign w:val="bottom"/>
            <w:gridSpan w:val="2"/>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56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ind w:right="680"/>
              <w:spacing w:after="0"/>
              <w:rPr>
                <w:sz w:val="20"/>
                <w:szCs w:val="20"/>
                <w:color w:val="auto"/>
              </w:rPr>
            </w:pPr>
            <w:r>
              <w:rPr>
                <w:rFonts w:ascii="Arial" w:cs="Arial" w:eastAsia="Arial" w:hAnsi="Arial"/>
                <w:sz w:val="18"/>
                <w:szCs w:val="18"/>
                <w:color w:val="auto"/>
              </w:rPr>
              <w:t>$ —</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$2,934</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$2,934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2,549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8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940" w:type="dxa"/>
            <w:vAlign w:val="bottom"/>
            <w:gridSpan w:val="4"/>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Borders>
              <w:top w:val="single" w:sz="8" w:color="EEEEEE"/>
            </w:tcBorders>
            <w:shd w:val="clear" w:color="auto" w:fill="EEEEEE"/>
          </w:tcPr>
          <w:p>
            <w:pPr>
              <w:spacing w:after="0"/>
              <w:rPr>
                <w:sz w:val="8"/>
                <w:szCs w:val="8"/>
                <w:color w:val="auto"/>
              </w:rPr>
            </w:pPr>
          </w:p>
        </w:tc>
        <w:tc>
          <w:tcPr>
            <w:tcW w:w="56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3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 net</w:t>
            </w:r>
          </w:p>
        </w:tc>
        <w:tc>
          <w:tcPr>
            <w:tcW w:w="114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(59)</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(447)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gridSpan w:val="4"/>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w w:val="88"/>
              </w:rPr>
              <w:t>Equity in earnings of unconsolidated entities and other,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EEEEEE"/>
          </w:tcPr>
          <w:p>
            <w:pPr>
              <w:spacing w:after="0"/>
              <w:rPr>
                <w:sz w:val="9"/>
                <w:szCs w:val="9"/>
                <w:color w:val="auto"/>
              </w:rPr>
            </w:pPr>
          </w:p>
        </w:tc>
        <w:tc>
          <w:tcPr>
            <w:tcW w:w="1040" w:type="dxa"/>
            <w:vAlign w:val="bottom"/>
            <w:gridSpan w:val="3"/>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Borders>
              <w:top w:val="single" w:sz="8" w:color="EEEEEE"/>
            </w:tcBorders>
            <w:shd w:val="clear" w:color="auto" w:fill="EEEEEE"/>
          </w:tcPr>
          <w:p>
            <w:pPr>
              <w:spacing w:after="0"/>
              <w:rPr>
                <w:sz w:val="8"/>
                <w:szCs w:val="8"/>
                <w:color w:val="auto"/>
              </w:rPr>
            </w:pPr>
          </w:p>
        </w:tc>
        <w:tc>
          <w:tcPr>
            <w:tcW w:w="56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3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(447)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EEEEEE"/>
          </w:tcPr>
          <w:p>
            <w:pPr>
              <w:spacing w:after="0"/>
              <w:rPr>
                <w:sz w:val="9"/>
                <w:szCs w:val="9"/>
                <w:color w:val="auto"/>
              </w:rPr>
            </w:pPr>
          </w:p>
        </w:tc>
        <w:tc>
          <w:tcPr>
            <w:tcW w:w="1040" w:type="dxa"/>
            <w:vAlign w:val="bottom"/>
            <w:gridSpan w:val="3"/>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Borders>
              <w:top w:val="single" w:sz="8" w:color="EEEEEE"/>
            </w:tcBorders>
            <w:shd w:val="clear" w:color="auto" w:fill="EEEEEE"/>
          </w:tcPr>
          <w:p>
            <w:pPr>
              <w:spacing w:after="0"/>
              <w:rPr>
                <w:sz w:val="8"/>
                <w:szCs w:val="8"/>
                <w:color w:val="auto"/>
              </w:rPr>
            </w:pPr>
          </w:p>
        </w:tc>
        <w:tc>
          <w:tcPr>
            <w:tcW w:w="56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160" w:type="dxa"/>
            <w:vAlign w:val="bottom"/>
            <w:tcBorders>
              <w:top w:val="single" w:sz="8" w:color="EEEEEE"/>
            </w:tcBorders>
            <w:shd w:val="clear" w:color="auto" w:fill="EEEEEE"/>
          </w:tcPr>
          <w:p>
            <w:pPr>
              <w:spacing w:after="0"/>
              <w:rPr>
                <w:sz w:val="8"/>
                <w:szCs w:val="8"/>
                <w:color w:val="auto"/>
              </w:rPr>
            </w:pPr>
          </w:p>
        </w:tc>
        <w:tc>
          <w:tcPr>
            <w:tcW w:w="38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(447)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114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(22)</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gridSpan w:val="4"/>
          </w:tcPr>
          <w:p>
            <w:pPr>
              <w:spacing w:after="0"/>
              <w:rPr>
                <w:sz w:val="9"/>
                <w:szCs w:val="9"/>
                <w:color w:val="auto"/>
              </w:rPr>
            </w:pPr>
          </w:p>
        </w:tc>
        <w:tc>
          <w:tcPr>
            <w:tcW w:w="8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$(447)</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June 30,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WM</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Holdings</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 —</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$6,034</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$6,034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5,248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5,248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5"/>
              </w:rPr>
              <w:t>(130)</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450</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(930)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1"/>
              </w:rPr>
              <w:t>Equity in losses of unconsolidated entities and other,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320</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(930)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5"/>
              </w:rPr>
              <w:t>Income before cumulative effect of changes in accounting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principles and income taxes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320</w:t>
            </w: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(930)</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(48)</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w w:val="95"/>
              </w:rPr>
              <w:t>Income before cumulative effect of changes in accounting</w:t>
            </w: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5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368</w:t>
            </w:r>
          </w:p>
        </w:tc>
        <w:tc>
          <w:tcPr>
            <w:tcW w:w="100" w:type="dxa"/>
            <w:vAlign w:val="bottom"/>
            <w:shd w:val="clear" w:color="auto" w:fill="EEEEEE"/>
          </w:tcPr>
          <w:p>
            <w:pPr>
              <w:spacing w:after="0"/>
              <w:rPr>
                <w:sz w:val="19"/>
                <w:szCs w:val="19"/>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472</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0"/>
              </w:rPr>
              <w:t>(930)</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Cumulative effect of changes in accounting principles, net of</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taxes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$ 368</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480</w:t>
            </w:r>
          </w:p>
        </w:tc>
        <w:tc>
          <w:tcPr>
            <w:tcW w:w="420" w:type="dxa"/>
            <w:vAlign w:val="bottom"/>
          </w:tcPr>
          <w:p>
            <w:pPr>
              <w:spacing w:after="0"/>
              <w:rPr>
                <w:sz w:val="18"/>
                <w:szCs w:val="18"/>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color w:val="auto"/>
              </w:rPr>
              <w:t>$(930)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0" w:type="dxa"/>
            <w:vAlign w:val="bottom"/>
            <w:gridSpan w:val="2"/>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60" w:type="dxa"/>
            <w:vAlign w:val="bottom"/>
            <w:gridSpan w:val="9"/>
          </w:tcPr>
          <w:p>
            <w:pPr>
              <w:jc w:val="center"/>
              <w:ind w:left="32"/>
              <w:spacing w:after="0"/>
              <w:rPr>
                <w:sz w:val="20"/>
                <w:szCs w:val="20"/>
                <w:color w:val="auto"/>
              </w:rPr>
            </w:pPr>
            <w:r>
              <w:rPr>
                <w:rFonts w:ascii="Arial" w:cs="Arial" w:eastAsia="Arial" w:hAnsi="Arial"/>
                <w:sz w:val="18"/>
                <w:szCs w:val="18"/>
                <w:color w:val="auto"/>
                <w:w w:val="88"/>
              </w:rPr>
              <w:t>Six Months Ended June 30, 2003</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7"/>
          </w:tcPr>
          <w:p>
            <w:pPr>
              <w:jc w:val="center"/>
              <w:ind w:right="620"/>
              <w:spacing w:after="0"/>
              <w:rPr>
                <w:sz w:val="20"/>
                <w:szCs w:val="20"/>
                <w:color w:val="auto"/>
              </w:rPr>
            </w:pPr>
            <w:r>
              <w:rPr>
                <w:rFonts w:ascii="Arial" w:cs="Arial" w:eastAsia="Arial" w:hAnsi="Arial"/>
                <w:sz w:val="18"/>
                <w:szCs w:val="18"/>
                <w:color w:val="auto"/>
                <w:w w:val="91"/>
              </w:rPr>
              <w:t>(Unaudited)</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WM</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Non-Guarantor</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Holdings</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gridSpan w:val="4"/>
          </w:tcPr>
          <w:p>
            <w:pPr>
              <w:spacing w:after="0"/>
              <w:rPr>
                <w:sz w:val="8"/>
                <w:szCs w:val="8"/>
                <w:color w:val="auto"/>
              </w:rPr>
            </w:pPr>
          </w:p>
        </w:tc>
        <w:tc>
          <w:tcPr>
            <w:tcW w:w="96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760" w:type="dxa"/>
            <w:vAlign w:val="bottom"/>
            <w:gridSpan w:val="2"/>
          </w:tcPr>
          <w:p>
            <w:pPr>
              <w:spacing w:after="0"/>
              <w:rPr>
                <w:sz w:val="8"/>
                <w:szCs w:val="8"/>
                <w:color w:val="auto"/>
              </w:rPr>
            </w:pPr>
          </w:p>
        </w:tc>
        <w:tc>
          <w:tcPr>
            <w:tcW w:w="1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 —</w:t>
            </w:r>
          </w:p>
        </w:tc>
        <w:tc>
          <w:tcPr>
            <w:tcW w:w="9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$5,666</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$5,666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5,002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5,002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2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780" w:type="dxa"/>
            <w:vAlign w:val="bottom"/>
            <w:gridSpan w:val="3"/>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5"/>
              </w:rPr>
              <w:t>(119)</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Equity in subsidiaries, net of taxes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312</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(665)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w w:val="91"/>
              </w:rPr>
              <w:t>Equity in losses of unconsolidated entities and other,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760" w:type="dxa"/>
            <w:vAlign w:val="bottom"/>
            <w:gridSpan w:val="2"/>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193</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(665)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5"/>
              </w:rPr>
              <w:t>Income before cumulative effect of changes in accounting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principles and income taxes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193</w:t>
            </w: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(665)</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(44)</w:t>
            </w:r>
          </w:p>
        </w:tc>
        <w:tc>
          <w:tcPr>
            <w:tcW w:w="10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w w:val="95"/>
              </w:rPr>
              <w:t>Income before cumulative effect of changes in accounting</w:t>
            </w: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5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237</w:t>
            </w:r>
          </w:p>
        </w:tc>
        <w:tc>
          <w:tcPr>
            <w:tcW w:w="100" w:type="dxa"/>
            <w:vAlign w:val="bottom"/>
            <w:shd w:val="clear" w:color="auto" w:fill="EEEEEE"/>
          </w:tcPr>
          <w:p>
            <w:pPr>
              <w:spacing w:after="0"/>
              <w:rPr>
                <w:sz w:val="19"/>
                <w:szCs w:val="19"/>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399</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0"/>
              </w:rPr>
              <w:t>(665)</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283</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Cumulative effect of changes in accounting principles, net of</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taxes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1060" w:type="dxa"/>
            <w:vAlign w:val="bottom"/>
            <w:gridSpan w:val="3"/>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00" w:type="dxa"/>
            <w:vAlign w:val="bottom"/>
            <w:tcBorders>
              <w:right w:val="single" w:sz="8" w:color="EEEEEE"/>
            </w:tcBorders>
            <w:gridSpan w:val="3"/>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480" w:type="dxa"/>
            <w:vAlign w:val="bottom"/>
            <w:gridSpan w:val="4"/>
            <w:shd w:val="clear" w:color="auto" w:fill="EEEEEE"/>
          </w:tcPr>
          <w:p>
            <w:pPr>
              <w:spacing w:after="0"/>
              <w:rPr>
                <w:sz w:val="9"/>
                <w:szCs w:val="9"/>
                <w:color w:val="auto"/>
              </w:rPr>
            </w:pPr>
          </w:p>
        </w:tc>
        <w:tc>
          <w:tcPr>
            <w:tcW w:w="840" w:type="dxa"/>
            <w:vAlign w:val="bottom"/>
            <w:gridSpan w:val="2"/>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20" w:type="dxa"/>
            <w:vAlign w:val="bottom"/>
            <w:tcBorders>
              <w:top w:val="single" w:sz="8" w:color="808080"/>
            </w:tcBorders>
            <w:shd w:val="clear" w:color="auto" w:fill="EEEEEE"/>
          </w:tcPr>
          <w:p>
            <w:pPr>
              <w:spacing w:after="0"/>
              <w:rPr>
                <w:sz w:val="8"/>
                <w:szCs w:val="8"/>
                <w:color w:val="auto"/>
              </w:rPr>
            </w:pPr>
          </w:p>
        </w:tc>
        <w:tc>
          <w:tcPr>
            <w:tcW w:w="1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220" w:type="dxa"/>
            <w:vAlign w:val="bottom"/>
            <w:tcBorders>
              <w:top w:val="single" w:sz="8" w:color="EEEEEE"/>
            </w:tcBorders>
            <w:shd w:val="clear" w:color="auto" w:fill="EEEEEE"/>
          </w:tcPr>
          <w:p>
            <w:pPr>
              <w:spacing w:after="0"/>
              <w:rPr>
                <w:sz w:val="8"/>
                <w:szCs w:val="8"/>
                <w:color w:val="auto"/>
              </w:rPr>
            </w:pPr>
          </w:p>
        </w:tc>
        <w:tc>
          <w:tcPr>
            <w:tcW w:w="280" w:type="dxa"/>
            <w:vAlign w:val="bottom"/>
            <w:tcBorders>
              <w:top w:val="single" w:sz="8" w:color="808080"/>
              <w:right w:val="single" w:sz="8" w:color="EEEEEE"/>
            </w:tcBorders>
            <w:shd w:val="clear" w:color="auto" w:fill="EEEEEE"/>
          </w:tcPr>
          <w:p>
            <w:pPr>
              <w:spacing w:after="0"/>
              <w:rPr>
                <w:sz w:val="8"/>
                <w:szCs w:val="8"/>
                <w:color w:val="auto"/>
              </w:rPr>
            </w:pPr>
          </w:p>
        </w:tc>
        <w:tc>
          <w:tcPr>
            <w:tcW w:w="20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40" w:type="dxa"/>
            <w:vAlign w:val="bottom"/>
            <w:tcBorders>
              <w:top w:val="single" w:sz="8" w:color="808080"/>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300" w:type="dxa"/>
            <w:vAlign w:val="bottom"/>
            <w:tcBorders>
              <w:top w:val="single" w:sz="8" w:color="EEEEEE"/>
            </w:tcBorders>
            <w:shd w:val="clear" w:color="auto" w:fill="EEEEEE"/>
          </w:tcPr>
          <w:p>
            <w:pPr>
              <w:spacing w:after="0"/>
              <w:rPr>
                <w:sz w:val="8"/>
                <w:szCs w:val="8"/>
                <w:color w:val="auto"/>
              </w:rPr>
            </w:pPr>
          </w:p>
        </w:tc>
        <w:tc>
          <w:tcPr>
            <w:tcW w:w="540" w:type="dxa"/>
            <w:vAlign w:val="bottom"/>
            <w:tcBorders>
              <w:top w:val="single" w:sz="8" w:color="EEEEEE"/>
            </w:tcBorders>
            <w:shd w:val="clear" w:color="auto" w:fill="EEEEEE"/>
          </w:tcPr>
          <w:p>
            <w:pPr>
              <w:spacing w:after="0"/>
              <w:rPr>
                <w:sz w:val="8"/>
                <w:szCs w:val="8"/>
                <w:color w:val="auto"/>
              </w:rPr>
            </w:pPr>
          </w:p>
        </w:tc>
        <w:tc>
          <w:tcPr>
            <w:tcW w:w="420" w:type="dxa"/>
            <w:vAlign w:val="bottom"/>
            <w:tcBorders>
              <w:top w:val="single" w:sz="8" w:color="808080"/>
              <w:right w:val="single" w:sz="8" w:color="EEEEEE"/>
            </w:tcBorders>
            <w:shd w:val="clear" w:color="auto" w:fill="EEEEEE"/>
          </w:tcPr>
          <w:p>
            <w:pPr>
              <w:spacing w:after="0"/>
              <w:rPr>
                <w:sz w:val="8"/>
                <w:szCs w:val="8"/>
                <w:color w:val="auto"/>
              </w:rPr>
            </w:pPr>
          </w:p>
        </w:tc>
        <w:tc>
          <w:tcPr>
            <w:tcW w:w="420" w:type="dxa"/>
            <w:vAlign w:val="bottom"/>
            <w:tcBorders>
              <w:top w:val="single" w:sz="8" w:color="EEEEEE"/>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$ 237</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18"/>
                <w:szCs w:val="18"/>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color w:val="auto"/>
              </w:rPr>
              <w:t>$(665)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type w:val="continuous"/>
        </w:sectPr>
      </w:pPr>
    </w:p>
    <w:bookmarkStart w:id="30" w:name="page31"/>
    <w:bookmarkEnd w:id="30"/>
    <w:p>
      <w:pPr>
        <w:spacing w:after="0" w:line="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June 30,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760" w:type="dxa"/>
            <w:vAlign w:val="bottom"/>
            <w:gridSpan w:val="3"/>
          </w:tcPr>
          <w:p>
            <w:pPr>
              <w:ind w:left="120"/>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5"/>
                <w:szCs w:val="15"/>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$ 368</w:t>
            </w:r>
          </w:p>
        </w:tc>
        <w:tc>
          <w:tcPr>
            <w:tcW w:w="12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450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480</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(930)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Equity in earnings of subsidiaries, net of taxes</w:t>
            </w:r>
          </w:p>
        </w:tc>
        <w:tc>
          <w:tcPr>
            <w:tcW w:w="6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5"/>
              </w:rPr>
              <w:t>(480)</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930</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Other adjustments and charges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1,143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1,019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Acquisitions of businesses, net of cash acquired</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(526)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Proceeds from divestitures of businesses, net of cash</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divested, and other sales of assets</w:t>
            </w:r>
          </w:p>
        </w:tc>
        <w:tc>
          <w:tcPr>
            <w:tcW w:w="20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Net receipts from restricted funds and other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New borrowings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Debt repayments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(150)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Common stock repurchases</w:t>
            </w:r>
          </w:p>
        </w:tc>
        <w:tc>
          <w:tcPr>
            <w:tcW w:w="6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Cash dividends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Exercise of common stock options and warrants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Minority interest distributions paid and other</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8"/>
              </w:rPr>
              <w:t>(Increase) decrease in intercompany and investments, net</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185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(666)</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(753)</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w w:val="97"/>
              </w:rPr>
              <w:t>Effect of exchange rate changes on cash and cash equivalents</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right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340" w:type="dxa"/>
            <w:vAlign w:val="bottom"/>
            <w:tcBorders>
              <w:right w:val="single" w:sz="8" w:color="EEEEEE"/>
            </w:tcBorders>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$ 589</w:t>
            </w:r>
          </w:p>
        </w:tc>
        <w:tc>
          <w:tcPr>
            <w:tcW w:w="12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54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June 30,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WMI</w:t>
            </w:r>
          </w:p>
        </w:tc>
        <w:tc>
          <w:tcPr>
            <w:tcW w:w="30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WM Holdings</w:t>
            </w:r>
          </w:p>
        </w:tc>
        <w:tc>
          <w:tcPr>
            <w:tcW w:w="300" w:type="dxa"/>
            <w:vAlign w:val="bottom"/>
          </w:tcPr>
          <w:p>
            <w:pPr>
              <w:spacing w:after="0"/>
              <w:rPr>
                <w:sz w:val="15"/>
                <w:szCs w:val="15"/>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5"/>
                <w:szCs w:val="15"/>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$ 237</w:t>
            </w:r>
          </w:p>
        </w:tc>
        <w:tc>
          <w:tcPr>
            <w:tcW w:w="120" w:type="dxa"/>
            <w:vAlign w:val="bottom"/>
          </w:tcPr>
          <w:p>
            <w:pPr>
              <w:spacing w:after="0"/>
              <w:rPr>
                <w:sz w:val="18"/>
                <w:szCs w:val="18"/>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$ 312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353</w:t>
            </w:r>
          </w:p>
        </w:tc>
        <w:tc>
          <w:tcPr>
            <w:tcW w:w="420" w:type="dxa"/>
            <w:vAlign w:val="bottom"/>
          </w:tcPr>
          <w:p>
            <w:pPr>
              <w:spacing w:after="0"/>
              <w:rPr>
                <w:sz w:val="18"/>
                <w:szCs w:val="18"/>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color w:val="auto"/>
              </w:rPr>
              <w:t>$(665)</w:t>
            </w:r>
          </w:p>
        </w:tc>
        <w:tc>
          <w:tcPr>
            <w:tcW w:w="1680" w:type="dxa"/>
            <w:vAlign w:val="bottom"/>
            <w:gridSpan w:val="4"/>
          </w:tcPr>
          <w:p>
            <w:pPr>
              <w:jc w:val="right"/>
              <w:ind w:right="440"/>
              <w:spacing w:after="0"/>
              <w:rPr>
                <w:sz w:val="20"/>
                <w:szCs w:val="20"/>
                <w:color w:val="auto"/>
              </w:rPr>
            </w:pPr>
            <w:r>
              <w:rPr>
                <w:rFonts w:ascii="Arial" w:cs="Arial" w:eastAsia="Arial" w:hAnsi="Arial"/>
                <w:sz w:val="18"/>
                <w:szCs w:val="18"/>
                <w:color w:val="auto"/>
              </w:rPr>
              <w:t>$  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in earnings of subsidiaries, net of taxes</w:t>
            </w:r>
          </w:p>
        </w:tc>
        <w:tc>
          <w:tcPr>
            <w:tcW w:w="6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(312)</w:t>
            </w:r>
          </w:p>
        </w:tc>
        <w:tc>
          <w:tcPr>
            <w:tcW w:w="140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665</w:t>
            </w: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Other adjustments and charges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824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4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(38)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1,177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44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38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9"/>
              </w:rPr>
              <w:t>Proceeds from divestitures of businesses, net of cash</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divested, and other sales of assets</w:t>
            </w:r>
          </w:p>
        </w:tc>
        <w:tc>
          <w:tcPr>
            <w:tcW w:w="20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60"/>
              <w:spacing w:after="0"/>
              <w:rPr>
                <w:sz w:val="20"/>
                <w:szCs w:val="20"/>
                <w:color w:val="auto"/>
              </w:rPr>
            </w:pPr>
            <w:r>
              <w:rPr>
                <w:rFonts w:ascii="Arial" w:cs="Arial" w:eastAsia="Arial" w:hAnsi="Arial"/>
                <w:sz w:val="18"/>
                <w:szCs w:val="18"/>
                <w:color w:val="auto"/>
              </w:rPr>
              <w:t>Net receipts from restricted funds and other</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4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38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New borrowings</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ectPr>
          <w:pgSz w:w="11900" w:h="16897" w:orient="portrait"/>
          <w:cols w:equalWidth="0" w:num="1">
            <w:col w:w="11420"/>
          </w:cols>
          <w:pgMar w:left="240" w:top="419"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340" w:type="dxa"/>
            <w:vAlign w:val="bottom"/>
          </w:tcPr>
          <w:p>
            <w:pPr>
              <w:ind w:left="260"/>
              <w:spacing w:after="0"/>
              <w:rPr>
                <w:sz w:val="20"/>
                <w:szCs w:val="20"/>
                <w:color w:val="auto"/>
              </w:rPr>
            </w:pPr>
            <w:r>
              <w:rPr>
                <w:rFonts w:ascii="Arial" w:cs="Arial" w:eastAsia="Arial" w:hAnsi="Arial"/>
                <w:sz w:val="18"/>
                <w:szCs w:val="18"/>
                <w:color w:val="auto"/>
              </w:rPr>
              <w:t>Debt repayments</w:t>
            </w:r>
          </w:p>
        </w:tc>
        <w:tc>
          <w:tcPr>
            <w:tcW w:w="40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3"/>
          </w:tcPr>
          <w:p>
            <w:pPr>
              <w:jc w:val="right"/>
              <w:ind w:right="3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stock repurchases</w:t>
            </w: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(71)</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60"/>
              <w:spacing w:after="0"/>
              <w:rPr>
                <w:sz w:val="20"/>
                <w:szCs w:val="20"/>
                <w:color w:val="auto"/>
              </w:rPr>
            </w:pPr>
            <w:r>
              <w:rPr>
                <w:rFonts w:ascii="Arial" w:cs="Arial" w:eastAsia="Arial" w:hAnsi="Arial"/>
                <w:sz w:val="18"/>
                <w:szCs w:val="18"/>
                <w:color w:val="auto"/>
              </w:rPr>
              <w:t>Exercise of common stock options and warrants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Minority interest distributions paid and other</w:t>
            </w: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(3)</w:t>
            </w: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(31)</w:t>
            </w: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ind w:left="260"/>
              <w:spacing w:after="0"/>
              <w:rPr>
                <w:sz w:val="20"/>
                <w:szCs w:val="20"/>
                <w:color w:val="auto"/>
              </w:rPr>
            </w:pPr>
            <w:r>
              <w:rPr>
                <w:rFonts w:ascii="Arial" w:cs="Arial" w:eastAsia="Arial" w:hAnsi="Arial"/>
                <w:sz w:val="18"/>
                <w:szCs w:val="18"/>
                <w:color w:val="auto"/>
                <w:w w:val="93"/>
              </w:rPr>
              <w:t>(Increase) decrease in intercompany and investments,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40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(662)</w:t>
            </w:r>
          </w:p>
        </w:tc>
        <w:tc>
          <w:tcPr>
            <w:tcW w:w="5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1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1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1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2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(694)</w:t>
            </w:r>
          </w:p>
        </w:tc>
        <w:tc>
          <w:tcPr>
            <w:tcW w:w="5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3"/>
          </w:tcPr>
          <w:p>
            <w:pPr>
              <w:jc w:val="right"/>
              <w:ind w:right="3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1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1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1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2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Effect of exchange rate changes on cash and cash</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equivalents</w:t>
            </w:r>
          </w:p>
        </w:tc>
        <w:tc>
          <w:tcPr>
            <w:tcW w:w="40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34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tcBorders>
            <w:shd w:val="clear" w:color="auto" w:fill="EEEEEE"/>
          </w:tcPr>
          <w:p>
            <w:pPr>
              <w:spacing w:after="0"/>
              <w:rPr>
                <w:sz w:val="9"/>
                <w:szCs w:val="9"/>
                <w:color w:val="auto"/>
              </w:rPr>
            </w:pPr>
          </w:p>
        </w:tc>
        <w:tc>
          <w:tcPr>
            <w:tcW w:w="11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5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1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1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5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12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359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$ 809</w:t>
            </w: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w:t>
            </w:r>
          </w:p>
        </w:tc>
        <w:tc>
          <w:tcPr>
            <w:tcW w:w="1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14</w:t>
            </w:r>
          </w:p>
        </w:tc>
        <w:tc>
          <w:tcPr>
            <w:tcW w:w="5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w:t>
            </w:r>
          </w:p>
        </w:tc>
        <w:tc>
          <w:tcPr>
            <w:tcW w:w="1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823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restart"/>
          </w:tcPr>
          <w:p>
            <w:pPr>
              <w:jc w:val="right"/>
              <w:ind w:right="52"/>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2003 Restructurings</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and reduced certain overhead positions to further streamline our organization. In connection with the restructuring, we reduced our workforce by about 700 employees and 270 contract workers. We recorded $20 million of pre-tax charges for costs associated with our February 2003 restructuring and workforce reduction, all of which was associated with employee severance and benefit costs. The operational efficiencies provided by these organizational changes and a focus on fully utilizing the capabilities of our information technology resources enabled us to further reduce our workforce in June 2003. This workforce reduction resulted in the elimination of an additional 600 employee positions and 200 contract worker positions. We recorded $23 million of pre-tax charges for costs associated with the June 2003 workforce reduction during the six months ended June 30, 2004. We do not expect to incur any additional costs for these restructuring and workforce reduction efforts. Approximately $2 million remains accrued as of June 30, 2004 for employee severance and benefit costs incurred as a result of these activities, which will be paid to certain employees through the third quarter of 2005.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cash flows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condensed consolidated financial statements and the notes to the condensed consolidated financial statements.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risks that we face and that could affect our business and financial statements for the remainder of 2004 and beyond include:</w:t>
      </w:r>
    </w:p>
    <w:p>
      <w:pPr>
        <w:spacing w:after="0" w:line="225" w:lineRule="exact"/>
        <w:rPr>
          <w:sz w:val="20"/>
          <w:szCs w:val="20"/>
          <w:color w:val="auto"/>
        </w:rPr>
      </w:pPr>
    </w:p>
    <w:p>
      <w:pPr>
        <w:ind w:left="460" w:right="50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or compliance and regulatory developments;</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waste or certain categories of waste;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possible charges against earnings as a result of shut-down operations, uncompleted development or expansion projects or other events;</w:t>
      </w:r>
    </w:p>
    <w:p>
      <w:pPr>
        <w:spacing w:after="0" w:line="279" w:lineRule="exact"/>
        <w:rPr>
          <w:rFonts w:ascii="Arial" w:cs="Arial" w:eastAsia="Arial" w:hAnsi="Arial"/>
          <w:sz w:val="18"/>
          <w:szCs w:val="18"/>
          <w:color w:val="auto"/>
        </w:rPr>
      </w:pPr>
    </w:p>
    <w:p>
      <w:pPr>
        <w:ind w:left="460" w:right="54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the weather has on our quarter to quarter results, as well as the effect of extremely harsh weather on our operations;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that price fluctuations on commodity prices may have on our operating revenues;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litigation or threatened litigation;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competition in our industry could have on our profitability or cash flows;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possible diversions of management’s attention and increases in operating expenses due to efforts by labor unions to organize our employees;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possible increases in operating expenses due to fuel price increases or fuel supply shortages;</w:t>
      </w:r>
    </w:p>
    <w:p>
      <w:pPr>
        <w:spacing w:after="0" w:line="279"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general economic conditions, including the ability of insurers to fully or timely meet their contractual commitments and of surety companies to continue to issue surety bonds;</w:t>
      </w:r>
    </w:p>
    <w:p>
      <w:pPr>
        <w:spacing w:after="0" w:line="212" w:lineRule="exact"/>
        <w:rPr>
          <w:rFonts w:ascii="Arial" w:cs="Arial" w:eastAsia="Arial" w:hAnsi="Arial"/>
          <w:sz w:val="18"/>
          <w:szCs w:val="18"/>
          <w:color w:val="auto"/>
        </w:rPr>
      </w:pPr>
    </w:p>
    <w:p>
      <w:pPr>
        <w:ind w:left="460" w:right="38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possible errors or problems upon implementation of new information technology systems; and</w:t>
      </w:r>
    </w:p>
    <w:p>
      <w:pPr>
        <w:spacing w:after="0" w:line="279" w:lineRule="exact"/>
        <w:rPr>
          <w:rFonts w:ascii="Arial" w:cs="Arial" w:eastAsia="Arial" w:hAnsi="Arial"/>
          <w:sz w:val="18"/>
          <w:szCs w:val="18"/>
          <w:color w:val="auto"/>
        </w:rPr>
      </w:pPr>
    </w:p>
    <w:p>
      <w:pPr>
        <w:ind w:left="460" w:right="64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possible fluctuations in quarterly results of operations or adverse impacts on our results of operations as a result of the adoption of new accounting standards or interpretations.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These are not the only risks that we face. There may be additional risks that we do not presently know of or that we currently believe are immaterial which could also impair our business and financial 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224" w:lineRule="exact"/>
        <w:rPr>
          <w:sz w:val="20"/>
          <w:szCs w:val="20"/>
          <w:color w:val="auto"/>
        </w:rPr>
      </w:pPr>
    </w:p>
    <w:p>
      <w:pPr>
        <w:ind w:right="140" w:firstLine="324"/>
        <w:spacing w:after="0" w:line="335" w:lineRule="auto"/>
        <w:rPr>
          <w:sz w:val="20"/>
          <w:szCs w:val="20"/>
          <w:color w:val="auto"/>
        </w:rPr>
      </w:pPr>
      <w:r>
        <w:rPr>
          <w:rFonts w:ascii="Arial" w:cs="Arial" w:eastAsia="Arial" w:hAnsi="Arial"/>
          <w:sz w:val="15"/>
          <w:szCs w:val="15"/>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720" w:firstLine="324"/>
        <w:spacing w:after="0" w:line="268" w:lineRule="auto"/>
        <w:rPr>
          <w:sz w:val="20"/>
          <w:szCs w:val="20"/>
          <w:color w:val="auto"/>
        </w:rPr>
      </w:pPr>
      <w:r>
        <w:rPr>
          <w:rFonts w:ascii="Arial" w:cs="Arial" w:eastAsia="Arial" w:hAnsi="Arial"/>
          <w:sz w:val="18"/>
          <w:szCs w:val="18"/>
          <w:color w:val="auto"/>
        </w:rPr>
        <w:t>The second quarter of 2004 was a good quarter for the Company, and was marked by many trends similar to those of the first quarter. During 2004, management is primarily focused on:</w:t>
      </w:r>
    </w:p>
    <w:p>
      <w:pPr>
        <w:spacing w:after="0" w:line="186" w:lineRule="exact"/>
        <w:rPr>
          <w:sz w:val="20"/>
          <w:szCs w:val="20"/>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efficiency of our operations, primarily by focusing on improving the efficiency of low performing business units;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standardization of processes across the organization;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leveraging the fixed cost structure of the Company through accretive acquisitions and volume growth;</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controlling variable cost increases and reducing fixed costs; and</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producing free cash flow and using that to maximize shareholder value and our return on capital through a combination of dividends, share repurchases and accretive tuck-in acquisitions.</w:t>
      </w:r>
    </w:p>
    <w:p>
      <w:pPr>
        <w:spacing w:after="0" w:line="21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Net income for the quarter was $216 million, or $0.37 per diluted share, as compared with $176 million, or $0.30 per diluted share, in the second quarter of 2003. Net income before cumulative effects of changes in accounting principles for the six months ended June 30, 2004 was $360 million, or $0.62 per diluted share, as compared with $283 million, or $0.48 per diluted share, for the six months ended June 30, 2003. The increase in net income for both the three and six months ended June 30, 2004 was primarily a result of leveraging our fixed cost structure on a growing revenue base to offset certain other rising components of cost.</w:t>
      </w:r>
    </w:p>
    <w:p>
      <w:pPr>
        <w:spacing w:after="0" w:line="224" w:lineRule="exact"/>
        <w:rPr>
          <w:sz w:val="20"/>
          <w:szCs w:val="20"/>
          <w:color w:val="auto"/>
        </w:rPr>
      </w:pPr>
    </w:p>
    <w:p>
      <w:pPr>
        <w:jc w:val="both"/>
        <w:ind w:right="20" w:firstLine="324"/>
        <w:spacing w:after="0" w:line="335" w:lineRule="auto"/>
        <w:rPr>
          <w:sz w:val="20"/>
          <w:szCs w:val="20"/>
          <w:color w:val="auto"/>
        </w:rPr>
      </w:pPr>
      <w:r>
        <w:rPr>
          <w:rFonts w:ascii="Arial" w:cs="Arial" w:eastAsia="Arial" w:hAnsi="Arial"/>
          <w:sz w:val="15"/>
          <w:szCs w:val="15"/>
          <w:color w:val="auto"/>
        </w:rPr>
        <w:t>Revenues for the current quarter were up $204 million, or 7%, to $3.14 billion, as compared with the second quarter 2003. For the six months ended June 30, 2004, our operating revenues were $6.03 billion, a 7% increase as compared with the six months ended June 30, 2003. More than half of the revenue increase for both the three and six month periods was from internal growth, which reflects improved general business conditions as well as the success of our sales initiatives.</w:t>
      </w:r>
    </w:p>
    <w:p>
      <w:pPr>
        <w:spacing w:after="0" w:line="16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Internal revenue growth from volumes, at 2.5%, was the highest we have experienced in any quarter since the second quarter of 2000. We had noted improving volumes beginning late in the first quarter, and those higher volumes continued throughout the second quarter. We believe the higher volumes are primarily a result of improved general economic conditions, resulting in, among other things, a substantial increase in construction and demolition activity in the U.S. Accordingly, our volumes were most improved in the landfill and roll-off lines of business, with smaller volume increases experienced in the residential and commercial lines of business. Strong volumes have continued during the first few weeks of July, and we are optimistic that revenue growth from volumes during the second half of 2004 will continue in the 2% range that we experienced for the first half of the year.</w:t>
      </w:r>
    </w:p>
    <w:p>
      <w:pPr>
        <w:spacing w:after="0" w:line="201"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Average yield increase on base business was 0.4% in the second quarter of 2004. While we continue to have reasonable success implementing annual price increases to our collection customer base, we have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experienced increased price competition in the collection business in many markets. This increased competition has been characterized by both offers from competitors to our existing customers to provide the same services at lower prices than we are charging, and lower average rates being offered by the competition on new business bids. The price competition is the greatest in our Midwest Group, an area where we experienced negative yield in the second quarter.</w:t>
      </w:r>
    </w:p>
    <w:p>
      <w:pPr>
        <w:spacing w:after="0" w:line="169"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We have paid approximately $263 million, net, for acquisitions since the second quarter of 2003. The effect of these acquisitions was an increase of 2.5% in second quarter 2004 net revenues as compared to the prior year’s quarter. Our acquisition program is directed towards leveraging our fixed cost infrastructure by improving our collection route density and increasing waste volumes disposed of at our own facilities.</w:t>
      </w:r>
    </w:p>
    <w:p>
      <w:pPr>
        <w:spacing w:after="0" w:line="18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continue our efforts to reduce costs as a percent of revenue. Despite year-over-year employee wage increases, higher fuel prices, increased costs related to redirecting certain waste to more distant landfills, increased rebates to customers associated with higher overall recycling commodity prices, and other various cost increases, we held our total operating expenses as a percentage of revenue relatively flat for both the second quarter and six-month period in 2004 as compared with the corresponding prior year periods. We continue, however, to seek cost-cutting opportunities within our operating costs. The current results of our cost-cutting efforts are more evident within our selling, general and administrative costs, which decreased as a percentage of revenue year-over-year for both the quarter and six-month period. A fundamental administrative cost reduction effort that commenced during the first half of 2004 is the consolidation of our credit and collection activities into a single location. In late 2005, we plan to begin consolidation of our billing activities as well, which is expected to further reduce SG&amp;A costs in future years. Our goal is to reduce SG&amp;A as a percentage of revenue to below 10%.</w:t>
      </w:r>
    </w:p>
    <w:p>
      <w:pPr>
        <w:spacing w:after="0" w:line="19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believe that the production of free cash flow is a very important measure to our shareholders, as it is indicative of our ability to pay our quarterly dividends, buy back stock and execute our acquisition program. Our free cash flow was $238 million for the quarter and $549 million for the six-month period. We calculate free cash flow by subtracting capital expenditures from net cash provided by operating activities, and adding to that the proceeds from divestitures, net of cash divested, and other sales of assets, as shown in the table below (in millions).</w:t>
      </w:r>
    </w:p>
    <w:p>
      <w:pPr>
        <w:spacing w:after="0" w:line="3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June 30, 2004</w:t>
            </w:r>
          </w:p>
        </w:tc>
        <w:tc>
          <w:tcPr>
            <w:tcW w:w="280" w:type="dxa"/>
            <w:vAlign w:val="bottom"/>
          </w:tcPr>
          <w:p>
            <w:pPr>
              <w:spacing w:after="0"/>
              <w:rPr>
                <w:sz w:val="15"/>
                <w:szCs w:val="15"/>
                <w:color w:val="auto"/>
              </w:rPr>
            </w:pPr>
          </w:p>
        </w:tc>
        <w:tc>
          <w:tcPr>
            <w:tcW w:w="19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June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$ 549</w:t>
            </w:r>
          </w:p>
        </w:tc>
        <w:tc>
          <w:tcPr>
            <w:tcW w:w="10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1,019</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Capital expenditures</w:t>
            </w:r>
          </w:p>
        </w:tc>
        <w:tc>
          <w:tcPr>
            <w:tcW w:w="2320" w:type="dxa"/>
            <w:vAlign w:val="bottom"/>
            <w:gridSpan w:val="3"/>
          </w:tcPr>
          <w:p>
            <w:pPr>
              <w:jc w:val="right"/>
              <w:ind w:right="960"/>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Proceeds from divestitures of businesses, net of cash divested</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1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Free cash flow</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$ 238</w:t>
            </w:r>
          </w:p>
        </w:tc>
        <w:tc>
          <w:tcPr>
            <w:tcW w:w="10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549</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are projecting full-year 2004 free cash flow to be at the high end of the $900 million to $1 billion range, based on estimated net cash provided by operating activities toward the high end of the $2.1 billion to $2.2 billion range, capital expenditures of between $1.25 billion and $1.3 billion, and proceeds from divestitures, net of cash divested, and other sales of assets of $75 to $100 million. However, our proceeds from divestitures could be more than is currently projected, as we are subject to a Divestiture Order from the Canadian Competition Bureau, requiring us to divest of one of our landfills in Canada. The timing of the divestiture is uncertain due to legal and regulatory motions, but compliance with the current Order would mean the divestiture would close in the second half of this year. While the divestiture may significantly impact our free cash flow, we do not believe that it will have a material adverse effect on our results of operations.</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252" w:lineRule="exact"/>
        <w:rPr>
          <w:sz w:val="20"/>
          <w:szCs w:val="20"/>
          <w:color w:val="auto"/>
        </w:rPr>
      </w:pPr>
    </w:p>
    <w:p>
      <w:pPr>
        <w:jc w:val="both"/>
        <w:ind w:right="80" w:firstLine="324"/>
        <w:spacing w:after="0" w:line="306"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our assets and liabilities and revenues and expenses. We must make these estimates and assumptions because certain of the information that we use is dependent on future events, cannot be calculated with a high degree of precision from available data or is simply not capable of being</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and asset impairments, as described in Item 7 of our Annual Report on Form 10-K for the year ended December 31, 2003.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2004</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period to period change in dollars (in millions) and percentages for the respective consolidated statement of operations line items.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jc w:val="center"/>
              <w:ind w:right="652"/>
              <w:spacing w:after="0"/>
              <w:rPr>
                <w:sz w:val="20"/>
                <w:szCs w:val="20"/>
                <w:color w:val="auto"/>
              </w:rPr>
            </w:pPr>
            <w:r>
              <w:rPr>
                <w:rFonts w:ascii="Arial" w:cs="Arial" w:eastAsia="Arial" w:hAnsi="Arial"/>
                <w:sz w:val="18"/>
                <w:szCs w:val="18"/>
                <w:color w:val="auto"/>
                <w:w w:val="88"/>
              </w:rPr>
              <w:t>Period to Period</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center"/>
              <w:ind w:right="652"/>
              <w:spacing w:after="0"/>
              <w:rPr>
                <w:sz w:val="20"/>
                <w:szCs w:val="20"/>
                <w:color w:val="auto"/>
              </w:rPr>
            </w:pPr>
            <w:r>
              <w:rPr>
                <w:rFonts w:ascii="Arial" w:cs="Arial" w:eastAsia="Arial" w:hAnsi="Arial"/>
                <w:sz w:val="18"/>
                <w:szCs w:val="18"/>
                <w:color w:val="auto"/>
                <w:w w:val="88"/>
              </w:rPr>
              <w:t>Period to Period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jc w:val="center"/>
              <w:ind w:right="652"/>
              <w:spacing w:after="0"/>
              <w:rPr>
                <w:sz w:val="20"/>
                <w:szCs w:val="20"/>
                <w:color w:val="auto"/>
              </w:rPr>
            </w:pPr>
            <w:r>
              <w:rPr>
                <w:rFonts w:ascii="Arial" w:cs="Arial" w:eastAsia="Arial" w:hAnsi="Arial"/>
                <w:sz w:val="18"/>
                <w:szCs w:val="18"/>
                <w:color w:val="auto"/>
                <w:w w:val="85"/>
              </w:rPr>
              <w:t>Change</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center"/>
              <w:ind w:right="652"/>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jc w:val="center"/>
              <w:ind w:right="652"/>
              <w:spacing w:after="0"/>
              <w:rPr>
                <w:sz w:val="20"/>
                <w:szCs w:val="20"/>
                <w:color w:val="auto"/>
              </w:rPr>
            </w:pPr>
            <w:r>
              <w:rPr>
                <w:rFonts w:ascii="Arial" w:cs="Arial" w:eastAsia="Arial" w:hAnsi="Arial"/>
                <w:sz w:val="18"/>
                <w:szCs w:val="18"/>
                <w:color w:val="auto"/>
                <w:w w:val="88"/>
              </w:rPr>
              <w:t>For the Three Months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2"/>
          </w:tcPr>
          <w:p>
            <w:pPr>
              <w:jc w:val="center"/>
              <w:ind w:right="312"/>
              <w:spacing w:after="0"/>
              <w:rPr>
                <w:sz w:val="20"/>
                <w:szCs w:val="20"/>
                <w:color w:val="auto"/>
              </w:rPr>
            </w:pPr>
            <w:r>
              <w:rPr>
                <w:rFonts w:ascii="Arial" w:cs="Arial" w:eastAsia="Arial" w:hAnsi="Arial"/>
                <w:sz w:val="18"/>
                <w:szCs w:val="18"/>
                <w:color w:val="auto"/>
                <w:w w:val="90"/>
              </w:rPr>
              <w:t>For the Six Months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jc w:val="center"/>
              <w:ind w:right="652"/>
              <w:spacing w:after="0"/>
              <w:rPr>
                <w:sz w:val="20"/>
                <w:szCs w:val="20"/>
                <w:color w:val="auto"/>
              </w:rPr>
            </w:pPr>
            <w:r>
              <w:rPr>
                <w:rFonts w:ascii="Arial" w:cs="Arial" w:eastAsia="Arial" w:hAnsi="Arial"/>
                <w:sz w:val="18"/>
                <w:szCs w:val="18"/>
                <w:color w:val="auto"/>
                <w:w w:val="84"/>
              </w:rPr>
              <w:t>Ended June 30,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center"/>
              <w:ind w:right="632"/>
              <w:spacing w:after="0"/>
              <w:rPr>
                <w:sz w:val="20"/>
                <w:szCs w:val="20"/>
                <w:color w:val="auto"/>
              </w:rPr>
            </w:pPr>
            <w:r>
              <w:rPr>
                <w:rFonts w:ascii="Arial" w:cs="Arial" w:eastAsia="Arial" w:hAnsi="Arial"/>
                <w:sz w:val="18"/>
                <w:szCs w:val="18"/>
                <w:color w:val="auto"/>
                <w:w w:val="85"/>
              </w:rPr>
              <w:t>Ended June 30,</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jc w:val="center"/>
              <w:ind w:right="652"/>
              <w:spacing w:after="0"/>
              <w:rPr>
                <w:sz w:val="20"/>
                <w:szCs w:val="20"/>
                <w:color w:val="auto"/>
              </w:rPr>
            </w:pPr>
            <w:r>
              <w:rPr>
                <w:rFonts w:ascii="Arial" w:cs="Arial" w:eastAsia="Arial" w:hAnsi="Arial"/>
                <w:sz w:val="18"/>
                <w:szCs w:val="18"/>
                <w:color w:val="auto"/>
                <w:w w:val="88"/>
              </w:rPr>
              <w:t>2004 and 2003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center"/>
              <w:ind w:right="632"/>
              <w:spacing w:after="0"/>
              <w:rPr>
                <w:sz w:val="20"/>
                <w:szCs w:val="20"/>
                <w:color w:val="auto"/>
              </w:rPr>
            </w:pPr>
            <w:r>
              <w:rPr>
                <w:rFonts w:ascii="Arial" w:cs="Arial" w:eastAsia="Arial" w:hAnsi="Arial"/>
                <w:sz w:val="18"/>
                <w:szCs w:val="18"/>
                <w:color w:val="auto"/>
                <w:w w:val="86"/>
              </w:rPr>
              <w:t>2004 and 2003</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204</w:t>
            </w:r>
          </w:p>
        </w:tc>
        <w:tc>
          <w:tcPr>
            <w:tcW w:w="80" w:type="dxa"/>
            <w:vAlign w:val="bottom"/>
          </w:tcPr>
          <w:p>
            <w:pPr>
              <w:spacing w:after="0"/>
              <w:rPr>
                <w:sz w:val="18"/>
                <w:szCs w:val="18"/>
                <w:color w:val="auto"/>
              </w:rPr>
            </w:pPr>
          </w:p>
        </w:tc>
        <w:tc>
          <w:tcPr>
            <w:tcW w:w="2280" w:type="dxa"/>
            <w:vAlign w:val="bottom"/>
          </w:tcPr>
          <w:p>
            <w:pPr>
              <w:jc w:val="right"/>
              <w:ind w:right="292"/>
              <w:spacing w:after="0"/>
              <w:rPr>
                <w:sz w:val="20"/>
                <w:szCs w:val="20"/>
                <w:color w:val="auto"/>
              </w:rPr>
            </w:pPr>
            <w:r>
              <w:rPr>
                <w:rFonts w:ascii="Arial" w:cs="Arial" w:eastAsia="Arial" w:hAnsi="Arial"/>
                <w:sz w:val="18"/>
                <w:szCs w:val="18"/>
                <w:color w:val="auto"/>
              </w:rPr>
              <w:t>7.0 %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368</w:t>
            </w: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Borders>
              <w:bottom w:val="single" w:sz="8" w:color="EEEEEE"/>
            </w:tcBorders>
            <w:shd w:val="clear" w:color="auto" w:fill="EEEEEE"/>
          </w:tcPr>
          <w:p>
            <w:pPr>
              <w:spacing w:after="0"/>
              <w:rPr>
                <w:sz w:val="9"/>
                <w:szCs w:val="9"/>
                <w:color w:val="auto"/>
              </w:rPr>
            </w:pPr>
          </w:p>
        </w:tc>
        <w:tc>
          <w:tcPr>
            <w:tcW w:w="29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18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shd w:val="clear" w:color="auto" w:fill="EEEEEE"/>
          </w:tcPr>
          <w:p>
            <w:pPr>
              <w:spacing w:after="0"/>
              <w:rPr>
                <w:sz w:val="8"/>
                <w:szCs w:val="8"/>
                <w:color w:val="auto"/>
              </w:rPr>
            </w:pPr>
          </w:p>
        </w:tc>
        <w:tc>
          <w:tcPr>
            <w:tcW w:w="29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18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4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w w:val="98"/>
              </w:rPr>
              <w:t>Operating (exclusive of depreciation and amortization</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44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shown below)</w:t>
            </w:r>
          </w:p>
        </w:tc>
        <w:tc>
          <w:tcPr>
            <w:tcW w:w="380" w:type="dxa"/>
            <w:vAlign w:val="bottom"/>
            <w:shd w:val="clear" w:color="auto" w:fill="EEEEEE"/>
          </w:tcPr>
          <w:p>
            <w:pPr>
              <w:spacing w:after="0"/>
              <w:rPr>
                <w:sz w:val="19"/>
                <w:szCs w:val="19"/>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134</w:t>
            </w:r>
          </w:p>
        </w:tc>
        <w:tc>
          <w:tcPr>
            <w:tcW w:w="80" w:type="dxa"/>
            <w:vAlign w:val="bottom"/>
            <w:shd w:val="clear" w:color="auto" w:fill="EEEEEE"/>
          </w:tcPr>
          <w:p>
            <w:pPr>
              <w:spacing w:after="0"/>
              <w:rPr>
                <w:sz w:val="19"/>
                <w:szCs w:val="19"/>
                <w:color w:val="auto"/>
              </w:rPr>
            </w:pPr>
          </w:p>
        </w:tc>
        <w:tc>
          <w:tcPr>
            <w:tcW w:w="22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7.0</w:t>
            </w:r>
          </w:p>
        </w:tc>
        <w:tc>
          <w:tcPr>
            <w:tcW w:w="2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245</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280" w:type="dxa"/>
            <w:vAlign w:val="bottom"/>
          </w:tcPr>
          <w:p>
            <w:pPr>
              <w:jc w:val="right"/>
              <w:ind w:right="492"/>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880" w:type="dxa"/>
            <w:vAlign w:val="bottom"/>
          </w:tcPr>
          <w:p>
            <w:pPr>
              <w:jc w:val="right"/>
              <w:ind w:right="3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EEEEEE"/>
          </w:tcPr>
          <w:p>
            <w:pPr>
              <w:spacing w:after="0"/>
              <w:rPr>
                <w:sz w:val="18"/>
                <w:szCs w:val="18"/>
                <w:color w:val="auto"/>
              </w:rPr>
            </w:pPr>
          </w:p>
        </w:tc>
        <w:tc>
          <w:tcPr>
            <w:tcW w:w="22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7.1</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(23)</w:t>
            </w:r>
          </w:p>
        </w:tc>
        <w:tc>
          <w:tcPr>
            <w:tcW w:w="228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(43)</w:t>
            </w:r>
          </w:p>
        </w:tc>
        <w:tc>
          <w:tcPr>
            <w:tcW w:w="18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Asset impairments and unusual items</w:t>
            </w:r>
          </w:p>
        </w:tc>
        <w:tc>
          <w:tcPr>
            <w:tcW w:w="3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w:t>
            </w:r>
          </w:p>
        </w:tc>
        <w:tc>
          <w:tcPr>
            <w:tcW w:w="22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(11)</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147</w:t>
            </w:r>
          </w:p>
        </w:tc>
        <w:tc>
          <w:tcPr>
            <w:tcW w:w="80" w:type="dxa"/>
            <w:vAlign w:val="bottom"/>
            <w:shd w:val="clear" w:color="auto" w:fill="EEEEEE"/>
          </w:tcPr>
          <w:p>
            <w:pPr>
              <w:spacing w:after="0"/>
              <w:rPr>
                <w:sz w:val="18"/>
                <w:szCs w:val="18"/>
                <w:color w:val="auto"/>
              </w:rPr>
            </w:pPr>
          </w:p>
        </w:tc>
        <w:tc>
          <w:tcPr>
            <w:tcW w:w="22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5.8</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246</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EEEEEE"/>
          </w:tcPr>
          <w:p>
            <w:pPr>
              <w:spacing w:after="0"/>
              <w:rPr>
                <w:sz w:val="18"/>
                <w:szCs w:val="18"/>
                <w:color w:val="auto"/>
              </w:rPr>
            </w:pPr>
          </w:p>
        </w:tc>
        <w:tc>
          <w:tcPr>
            <w:tcW w:w="22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122</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280" w:type="dxa"/>
            <w:vAlign w:val="bottom"/>
          </w:tcPr>
          <w:p>
            <w:pPr>
              <w:jc w:val="right"/>
              <w:ind w:right="432"/>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880" w:type="dxa"/>
            <w:vAlign w:val="bottom"/>
          </w:tcPr>
          <w:p>
            <w:pPr>
              <w:jc w:val="right"/>
              <w:ind w:right="25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w w:val="99"/>
              </w:rPr>
              <w:t>Equity in earnings (losses) of unconsolidated entities</w:t>
            </w:r>
          </w:p>
        </w:tc>
        <w:tc>
          <w:tcPr>
            <w:tcW w:w="3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3"/>
              </w:rPr>
              <w:t>(25)</w:t>
            </w:r>
          </w:p>
        </w:tc>
        <w:tc>
          <w:tcPr>
            <w:tcW w:w="22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(45)</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Minority interest</w:t>
            </w:r>
          </w:p>
        </w:tc>
        <w:tc>
          <w:tcPr>
            <w:tcW w:w="3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28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(13)</w:t>
            </w:r>
          </w:p>
        </w:tc>
        <w:tc>
          <w:tcPr>
            <w:tcW w:w="18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w:t>
            </w:r>
          </w:p>
        </w:tc>
        <w:tc>
          <w:tcPr>
            <w:tcW w:w="22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3"/>
              </w:rPr>
              <w:t>(42)</w:t>
            </w:r>
          </w:p>
        </w:tc>
        <w:tc>
          <w:tcPr>
            <w:tcW w:w="22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(40.8)</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(76)</w:t>
            </w:r>
          </w:p>
        </w:tc>
        <w:tc>
          <w:tcPr>
            <w:tcW w:w="18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444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6"/>
              </w:rPr>
              <w:t>Income before cumulative effect of changes in accounting</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4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principles and income taxes</w:t>
            </w:r>
          </w:p>
        </w:tc>
        <w:tc>
          <w:tcPr>
            <w:tcW w:w="380" w:type="dxa"/>
            <w:vAlign w:val="bottom"/>
            <w:shd w:val="clear" w:color="auto" w:fill="EEEEEE"/>
          </w:tcPr>
          <w:p>
            <w:pPr>
              <w:spacing w:after="0"/>
              <w:rPr>
                <w:sz w:val="19"/>
                <w:szCs w:val="19"/>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EEEEEE"/>
          </w:tcPr>
          <w:p>
            <w:pPr>
              <w:spacing w:after="0"/>
              <w:rPr>
                <w:sz w:val="19"/>
                <w:szCs w:val="19"/>
                <w:color w:val="auto"/>
              </w:rPr>
            </w:pPr>
          </w:p>
        </w:tc>
        <w:tc>
          <w:tcPr>
            <w:tcW w:w="22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5.3</w:t>
            </w:r>
          </w:p>
        </w:tc>
        <w:tc>
          <w:tcPr>
            <w:tcW w:w="2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8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280" w:type="dxa"/>
            <w:vAlign w:val="bottom"/>
          </w:tcPr>
          <w:p>
            <w:pPr>
              <w:jc w:val="right"/>
              <w:ind w:right="492"/>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1880" w:type="dxa"/>
            <w:vAlign w:val="bottom"/>
          </w:tcPr>
          <w:p>
            <w:pPr>
              <w:jc w:val="right"/>
              <w:ind w:right="3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Borders>
              <w:bottom w:val="single" w:sz="8" w:color="EEEEEE"/>
            </w:tcBorders>
            <w:shd w:val="clear" w:color="auto" w:fill="EEEEEE"/>
          </w:tcPr>
          <w:p>
            <w:pPr>
              <w:spacing w:after="0"/>
              <w:rPr>
                <w:sz w:val="9"/>
                <w:szCs w:val="9"/>
                <w:color w:val="auto"/>
              </w:rPr>
            </w:pPr>
          </w:p>
        </w:tc>
        <w:tc>
          <w:tcPr>
            <w:tcW w:w="294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18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shd w:val="clear" w:color="auto" w:fill="EEEEEE"/>
          </w:tcPr>
          <w:p>
            <w:pPr>
              <w:spacing w:after="0"/>
              <w:rPr>
                <w:sz w:val="8"/>
                <w:szCs w:val="8"/>
                <w:color w:val="auto"/>
              </w:rPr>
            </w:pPr>
          </w:p>
        </w:tc>
        <w:tc>
          <w:tcPr>
            <w:tcW w:w="29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18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w w:val="96"/>
              </w:rPr>
              <w:t>Income before cumulative effect of changes in accounting</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gridSpan w:val="2"/>
          </w:tcPr>
          <w:p>
            <w:pPr>
              <w:ind w:left="140"/>
              <w:spacing w:after="0"/>
              <w:rPr>
                <w:sz w:val="20"/>
                <w:szCs w:val="20"/>
                <w:color w:val="auto"/>
              </w:rPr>
            </w:pPr>
            <w:r>
              <w:rPr>
                <w:rFonts w:ascii="Arial" w:cs="Arial" w:eastAsia="Arial" w:hAnsi="Arial"/>
                <w:sz w:val="18"/>
                <w:szCs w:val="18"/>
                <w:color w:val="auto"/>
              </w:rPr>
              <w:t>principles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280" w:type="dxa"/>
            <w:vAlign w:val="bottom"/>
          </w:tcPr>
          <w:p>
            <w:pPr>
              <w:jc w:val="right"/>
              <w:ind w:right="292"/>
              <w:spacing w:after="0"/>
              <w:rPr>
                <w:sz w:val="20"/>
                <w:szCs w:val="20"/>
                <w:color w:val="auto"/>
              </w:rPr>
            </w:pPr>
            <w:r>
              <w:rPr>
                <w:rFonts w:ascii="Arial" w:cs="Arial" w:eastAsia="Arial" w:hAnsi="Arial"/>
                <w:sz w:val="18"/>
                <w:szCs w:val="18"/>
                <w:color w:val="auto"/>
              </w:rPr>
              <w:t>22.7 %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106"/>
        </w:trPr>
        <w:tc>
          <w:tcPr>
            <w:tcW w:w="580" w:type="dxa"/>
            <w:vAlign w:val="bottom"/>
          </w:tcPr>
          <w:p>
            <w:pPr>
              <w:spacing w:after="0"/>
              <w:rPr>
                <w:sz w:val="9"/>
                <w:szCs w:val="9"/>
                <w:color w:val="auto"/>
              </w:rPr>
            </w:pPr>
          </w:p>
        </w:tc>
        <w:tc>
          <w:tcPr>
            <w:tcW w:w="1500" w:type="dxa"/>
            <w:vAlign w:val="bottom"/>
            <w:shd w:val="clear" w:color="auto" w:fill="EEEEEE"/>
          </w:tcPr>
          <w:p>
            <w:pPr>
              <w:spacing w:after="0"/>
              <w:rPr>
                <w:sz w:val="9"/>
                <w:szCs w:val="9"/>
                <w:color w:val="auto"/>
              </w:rPr>
            </w:pPr>
          </w:p>
        </w:tc>
        <w:tc>
          <w:tcPr>
            <w:tcW w:w="29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18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shd w:val="clear" w:color="auto" w:fill="EEEEEE"/>
          </w:tcPr>
          <w:p>
            <w:pPr>
              <w:spacing w:after="0"/>
              <w:rPr>
                <w:sz w:val="5"/>
                <w:szCs w:val="5"/>
                <w:color w:val="auto"/>
              </w:rPr>
            </w:pPr>
          </w:p>
        </w:tc>
        <w:tc>
          <w:tcPr>
            <w:tcW w:w="294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2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tcBorders>
              <w:right w:val="single" w:sz="8" w:color="EEEEEE"/>
            </w:tcBorders>
            <w:shd w:val="clear" w:color="auto" w:fill="808080"/>
          </w:tcPr>
          <w:p>
            <w:pPr>
              <w:spacing w:after="0"/>
              <w:rPr>
                <w:sz w:val="5"/>
                <w:szCs w:val="5"/>
                <w:color w:val="auto"/>
              </w:rPr>
            </w:pPr>
          </w:p>
        </w:tc>
        <w:tc>
          <w:tcPr>
            <w:tcW w:w="18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shd w:val="clear" w:color="auto" w:fill="EEEEEE"/>
          </w:tcPr>
          <w:p>
            <w:pPr>
              <w:spacing w:after="0"/>
              <w:rPr>
                <w:sz w:val="9"/>
                <w:szCs w:val="9"/>
                <w:color w:val="auto"/>
              </w:rPr>
            </w:pPr>
          </w:p>
        </w:tc>
        <w:tc>
          <w:tcPr>
            <w:tcW w:w="294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18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40" w:hanging="232"/>
        <w:spacing w:after="0" w:line="268"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Percentage change is not meaningful. Please refer to the explanations of these items included herein for a discussion of the relationship between current year and prior year activity.</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consolidated statement of operations line items bear to operating revenues:</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Operating revenues</w:t>
            </w:r>
          </w:p>
        </w:tc>
        <w:tc>
          <w:tcPr>
            <w:tcW w:w="960" w:type="dxa"/>
            <w:vAlign w:val="bottom"/>
            <w:gridSpan w:val="3"/>
          </w:tcPr>
          <w:p>
            <w:pPr>
              <w:jc w:val="right"/>
              <w:ind w:right="32"/>
              <w:spacing w:after="0"/>
              <w:rPr>
                <w:sz w:val="20"/>
                <w:szCs w:val="20"/>
                <w:color w:val="auto"/>
              </w:rPr>
            </w:pPr>
            <w:r>
              <w:rPr>
                <w:rFonts w:ascii="Arial" w:cs="Arial" w:eastAsia="Arial" w:hAnsi="Arial"/>
                <w:sz w:val="18"/>
                <w:szCs w:val="18"/>
                <w:color w:val="auto"/>
              </w:rPr>
              <w:t>100.0 %</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100.0 %</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100.0 %</w:t>
            </w:r>
          </w:p>
        </w:tc>
        <w:tc>
          <w:tcPr>
            <w:tcW w:w="1480" w:type="dxa"/>
            <w:vAlign w:val="bottom"/>
            <w:gridSpan w:val="5"/>
          </w:tcPr>
          <w:p>
            <w:pPr>
              <w:jc w:val="right"/>
              <w:ind w:right="20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Operating (exclusive of depreciation and amortization shown below)</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64.9</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65.5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8"/>
                <w:szCs w:val="18"/>
                <w:color w:val="auto"/>
              </w:rPr>
            </w:pPr>
          </w:p>
        </w:tc>
        <w:tc>
          <w:tcPr>
            <w:tcW w:w="1240" w:type="dxa"/>
            <w:vAlign w:val="bottom"/>
            <w:gridSpan w:val="4"/>
          </w:tcPr>
          <w:p>
            <w:pPr>
              <w:jc w:val="right"/>
              <w:ind w:right="8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Asset impairments and unusual items</w:t>
            </w:r>
          </w:p>
        </w:tc>
        <w:tc>
          <w:tcPr>
            <w:tcW w:w="96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(0.3)</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(0.2)</w:t>
            </w:r>
          </w:p>
        </w:tc>
        <w:tc>
          <w:tcPr>
            <w:tcW w:w="11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(0.3)</w:t>
            </w:r>
          </w:p>
        </w:tc>
        <w:tc>
          <w:tcPr>
            <w:tcW w:w="14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86.9</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88.3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60" w:type="dxa"/>
            <w:vAlign w:val="bottom"/>
            <w:gridSpan w:val="3"/>
          </w:tcPr>
          <w:p>
            <w:pPr>
              <w:jc w:val="right"/>
              <w:ind w:right="172"/>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(3.7)</w:t>
            </w:r>
          </w:p>
        </w:tc>
        <w:tc>
          <w:tcPr>
            <w:tcW w:w="1480" w:type="dxa"/>
            <w:vAlign w:val="bottom"/>
            <w:gridSpan w:val="5"/>
          </w:tcPr>
          <w:p>
            <w:pPr>
              <w:jc w:val="right"/>
              <w:ind w:righ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Equity in earnings (losses) of unconsolidated entities</w:t>
            </w:r>
          </w:p>
        </w:tc>
        <w:tc>
          <w:tcPr>
            <w:tcW w:w="96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(0.8)</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(0.7)</w:t>
            </w: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960" w:type="dxa"/>
            <w:vAlign w:val="bottom"/>
            <w:gridSpan w:val="3"/>
          </w:tcPr>
          <w:p>
            <w:pPr>
              <w:jc w:val="right"/>
              <w:ind w:right="172"/>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8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(4.6)</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w:t>
            </w:r>
          </w:p>
        </w:tc>
        <w:tc>
          <w:tcPr>
            <w:tcW w:w="11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(4.7)</w:t>
            </w:r>
          </w:p>
        </w:tc>
        <w:tc>
          <w:tcPr>
            <w:tcW w:w="14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w w:val="93"/>
              </w:rPr>
              <w:t>Income before cumulative effect of changes in accounting principles and</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taxes</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EEEEEE"/>
          </w:tcPr>
          <w:p>
            <w:pPr>
              <w:spacing w:after="0"/>
              <w:rPr>
                <w:sz w:val="19"/>
                <w:szCs w:val="19"/>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EEEEEE"/>
          </w:tcPr>
          <w:p>
            <w:pPr>
              <w:spacing w:after="0"/>
              <w:rPr>
                <w:sz w:val="19"/>
                <w:szCs w:val="19"/>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9"/>
              </w:rPr>
              <w:t>Income before cumulative effect of changes in accounting principles</w:t>
            </w:r>
          </w:p>
        </w:tc>
        <w:tc>
          <w:tcPr>
            <w:tcW w:w="960" w:type="dxa"/>
            <w:vAlign w:val="bottom"/>
            <w:gridSpan w:val="3"/>
          </w:tcPr>
          <w:p>
            <w:pPr>
              <w:jc w:val="right"/>
              <w:ind w:right="32"/>
              <w:spacing w:after="0"/>
              <w:rPr>
                <w:sz w:val="20"/>
                <w:szCs w:val="20"/>
                <w:color w:val="auto"/>
              </w:rPr>
            </w:pPr>
            <w:r>
              <w:rPr>
                <w:rFonts w:ascii="Arial" w:cs="Arial" w:eastAsia="Arial" w:hAnsi="Arial"/>
                <w:sz w:val="18"/>
                <w:szCs w:val="18"/>
                <w:color w:val="auto"/>
              </w:rPr>
              <w:t>6.9 %</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6.0 %</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6.0 %</w:t>
            </w:r>
          </w:p>
        </w:tc>
        <w:tc>
          <w:tcPr>
            <w:tcW w:w="1480" w:type="dxa"/>
            <w:vAlign w:val="bottom"/>
            <w:gridSpan w:val="5"/>
          </w:tcPr>
          <w:p>
            <w:pPr>
              <w:jc w:val="right"/>
              <w:ind w:right="20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52"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Our operating revenues for the three months ended June 30, 2004, were $3.1 billion, compared with $2.9 billion in 2003. For the six months ended June 30, 2004, our operating revenues were $6.0 billion, as compared with $5.7 billion in 2003. Shown below (in millions) is the contribution to revenues during each period provided by our seven operating Groups and our Other North American Solid Waste, or NASW, services.</w:t>
      </w:r>
    </w:p>
    <w:p>
      <w:pPr>
        <w:spacing w:after="0" w:line="3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color w:val="auto"/>
                <w:w w:val="83"/>
              </w:rPr>
              <w:t>2004</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2003</w:t>
            </w: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4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Eastern</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1,005</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1,975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1,887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574</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1,128</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1,080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Southern</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1,602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676</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637</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1,315</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1,252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Wheelabrator</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5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NASW</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56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(617)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w w:val="87"/>
              </w:rPr>
              <w:t>(1,163)</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7"/>
              </w:rPr>
              <w:t>(1,092)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3,138</w:t>
            </w:r>
          </w:p>
        </w:tc>
        <w:tc>
          <w:tcPr>
            <w:tcW w:w="2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2,934</w:t>
            </w:r>
          </w:p>
        </w:tc>
        <w:tc>
          <w:tcPr>
            <w:tcW w:w="4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6,034</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5,666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419" w:right="359" w:bottom="1440" w:gutter="0" w:footer="0" w:header="0"/>
        </w:sectPr>
      </w:pP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0" w:firstLine="324"/>
        <w:spacing w:after="0" w:line="370" w:lineRule="auto"/>
        <w:rPr>
          <w:sz w:val="20"/>
          <w:szCs w:val="20"/>
          <w:color w:val="auto"/>
        </w:rPr>
      </w:pPr>
      <w:r>
        <w:rPr>
          <w:rFonts w:ascii="Arial" w:cs="Arial" w:eastAsia="Arial" w:hAnsi="Arial"/>
          <w:sz w:val="15"/>
          <w:szCs w:val="15"/>
          <w:color w:val="auto"/>
        </w:rPr>
        <w:t>Our operating revenues generally come from fees charged for our collection, landfill, transfer, Wheelabrator (waste-to-energy facilities and independent power production plants) and recycling services. The mix of operating revenues from our different services is reflected in the table below (in millions):</w:t>
      </w:r>
    </w:p>
    <w:p>
      <w:pPr>
        <w:spacing w:after="0" w:line="31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2004</w:t>
            </w:r>
          </w:p>
        </w:tc>
        <w:tc>
          <w:tcPr>
            <w:tcW w:w="140" w:type="dxa"/>
            <w:vAlign w:val="bottom"/>
          </w:tcPr>
          <w:p>
            <w:pPr>
              <w:spacing w:after="0"/>
              <w:rPr>
                <w:sz w:val="22"/>
                <w:szCs w:val="22"/>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0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$2,059</w:t>
            </w:r>
          </w:p>
        </w:tc>
        <w:tc>
          <w:tcPr>
            <w:tcW w:w="14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$1,950</w:t>
            </w:r>
          </w:p>
        </w:tc>
        <w:tc>
          <w:tcPr>
            <w:tcW w:w="3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$ 4,023</w:t>
            </w:r>
          </w:p>
        </w:tc>
        <w:tc>
          <w:tcPr>
            <w:tcW w:w="8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$ 3,817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Landfill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735</w:t>
            </w:r>
          </w:p>
        </w:tc>
        <w:tc>
          <w:tcPr>
            <w:tcW w:w="3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1,437</w:t>
            </w:r>
          </w:p>
        </w:tc>
        <w:tc>
          <w:tcPr>
            <w:tcW w:w="8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1,363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410</w:t>
            </w:r>
          </w:p>
        </w:tc>
        <w:tc>
          <w:tcPr>
            <w:tcW w:w="3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810</w:t>
            </w:r>
          </w:p>
        </w:tc>
        <w:tc>
          <w:tcPr>
            <w:tcW w:w="8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752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Wheelabrator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Intercompany</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(617)</w:t>
            </w:r>
          </w:p>
        </w:tc>
        <w:tc>
          <w:tcPr>
            <w:tcW w:w="1600" w:type="dxa"/>
            <w:vAlign w:val="bottom"/>
            <w:gridSpan w:val="5"/>
          </w:tcPr>
          <w:p>
            <w:pPr>
              <w:jc w:val="right"/>
              <w:ind w:right="280"/>
              <w:spacing w:after="0"/>
              <w:rPr>
                <w:sz w:val="20"/>
                <w:szCs w:val="20"/>
                <w:color w:val="auto"/>
              </w:rPr>
            </w:pPr>
            <w:r>
              <w:rPr>
                <w:rFonts w:ascii="Arial" w:cs="Arial" w:eastAsia="Arial" w:hAnsi="Arial"/>
                <w:sz w:val="18"/>
                <w:szCs w:val="18"/>
                <w:color w:val="auto"/>
              </w:rPr>
              <w:t>(584)</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(1,163)</w:t>
            </w:r>
          </w:p>
        </w:tc>
        <w:tc>
          <w:tcPr>
            <w:tcW w:w="1500" w:type="dxa"/>
            <w:vAlign w:val="bottom"/>
            <w:gridSpan w:val="5"/>
          </w:tcPr>
          <w:p>
            <w:pPr>
              <w:jc w:val="right"/>
              <w:ind w:right="2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4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140" w:type="dxa"/>
            <w:vAlign w:val="bottom"/>
            <w:tcBorders>
              <w:bottom w:val="single" w:sz="8" w:color="EEEEEE"/>
            </w:tcBorders>
            <w:shd w:val="clear" w:color="auto" w:fill="EEEEEE"/>
          </w:tcPr>
          <w:p>
            <w:pPr>
              <w:spacing w:after="0"/>
              <w:rPr>
                <w:sz w:val="9"/>
                <w:szCs w:val="9"/>
                <w:color w:val="auto"/>
              </w:rPr>
            </w:pPr>
          </w:p>
        </w:tc>
        <w:tc>
          <w:tcPr>
            <w:tcW w:w="22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4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42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48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$3,138</w:t>
            </w:r>
          </w:p>
        </w:tc>
        <w:tc>
          <w:tcPr>
            <w:tcW w:w="1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$2,934</w:t>
            </w:r>
          </w:p>
        </w:tc>
        <w:tc>
          <w:tcPr>
            <w:tcW w:w="3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$ 6,034</w:t>
            </w:r>
          </w:p>
        </w:tc>
        <w:tc>
          <w:tcPr>
            <w:tcW w:w="8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$ 5,666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shd w:val="clear" w:color="auto" w:fill="EEEEEE"/>
          </w:tcPr>
          <w:p>
            <w:pPr>
              <w:spacing w:after="0"/>
              <w:rPr>
                <w:sz w:val="5"/>
                <w:szCs w:val="5"/>
                <w:color w:val="auto"/>
              </w:rPr>
            </w:pPr>
          </w:p>
        </w:tc>
        <w:tc>
          <w:tcPr>
            <w:tcW w:w="22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420" w:type="dxa"/>
            <w:vAlign w:val="bottom"/>
            <w:shd w:val="clear" w:color="auto" w:fill="EEEEE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48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NASW revenues (dollars in millions) along with an explanation of the significant components of the current period changes:</w:t>
      </w:r>
    </w:p>
    <w:p>
      <w:pPr>
        <w:spacing w:after="0" w:line="3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8"/>
              </w:rPr>
              <w:t>Period to Period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center"/>
              <w:ind w:right="72"/>
              <w:spacing w:after="0"/>
              <w:rPr>
                <w:sz w:val="20"/>
                <w:szCs w:val="20"/>
                <w:color w:val="auto"/>
              </w:rPr>
            </w:pPr>
            <w:r>
              <w:rPr>
                <w:rFonts w:ascii="Arial" w:cs="Arial" w:eastAsia="Arial" w:hAnsi="Arial"/>
                <w:sz w:val="14"/>
                <w:szCs w:val="14"/>
                <w:b w:val="1"/>
                <w:bCs w:val="1"/>
                <w:color w:val="auto"/>
                <w:w w:val="86"/>
              </w:rPr>
              <w:t>Period to Period</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Change for the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4"/>
          </w:tcPr>
          <w:p>
            <w:pPr>
              <w:jc w:val="center"/>
              <w:ind w:left="94"/>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4"/>
          </w:tcPr>
          <w:p>
            <w:pPr>
              <w:jc w:val="center"/>
              <w:ind w:left="34"/>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8"/>
              </w:rPr>
              <w:t>2004 and 2003</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6"/>
              </w:rPr>
              <w:t>2004 and 2003</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Average yield:</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Base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0.4%(a)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Commodity</w:t>
            </w:r>
          </w:p>
        </w:tc>
        <w:tc>
          <w:tcPr>
            <w:tcW w:w="280" w:type="dxa"/>
            <w:vAlign w:val="bottom"/>
            <w:shd w:val="clear" w:color="auto" w:fill="EEEEEE"/>
          </w:tcPr>
          <w:p>
            <w:pPr>
              <w:spacing w:after="0"/>
              <w:rPr>
                <w:sz w:val="21"/>
                <w:szCs w:val="21"/>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EEEEEE"/>
          </w:tcPr>
          <w:p>
            <w:pPr>
              <w:ind w:left="60"/>
              <w:spacing w:after="0"/>
              <w:rPr>
                <w:sz w:val="20"/>
                <w:szCs w:val="20"/>
                <w:color w:val="auto"/>
              </w:rPr>
            </w:pPr>
            <w:r>
              <w:rPr>
                <w:rFonts w:ascii="Arial" w:cs="Arial" w:eastAsia="Arial" w:hAnsi="Arial"/>
                <w:sz w:val="18"/>
                <w:szCs w:val="18"/>
                <w:color w:val="auto"/>
              </w:rPr>
              <w:t>(b)</w:t>
            </w:r>
          </w:p>
        </w:tc>
        <w:tc>
          <w:tcPr>
            <w:tcW w:w="200" w:type="dxa"/>
            <w:vAlign w:val="bottom"/>
            <w:shd w:val="clear" w:color="auto" w:fill="EEEEEE"/>
          </w:tcPr>
          <w:p>
            <w:pPr>
              <w:spacing w:after="0"/>
              <w:rPr>
                <w:sz w:val="21"/>
                <w:szCs w:val="21"/>
                <w:color w:val="auto"/>
              </w:rPr>
            </w:pPr>
          </w:p>
        </w:tc>
        <w:tc>
          <w:tcPr>
            <w:tcW w:w="280" w:type="dxa"/>
            <w:vAlign w:val="bottom"/>
            <w:shd w:val="clear" w:color="auto" w:fill="EEEEEE"/>
          </w:tcPr>
          <w:p>
            <w:pPr>
              <w:spacing w:after="0"/>
              <w:rPr>
                <w:sz w:val="21"/>
                <w:szCs w:val="21"/>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EEEEEE"/>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2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Fuel surcharge and fees</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109</w:t>
            </w:r>
          </w:p>
        </w:tc>
        <w:tc>
          <w:tcPr>
            <w:tcW w:w="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Volume</w:t>
            </w:r>
          </w:p>
        </w:tc>
        <w:tc>
          <w:tcPr>
            <w:tcW w:w="2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60" w:type="dxa"/>
            <w:vAlign w:val="bottom"/>
          </w:tcPr>
          <w:p>
            <w:pPr>
              <w:ind w:left="60"/>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107</w:t>
            </w:r>
          </w:p>
        </w:tc>
        <w:tc>
          <w:tcPr>
            <w:tcW w:w="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80" w:type="dxa"/>
            <w:vAlign w:val="bottom"/>
            <w:tcBorders>
              <w:bottom w:val="single" w:sz="8" w:color="EEEEEE"/>
            </w:tcBorders>
            <w:shd w:val="clear" w:color="auto" w:fill="EEEEEE"/>
          </w:tcPr>
          <w:p>
            <w:pPr>
              <w:spacing w:after="0"/>
              <w:rPr>
                <w:sz w:val="9"/>
                <w:szCs w:val="9"/>
                <w:color w:val="auto"/>
              </w:rPr>
            </w:pPr>
          </w:p>
        </w:tc>
        <w:tc>
          <w:tcPr>
            <w:tcW w:w="80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60" w:type="dxa"/>
            <w:vAlign w:val="bottom"/>
            <w:tcBorders>
              <w:bottom w:val="single" w:sz="8" w:color="EEEEEE"/>
            </w:tcBorders>
            <w:shd w:val="clear" w:color="auto" w:fill="EEEEEE"/>
          </w:tcPr>
          <w:p>
            <w:pPr>
              <w:spacing w:after="0"/>
              <w:rPr>
                <w:sz w:val="9"/>
                <w:szCs w:val="9"/>
                <w:color w:val="auto"/>
              </w:rPr>
            </w:pPr>
          </w:p>
        </w:tc>
        <w:tc>
          <w:tcPr>
            <w:tcW w:w="78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808080"/>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80" w:type="dxa"/>
            <w:vAlign w:val="bottom"/>
            <w:shd w:val="clear" w:color="auto" w:fill="EEEEEE"/>
          </w:tcPr>
          <w:p>
            <w:pPr>
              <w:spacing w:after="0"/>
              <w:rPr>
                <w:sz w:val="8"/>
                <w:szCs w:val="8"/>
                <w:color w:val="auto"/>
              </w:rPr>
            </w:pPr>
          </w:p>
        </w:tc>
        <w:tc>
          <w:tcPr>
            <w:tcW w:w="80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6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Internal growth</w:t>
            </w: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133</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216</w:t>
            </w: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EEEEEE"/>
          </w:tcPr>
          <w:p>
            <w:pPr>
              <w:spacing w:after="0"/>
              <w:rPr>
                <w:sz w:val="21"/>
                <w:szCs w:val="21"/>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EEEEEE"/>
          </w:tcPr>
          <w:p>
            <w:pPr>
              <w:ind w:left="60"/>
              <w:spacing w:after="0"/>
              <w:rPr>
                <w:sz w:val="20"/>
                <w:szCs w:val="20"/>
                <w:color w:val="auto"/>
              </w:rPr>
            </w:pPr>
            <w:r>
              <w:rPr>
                <w:rFonts w:ascii="Arial" w:cs="Arial" w:eastAsia="Arial" w:hAnsi="Arial"/>
                <w:sz w:val="18"/>
                <w:szCs w:val="18"/>
                <w:color w:val="auto"/>
              </w:rPr>
              <w:t>(d)</w:t>
            </w:r>
          </w:p>
        </w:tc>
        <w:tc>
          <w:tcPr>
            <w:tcW w:w="200" w:type="dxa"/>
            <w:vAlign w:val="bottom"/>
            <w:shd w:val="clear" w:color="auto" w:fill="EEEEEE"/>
          </w:tcPr>
          <w:p>
            <w:pPr>
              <w:spacing w:after="0"/>
              <w:rPr>
                <w:sz w:val="21"/>
                <w:szCs w:val="21"/>
                <w:color w:val="auto"/>
              </w:rPr>
            </w:pPr>
          </w:p>
        </w:tc>
        <w:tc>
          <w:tcPr>
            <w:tcW w:w="280" w:type="dxa"/>
            <w:vAlign w:val="bottom"/>
            <w:shd w:val="clear" w:color="auto" w:fill="EEEEEE"/>
          </w:tcPr>
          <w:p>
            <w:pPr>
              <w:spacing w:after="0"/>
              <w:rPr>
                <w:sz w:val="21"/>
                <w:szCs w:val="21"/>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143</w:t>
            </w:r>
          </w:p>
        </w:tc>
        <w:tc>
          <w:tcPr>
            <w:tcW w:w="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EEEEEE"/>
          </w:tcPr>
          <w:p>
            <w:pPr>
              <w:ind w:lef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Divestitures</w:t>
            </w:r>
          </w:p>
        </w:tc>
        <w:tc>
          <w:tcPr>
            <w:tcW w:w="2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204</w:t>
            </w:r>
          </w:p>
        </w:tc>
        <w:tc>
          <w:tcPr>
            <w:tcW w:w="8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ind w:right="232"/>
              <w:spacing w:after="0"/>
              <w:rPr>
                <w:sz w:val="20"/>
                <w:szCs w:val="20"/>
                <w:color w:val="auto"/>
              </w:rPr>
            </w:pPr>
            <w:r>
              <w:rPr>
                <w:rFonts w:ascii="Arial" w:cs="Arial" w:eastAsia="Arial" w:hAnsi="Arial"/>
                <w:sz w:val="18"/>
                <w:szCs w:val="18"/>
                <w:color w:val="auto"/>
              </w:rPr>
              <w:t>7.0%</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368</w:t>
            </w:r>
          </w:p>
        </w:tc>
        <w:tc>
          <w:tcPr>
            <w:tcW w:w="6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5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700" w:right="120" w:hanging="462"/>
        <w:spacing w:after="0" w:line="289"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Average yield from our collection, transfer, and waste-to-energy operations has increased our base business revenues for both the three and six months ended June 30, 2004. In our collection business we have seen the most substantial yield improvements in our commercial and residential operations, where base business pricing improvements in the East and the West have made the most significant contributions. Although the yields provided by our collection operations have been positive, our yield improvements have been reduced by increased price competition, particularly in the Midwest, and the unfavorable impact of lower priced recycling and yard waste service programs in the South. The Eastern portion of the United States is also the primary contributor to the average yield improvements in our transfer business that have been experienced throughout the year. The yield increases during 2004 have been partially offset by average yield declines in our special waste landfill operations, where we continued to be affected by lower prices in the Southern portion of the United States.</w:t>
      </w:r>
    </w:p>
    <w:p>
      <w:pPr>
        <w:spacing w:after="0" w:line="199" w:lineRule="exact"/>
        <w:rPr>
          <w:rFonts w:ascii="Arial" w:cs="Arial" w:eastAsia="Arial" w:hAnsi="Arial"/>
          <w:sz w:val="16"/>
          <w:szCs w:val="16"/>
          <w:color w:val="auto"/>
        </w:rPr>
      </w:pPr>
    </w:p>
    <w:p>
      <w:pPr>
        <w:ind w:left="700" w:right="20" w:hanging="462"/>
        <w:spacing w:after="0" w:line="256"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was positively affected by price increases in all of the recycling commodities that we process. However, a significant portion of increases from commodity prices are rebated to our suppliers, increasing our cost of goods sold. The majority of the improvement in commodity pricing during the three and six months ended June 30, 2004 was attributable to increases in the prices of old corrugated cardboard, old newsprint, plastics, high-grade paper and mixed-grade paper.</w:t>
      </w:r>
    </w:p>
    <w:p>
      <w:pPr>
        <w:spacing w:after="0" w:line="224" w:lineRule="exact"/>
        <w:rPr>
          <w:rFonts w:ascii="Arial" w:cs="Arial" w:eastAsia="Arial" w:hAnsi="Arial"/>
          <w:sz w:val="18"/>
          <w:szCs w:val="18"/>
          <w:color w:val="auto"/>
        </w:rPr>
      </w:pPr>
    </w:p>
    <w:p>
      <w:pPr>
        <w:ind w:left="700" w:hanging="462"/>
        <w:spacing w:after="0" w:line="291"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both the three and six months ended June 30, 2004, we experienced volume-related revenue increases in our collection, transfer, and landfill businesses, which have been driven principally by our Southern and Western Groups. Each of our operating groups has experienced volume increases in its industrial collection operations in 2004, accounting for our most significant volume-related revenue increases of the six months ended June 30, 2004. We believe that a relatively strong economic environment has driven our volume-related revenue improvements, and we are optimistic this trend will continue into the third and fourth quarters. These revenue improvements were partially offset by volume declines experienced by our residential collection operations in the Eastern United States and our waste-to-energy facilities.</w:t>
      </w:r>
    </w:p>
    <w:p>
      <w:pPr>
        <w:sectPr>
          <w:pgSz w:w="11900" w:h="16838" w:orient="portrait"/>
          <w:cols w:equalWidth="0" w:num="1">
            <w:col w:w="11400"/>
          </w:cols>
          <w:pgMar w:left="240" w:top="419" w:right="259" w:bottom="819"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819"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40" w:hanging="462"/>
        <w:spacing w:after="0" w:line="259"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increase is primarily related to our acquisition of collection assets from Allied Waste Industries, Inc. in the third and fourth quarters of 2003. Other acquisitions of recycling, transfer and waste-to-energy businesses consummated in the second half of 2003 also provided notable increases in revenues during the current period.</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Expenses (Exclusive of Depreciation and Amortization Shown Below)</w:t>
      </w:r>
    </w:p>
    <w:p>
      <w:pPr>
        <w:spacing w:after="0" w:line="252" w:lineRule="exact"/>
        <w:rPr>
          <w:sz w:val="20"/>
          <w:szCs w:val="20"/>
          <w:color w:val="auto"/>
        </w:rPr>
      </w:pPr>
    </w:p>
    <w:p>
      <w:pPr>
        <w:ind w:right="460" w:firstLine="324"/>
        <w:spacing w:after="0" w:line="286" w:lineRule="auto"/>
        <w:rPr>
          <w:sz w:val="20"/>
          <w:szCs w:val="20"/>
          <w:color w:val="auto"/>
        </w:rPr>
      </w:pPr>
      <w:r>
        <w:rPr>
          <w:rFonts w:ascii="Arial" w:cs="Arial" w:eastAsia="Arial" w:hAnsi="Arial"/>
          <w:sz w:val="16"/>
          <w:szCs w:val="16"/>
          <w:color w:val="auto"/>
        </w:rPr>
        <w:t>Operating expenses are (i) labor and related benefits, which include salaries and wages, related payroll taxes, insurance and benefits costs and the costs associated with contract labor; (ii) transfer and disposal costs, which include tipping fees paid to third party disposal facilities and transfer stations;</w:t>
      </w:r>
    </w:p>
    <w:p>
      <w:pPr>
        <w:ind w:right="40" w:firstLine="8"/>
        <w:spacing w:after="0" w:line="253" w:lineRule="auto"/>
        <w:tabs>
          <w:tab w:leader="none" w:pos="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and repairs relating to both equipment and facilities; (iv) subcontractor costs, which include the costs of independent haulers who transport our waste to disposal facilities; (v) costs of goods sold, which are primarily the rebates paid to suppliers associated with recycling commodities; (vi) fuel costs, which represent the costs of fuel and oils to operate our truck fleet and landfill operating equipment; (vii) disposal and franchise fees and taxes, which include landfill taxes, host community fees and royalties; and (viii) other operating costs, which include equipment and facility rent, property taxes, insurance and claims costs, and landfill operating costs.</w:t>
      </w:r>
    </w:p>
    <w:p>
      <w:pPr>
        <w:spacing w:after="0" w:line="226"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and six months ended June 30, 2004 and 2003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8"/>
              </w:rPr>
              <w:t>Six Months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Ended June 30,</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Ended June 30,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4"/>
          </w:tcPr>
          <w:p>
            <w:pPr>
              <w:ind w:left="280"/>
              <w:spacing w:after="0"/>
              <w:rPr>
                <w:sz w:val="20"/>
                <w:szCs w:val="20"/>
                <w:color w:val="auto"/>
              </w:rPr>
            </w:pPr>
            <w:r>
              <w:rPr>
                <w:rFonts w:ascii="Arial" w:cs="Arial" w:eastAsia="Arial" w:hAnsi="Arial"/>
                <w:sz w:val="14"/>
                <w:szCs w:val="14"/>
                <w:b w:val="1"/>
                <w:bCs w:val="1"/>
                <w:color w:val="auto"/>
              </w:rPr>
              <w:t>Change</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1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3"/>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Labor and related benefits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728</w:t>
            </w: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6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$1,435</w:t>
            </w: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$1,352</w:t>
            </w:r>
          </w:p>
        </w:tc>
        <w:tc>
          <w:tcPr>
            <w:tcW w:w="2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Maintenance and repairs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356</w:t>
            </w: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Subcontractor costs</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ind w:left="4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6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(d)</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EEEEEE"/>
          </w:tcPr>
          <w:p>
            <w:pPr>
              <w:ind w:left="4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Fuel</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ind w:left="4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Disposal and franchise fees and taxes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304</w:t>
            </w: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(12)(f)</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(35)(f)</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4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2,040</w:t>
            </w: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1,906</w:t>
            </w:r>
          </w:p>
        </w:tc>
        <w:tc>
          <w:tcPr>
            <w:tcW w:w="24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134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$3,960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$3,715</w:t>
            </w: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245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2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4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240" w:hanging="462"/>
        <w:spacing w:after="0" w:line="298"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increased costs are the result of (i) higher salaries and hourly wages as compared to prior year due to annual merit increases; (ii) increased overtime costs due in part to increased volumes; and (iii) salary costs related to acquisitions made in the second half of 2003 and early 2004. Additionally, we have experienced higher employee benefit costs in 2004 than in the prior year. These increases have been partially offset by savings realized as a result of our February 2003 restructuring and June 2003 workforce reduction.</w:t>
      </w:r>
    </w:p>
    <w:p>
      <w:pPr>
        <w:spacing w:after="0" w:line="193" w:lineRule="exact"/>
        <w:rPr>
          <w:rFonts w:ascii="Arial" w:cs="Arial" w:eastAsia="Arial" w:hAnsi="Arial"/>
          <w:sz w:val="16"/>
          <w:szCs w:val="16"/>
          <w:color w:val="auto"/>
        </w:rPr>
      </w:pPr>
    </w:p>
    <w:p>
      <w:pPr>
        <w:ind w:left="700" w:hanging="46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increases are due principally to volume increases from both general operating activities and acquisitions.</w:t>
      </w:r>
    </w:p>
    <w:p>
      <w:pPr>
        <w:spacing w:after="0" w:line="279" w:lineRule="exact"/>
        <w:rPr>
          <w:rFonts w:ascii="Arial" w:cs="Arial" w:eastAsia="Arial" w:hAnsi="Arial"/>
          <w:sz w:val="18"/>
          <w:szCs w:val="18"/>
          <w:color w:val="auto"/>
        </w:rPr>
      </w:pPr>
    </w:p>
    <w:p>
      <w:pPr>
        <w:ind w:left="700" w:hanging="462"/>
        <w:spacing w:after="0" w:line="332"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costs have increased primarily due to our volume increases. Also contributing to these increases is the impact of acquisitions we made in the third quarter of 2003 and additional transportation costs experienced by our Eastern Group due to capacity constraints at some of our landfills.</w:t>
      </w:r>
    </w:p>
    <w:p>
      <w:pPr>
        <w:spacing w:after="0" w:line="166" w:lineRule="exact"/>
        <w:rPr>
          <w:rFonts w:ascii="Arial" w:cs="Arial" w:eastAsia="Arial" w:hAnsi="Arial"/>
          <w:sz w:val="16"/>
          <w:szCs w:val="16"/>
          <w:color w:val="auto"/>
        </w:rPr>
      </w:pPr>
    </w:p>
    <w:p>
      <w:pPr>
        <w:ind w:left="700" w:right="40" w:hanging="462"/>
        <w:spacing w:after="0" w:line="306"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Recycling Group provides our recycling suppliers with rebates that are driven by market prices of recyclable commodities. The increase in cost of goods sold correlates directly to the increase in the market prices of these commodities. We factor these increased costs into our pricing, thus increasing the related revenue stream, resulting in a relatively insignificant net impact on our operating results.</w:t>
      </w:r>
    </w:p>
    <w:p>
      <w:pPr>
        <w:spacing w:after="0" w:line="187" w:lineRule="exact"/>
        <w:rPr>
          <w:rFonts w:ascii="Arial" w:cs="Arial" w:eastAsia="Arial" w:hAnsi="Arial"/>
          <w:sz w:val="16"/>
          <w:szCs w:val="16"/>
          <w:color w:val="auto"/>
        </w:rPr>
      </w:pPr>
    </w:p>
    <w:p>
      <w:pPr>
        <w:ind w:left="700" w:right="60" w:hanging="462"/>
        <w:spacing w:after="0" w:line="332"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experienced an average increase of $0.24 per gallon for the current quarter and $0.11 per gallon for the year-to-date period when compared with the corresponding prior year periods. However, a very significant portion of this cost increase is offset by our fuel surcharges to customers.</w:t>
      </w:r>
    </w:p>
    <w:p>
      <w:pPr>
        <w:spacing w:after="0" w:line="139" w:lineRule="exact"/>
        <w:rPr>
          <w:rFonts w:ascii="Arial" w:cs="Arial" w:eastAsia="Arial" w:hAnsi="Arial"/>
          <w:sz w:val="16"/>
          <w:szCs w:val="16"/>
          <w:color w:val="auto"/>
        </w:rPr>
      </w:pPr>
    </w:p>
    <w:p>
      <w:pPr>
        <w:ind w:left="580" w:right="140" w:hanging="342"/>
        <w:spacing w:after="0" w:line="294"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portion of the decrease is due to the recovery of claims against insurers for the reimbursement of environmental expenses. However, the primary contributor to the decrease is the impact of the December 31, 2003 consolidation of two special purpose type variable interest entities from which we lease three waste-to-energy facilities. Prior to the consolidation of these entities, we accounted for these arrangements as operating leases. The consolidation of these entities has, therefore, resulted in a decline in rental expense in 2004; however, the decrease to other operating costs was partially offset by increases in depreciation, interest expense and minority interest expense.</w:t>
      </w:r>
    </w:p>
    <w:p>
      <w:pPr>
        <w:sectPr>
          <w:pgSz w:w="11900" w:h="16838" w:orient="portrait"/>
          <w:cols w:equalWidth="0" w:num="1">
            <w:col w:w="11400"/>
          </w:cols>
          <w:pgMar w:left="240" w:top="419"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general and administrative expenses are (i) labor costs, which include salaries, related insurance and benefits, contract labor, and payroll taxes;</w:t>
      </w:r>
    </w:p>
    <w:p>
      <w:pPr>
        <w:spacing w:after="0" w:line="38" w:lineRule="exact"/>
        <w:rPr>
          <w:sz w:val="20"/>
          <w:szCs w:val="20"/>
          <w:color w:val="auto"/>
        </w:rPr>
      </w:pPr>
    </w:p>
    <w:p>
      <w:pPr>
        <w:ind w:right="160" w:firstLine="8"/>
        <w:spacing w:after="0" w:line="255" w:lineRule="auto"/>
        <w:tabs>
          <w:tab w:leader="none" w:pos="2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professional fees, which include fees for consulting, legal, audit, and tax services; (iii) provision for bad debts, which includes allowances for uncollectible customer accounts and collection fees; and (iv) other general and administrative expenses, which include voice and data telecommunications, advertising, travel and entertainment, rentals, postage, and printing.</w:t>
      </w:r>
    </w:p>
    <w:p>
      <w:pPr>
        <w:spacing w:after="0" w:line="2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three and six months ended June 30, 2004 and 2003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5"/>
              </w:rPr>
              <w:t>Six Months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Ended June 30,</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Ended June 30,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4"/>
          </w:tcPr>
          <w:p>
            <w:pPr>
              <w:ind w:left="360"/>
              <w:spacing w:after="0"/>
              <w:rPr>
                <w:sz w:val="20"/>
                <w:szCs w:val="20"/>
                <w:color w:val="auto"/>
              </w:rPr>
            </w:pPr>
            <w:r>
              <w:rPr>
                <w:rFonts w:ascii="Arial" w:cs="Arial" w:eastAsia="Arial" w:hAnsi="Arial"/>
                <w:sz w:val="14"/>
                <w:szCs w:val="14"/>
                <w:b w:val="1"/>
                <w:bCs w:val="1"/>
                <w:color w:val="auto"/>
              </w:rPr>
              <w:t>Change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Labor and related benefits</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$373</w:t>
            </w:r>
          </w:p>
        </w:tc>
        <w:tc>
          <w:tcPr>
            <w:tcW w:w="10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$ 2</w:t>
            </w:r>
          </w:p>
        </w:tc>
        <w:tc>
          <w:tcPr>
            <w:tcW w:w="300" w:type="dxa"/>
            <w:vAlign w:val="bottom"/>
            <w:shd w:val="clear" w:color="auto" w:fill="EEEEEE"/>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Professional fees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bad debts</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w w:val="90"/>
              </w:rPr>
              <w:t>(3)</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10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9</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160" w:type="dxa"/>
            <w:vAlign w:val="bottom"/>
            <w:tcBorders>
              <w:bottom w:val="single" w:sz="8" w:color="808080"/>
            </w:tcBorders>
            <w:shd w:val="clear" w:color="auto" w:fill="EEEEEE"/>
          </w:tcPr>
          <w:p>
            <w:pPr>
              <w:spacing w:after="0"/>
              <w:rPr>
                <w:sz w:val="9"/>
                <w:szCs w:val="9"/>
                <w:color w:val="auto"/>
              </w:rPr>
            </w:pPr>
          </w:p>
        </w:tc>
        <w:tc>
          <w:tcPr>
            <w:tcW w:w="30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160" w:type="dxa"/>
            <w:vAlign w:val="bottom"/>
            <w:shd w:val="clear" w:color="auto" w:fill="EEEEEE"/>
          </w:tcPr>
          <w:p>
            <w:pPr>
              <w:spacing w:after="0"/>
              <w:rPr>
                <w:sz w:val="8"/>
                <w:szCs w:val="8"/>
                <w:color w:val="auto"/>
              </w:rPr>
            </w:pPr>
          </w:p>
        </w:tc>
        <w:tc>
          <w:tcPr>
            <w:tcW w:w="3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78"/>
              </w:rPr>
              <w:t>16</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$ 9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80" w:type="dxa"/>
            <w:vAlign w:val="bottom"/>
            <w:shd w:val="clear" w:color="auto" w:fill="EEEEE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0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-104140</wp:posOffset>
            </wp:positionV>
            <wp:extent cx="11557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5570" cy="3873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-104140</wp:posOffset>
            </wp:positionV>
            <wp:extent cx="9842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425" cy="38735"/>
                    </a:xfrm>
                    <a:prstGeom prst="rect">
                      <a:avLst/>
                    </a:prstGeom>
                    <a:noFill/>
                  </pic:spPr>
                </pic:pic>
              </a:graphicData>
            </a:graphic>
          </wp:anchor>
        </w:drawing>
      </w:r>
    </w:p>
    <w:p>
      <w:pPr>
        <w:spacing w:after="0" w:line="188" w:lineRule="exact"/>
        <w:rPr>
          <w:sz w:val="20"/>
          <w:szCs w:val="20"/>
          <w:color w:val="auto"/>
        </w:rPr>
      </w:pPr>
    </w:p>
    <w:p>
      <w:pPr>
        <w:ind w:left="700" w:right="120" w:hanging="462"/>
        <w:spacing w:after="0" w:line="294"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Labor-related costs were relatively consistent year-over-year even though we experienced increased costs in the second quarter of 2004. The increased costs were the result of (i) an increase in commission costs due to comparatively higher operating revenues; (ii) higher salaries and hourly wages as compared with prior year due to annual merit increases that were partially offset by the 2003 restructurings; and (iii) current period severance-related expenses. These costs were offset in the six-month period by a decrease in costs due to a decline in the use of contract labor as compared with the prior year and achieving lower insurance costs, primarily in the first three months of 2004.</w:t>
      </w:r>
    </w:p>
    <w:p>
      <w:pPr>
        <w:spacing w:after="0" w:line="196" w:lineRule="exact"/>
        <w:rPr>
          <w:rFonts w:ascii="Arial" w:cs="Arial" w:eastAsia="Arial" w:hAnsi="Arial"/>
          <w:sz w:val="16"/>
          <w:szCs w:val="16"/>
          <w:color w:val="auto"/>
        </w:rPr>
      </w:pPr>
    </w:p>
    <w:p>
      <w:pPr>
        <w:ind w:left="700" w:right="400" w:hanging="462"/>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2003, we obtained a favorable settlement of a legal dispute, which is the main factor causing a year-over-year increase in other SG&amp;A costs that otherwise were relatively consistent.</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Income From Operations</w:t>
      </w:r>
    </w:p>
    <w:p>
      <w:pPr>
        <w:spacing w:after="0" w:line="252"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The following table summarizes the remaining components of income from operations for the three and six months ended June 30, 2004 and 2003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ind w:left="540"/>
              <w:spacing w:after="0"/>
              <w:rPr>
                <w:sz w:val="20"/>
                <w:szCs w:val="20"/>
                <w:color w:val="auto"/>
              </w:rPr>
            </w:pPr>
            <w:r>
              <w:rPr>
                <w:rFonts w:ascii="Arial" w:cs="Arial" w:eastAsia="Arial" w:hAnsi="Arial"/>
                <w:sz w:val="14"/>
                <w:szCs w:val="14"/>
                <w:b w:val="1"/>
                <w:bCs w:val="1"/>
                <w:color w:val="auto"/>
                <w:w w:val="85"/>
              </w:rPr>
              <w:t>Six Months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4"/>
          </w:tcPr>
          <w:p>
            <w:pPr>
              <w:jc w:val="right"/>
              <w:ind w:right="357"/>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720" w:type="dxa"/>
            <w:vAlign w:val="bottom"/>
          </w:tcPr>
          <w:p>
            <w:pPr>
              <w:jc w:val="right"/>
              <w:ind w:right="162"/>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22"/>
                <w:szCs w:val="22"/>
                <w:color w:val="auto"/>
              </w:rPr>
            </w:pP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EEEEEE"/>
          </w:tcPr>
          <w:p>
            <w:pPr>
              <w:jc w:val="right"/>
              <w:ind w:right="102"/>
              <w:spacing w:after="0"/>
              <w:rPr>
                <w:sz w:val="20"/>
                <w:szCs w:val="20"/>
                <w:color w:val="auto"/>
              </w:rPr>
            </w:pPr>
            <w:r>
              <w:rPr>
                <w:rFonts w:ascii="Arial" w:cs="Arial" w:eastAsia="Arial" w:hAnsi="Arial"/>
                <w:sz w:val="18"/>
                <w:szCs w:val="18"/>
                <w:color w:val="auto"/>
              </w:rPr>
              <w:t>$348</w:t>
            </w:r>
          </w:p>
        </w:tc>
        <w:tc>
          <w:tcPr>
            <w:tcW w:w="10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$ 23 (a)</w:t>
            </w:r>
          </w:p>
        </w:tc>
        <w:tc>
          <w:tcPr>
            <w:tcW w:w="740" w:type="dxa"/>
            <w:vAlign w:val="bottom"/>
            <w:shd w:val="clear" w:color="auto" w:fill="EEEEEE"/>
          </w:tcPr>
          <w:p>
            <w:pPr>
              <w:jc w:val="right"/>
              <w:ind w:right="122"/>
              <w:spacing w:after="0"/>
              <w:rPr>
                <w:sz w:val="20"/>
                <w:szCs w:val="20"/>
                <w:color w:val="auto"/>
              </w:rPr>
            </w:pPr>
            <w:r>
              <w:rPr>
                <w:rFonts w:ascii="Arial" w:cs="Arial" w:eastAsia="Arial" w:hAnsi="Arial"/>
                <w:sz w:val="18"/>
                <w:szCs w:val="18"/>
                <w:color w:val="auto"/>
              </w:rPr>
              <w:t>$673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jc w:val="right"/>
              <w:ind w:right="97"/>
              <w:spacing w:after="0"/>
              <w:rPr>
                <w:sz w:val="20"/>
                <w:szCs w:val="20"/>
                <w:color w:val="auto"/>
              </w:rPr>
            </w:pPr>
            <w:r>
              <w:rPr>
                <w:rFonts w:ascii="Arial" w:cs="Arial" w:eastAsia="Arial" w:hAnsi="Arial"/>
                <w:sz w:val="18"/>
                <w:szCs w:val="18"/>
                <w:color w:val="auto"/>
                <w:w w:val="84"/>
              </w:rPr>
              <w:t>$627</w:t>
            </w:r>
          </w:p>
        </w:tc>
        <w:tc>
          <w:tcPr>
            <w:tcW w:w="280" w:type="dxa"/>
            <w:vAlign w:val="bottom"/>
            <w:shd w:val="clear" w:color="auto" w:fill="EEEEEE"/>
          </w:tcPr>
          <w:p>
            <w:pPr>
              <w:spacing w:after="0"/>
              <w:rPr>
                <w:sz w:val="18"/>
                <w:szCs w:val="18"/>
                <w:color w:val="auto"/>
              </w:rPr>
            </w:pPr>
          </w:p>
        </w:tc>
        <w:tc>
          <w:tcPr>
            <w:tcW w:w="10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$ 46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Restructuring</w:t>
            </w:r>
          </w:p>
        </w:tc>
        <w:tc>
          <w:tcPr>
            <w:tcW w:w="72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(23)(b)</w:t>
            </w: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7"/>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(43)(b)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Asset impairments and unusual items</w:t>
            </w:r>
          </w:p>
        </w:tc>
        <w:tc>
          <w:tcPr>
            <w:tcW w:w="720" w:type="dxa"/>
            <w:vAlign w:val="bottom"/>
            <w:shd w:val="clear" w:color="auto" w:fill="EEEEEE"/>
          </w:tcPr>
          <w:p>
            <w:pPr>
              <w:jc w:val="right"/>
              <w:ind w:right="62"/>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(3)(c)</w:t>
            </w:r>
          </w:p>
        </w:tc>
        <w:tc>
          <w:tcPr>
            <w:tcW w:w="740" w:type="dxa"/>
            <w:vAlign w:val="bottom"/>
            <w:shd w:val="clear" w:color="auto" w:fill="EEEEEE"/>
          </w:tcPr>
          <w:p>
            <w:pPr>
              <w:jc w:val="right"/>
              <w:ind w:right="62"/>
              <w:spacing w:after="0"/>
              <w:rPr>
                <w:sz w:val="20"/>
                <w:szCs w:val="20"/>
                <w:color w:val="auto"/>
              </w:rPr>
            </w:pPr>
            <w:r>
              <w:rPr>
                <w:rFonts w:ascii="Arial" w:cs="Arial" w:eastAsia="Arial" w:hAnsi="Arial"/>
                <w:sz w:val="18"/>
                <w:szCs w:val="18"/>
                <w:color w:val="auto"/>
              </w:rPr>
              <w:t>(18)</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jc w:val="right"/>
              <w:ind w:right="37"/>
              <w:spacing w:after="0"/>
              <w:rPr>
                <w:sz w:val="20"/>
                <w:szCs w:val="20"/>
                <w:color w:val="auto"/>
              </w:rPr>
            </w:pPr>
            <w:r>
              <w:rPr>
                <w:rFonts w:ascii="Arial" w:cs="Arial" w:eastAsia="Arial" w:hAnsi="Arial"/>
                <w:sz w:val="18"/>
                <w:szCs w:val="18"/>
                <w:color w:val="auto"/>
              </w:rPr>
              <w:t>(7)</w:t>
            </w:r>
          </w:p>
        </w:tc>
        <w:tc>
          <w:tcPr>
            <w:tcW w:w="280" w:type="dxa"/>
            <w:vAlign w:val="bottom"/>
            <w:shd w:val="clear" w:color="auto" w:fill="EEEEEE"/>
          </w:tcPr>
          <w:p>
            <w:pPr>
              <w:spacing w:after="0"/>
              <w:rPr>
                <w:sz w:val="18"/>
                <w:szCs w:val="18"/>
                <w:color w:val="auto"/>
              </w:rPr>
            </w:pPr>
          </w:p>
        </w:tc>
        <w:tc>
          <w:tcPr>
            <w:tcW w:w="1020" w:type="dxa"/>
            <w:vAlign w:val="bottom"/>
            <w:shd w:val="clear" w:color="auto" w:fill="EEEEEE"/>
          </w:tcPr>
          <w:p>
            <w:pPr>
              <w:ind w:left="380"/>
              <w:spacing w:after="0"/>
              <w:rPr>
                <w:sz w:val="20"/>
                <w:szCs w:val="20"/>
                <w:color w:val="auto"/>
              </w:rPr>
            </w:pPr>
            <w:r>
              <w:rPr>
                <w:rFonts w:ascii="Arial" w:cs="Arial" w:eastAsia="Arial" w:hAnsi="Arial"/>
                <w:sz w:val="18"/>
                <w:szCs w:val="18"/>
                <w:color w:val="auto"/>
              </w:rPr>
              <w:t>(11)(c)</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hanging="462"/>
        <w:spacing w:after="0" w:line="256"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increases are primarily related to (i) an increase in landfill airspace amortization due to higher volumes at our landfills and an increase in the per ton amortization rate; (ii) increased information technology depreciation expense recognized as a result of placing additional enterprise-wide software systems into service during the latter half of 2003; and (iii) increased depreciation expense for our Wheelabrator Group as a result of consolidating two variable interest entities.</w:t>
      </w:r>
    </w:p>
    <w:p>
      <w:pPr>
        <w:spacing w:after="0" w:line="224" w:lineRule="exact"/>
        <w:rPr>
          <w:rFonts w:ascii="Arial" w:cs="Arial" w:eastAsia="Arial" w:hAnsi="Arial"/>
          <w:sz w:val="18"/>
          <w:szCs w:val="18"/>
          <w:color w:val="auto"/>
        </w:rPr>
      </w:pPr>
    </w:p>
    <w:p>
      <w:pPr>
        <w:ind w:left="700" w:right="300" w:hanging="462"/>
        <w:spacing w:after="0" w:line="323" w:lineRule="auto"/>
        <w:tabs>
          <w:tab w:leader="none" w:pos="7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 February 2003 we reduced the number of market areas that make up our geographic operating Groups and reduced certain overhead positions to streamline our organization. As a result, we incurred approximately $20 million in one-time employee severance and benefit costs. The operational efficiencies provided by the February 2003 organizational changes enabled us to further reduce our workforce in June 2003. In the second quarter of 2003, we recorded $23 million of pre-tax charges for employee severance and benefit costs associated with this workforce reduction.</w:t>
      </w:r>
    </w:p>
    <w:p>
      <w:pPr>
        <w:spacing w:after="0" w:line="178" w:lineRule="exact"/>
        <w:rPr>
          <w:rFonts w:ascii="Arial" w:cs="Arial" w:eastAsia="Arial" w:hAnsi="Arial"/>
          <w:sz w:val="15"/>
          <w:szCs w:val="15"/>
          <w:color w:val="auto"/>
        </w:rPr>
      </w:pPr>
    </w:p>
    <w:p>
      <w:pPr>
        <w:ind w:left="700" w:right="300" w:hanging="462"/>
        <w:spacing w:after="0" w:line="306"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gains for all periods relate primarily to divestiture activity. Specifically, during the first quarter of 2004 we divested certain Port-O-Let® operations for a gain of approximately $8 million and we recognized approximately $12 million in the second quarter of 2004 for adjustments to our estimated obligations associated with our non-solid waste services that were divested by March 31, 2002.</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25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following table summarizes income from operations by reportable segment for the three and six months ended June 30, 2004 and 2003 and provides explanations of significant factors contributing to the identified variances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Ended June 30,</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7"/>
              </w:rPr>
              <w:t>Ended June 30,</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4"/>
          </w:tcPr>
          <w:p>
            <w:pPr>
              <w:ind w:left="340"/>
              <w:spacing w:after="0"/>
              <w:rPr>
                <w:sz w:val="20"/>
                <w:szCs w:val="20"/>
                <w:color w:val="auto"/>
              </w:rPr>
            </w:pPr>
            <w:r>
              <w:rPr>
                <w:rFonts w:ascii="Arial" w:cs="Arial" w:eastAsia="Arial" w:hAnsi="Arial"/>
                <w:sz w:val="14"/>
                <w:szCs w:val="14"/>
                <w:b w:val="1"/>
                <w:bCs w:val="1"/>
                <w:color w:val="auto"/>
              </w:rPr>
              <w:t>Change</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Eastern</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169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149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153</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142</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Southern</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141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317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281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183</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167</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Wheelabrator</w:t>
            </w: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126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13</w:t>
            </w:r>
          </w:p>
        </w:tc>
        <w:tc>
          <w:tcPr>
            <w:tcW w:w="7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(d)</w:t>
            </w: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NASW</w:t>
            </w:r>
          </w:p>
        </w:tc>
        <w:tc>
          <w:tcPr>
            <w:tcW w:w="2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93"/>
              </w:rPr>
              <w:t>(12)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1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2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808080"/>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100" w:type="dxa"/>
            <w:vAlign w:val="bottom"/>
            <w:tcBorders>
              <w:bottom w:val="single" w:sz="8" w:color="EEEEEE"/>
            </w:tcBorders>
            <w:shd w:val="clear" w:color="auto" w:fill="EEEEEE"/>
          </w:tcPr>
          <w:p>
            <w:pPr>
              <w:spacing w:after="0"/>
              <w:rPr>
                <w:sz w:val="9"/>
                <w:szCs w:val="9"/>
                <w:color w:val="auto"/>
              </w:rPr>
            </w:pPr>
          </w:p>
        </w:tc>
        <w:tc>
          <w:tcPr>
            <w:tcW w:w="280" w:type="dxa"/>
            <w:vAlign w:val="bottom"/>
            <w:tcBorders>
              <w:bottom w:val="single" w:sz="8" w:color="808080"/>
              <w:right w:val="single" w:sz="8" w:color="EEEEEE"/>
            </w:tcBorders>
            <w:shd w:val="clear" w:color="auto" w:fill="EEEEEE"/>
          </w:tcPr>
          <w:p>
            <w:pPr>
              <w:spacing w:after="0"/>
              <w:rPr>
                <w:sz w:val="9"/>
                <w:szCs w:val="9"/>
                <w:color w:val="auto"/>
              </w:rPr>
            </w:pPr>
          </w:p>
        </w:tc>
        <w:tc>
          <w:tcPr>
            <w:tcW w:w="18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380" w:type="dxa"/>
            <w:vAlign w:val="bottom"/>
            <w:tcBorders>
              <w:bottom w:val="single" w:sz="8" w:color="EEEEEE"/>
            </w:tcBorders>
            <w:shd w:val="clear" w:color="auto" w:fill="EEEEEE"/>
          </w:tcPr>
          <w:p>
            <w:pPr>
              <w:spacing w:after="0"/>
              <w:rPr>
                <w:sz w:val="9"/>
                <w:szCs w:val="9"/>
                <w:color w:val="auto"/>
              </w:rPr>
            </w:pPr>
          </w:p>
        </w:tc>
        <w:tc>
          <w:tcPr>
            <w:tcW w:w="320" w:type="dxa"/>
            <w:vAlign w:val="bottom"/>
            <w:tcBorders>
              <w:bottom w:val="single" w:sz="8" w:color="808080"/>
              <w:right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80" w:type="dxa"/>
            <w:vAlign w:val="bottom"/>
            <w:tcBorders>
              <w:right w:val="single" w:sz="8" w:color="EEEEEE"/>
            </w:tcBorders>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80" w:type="dxa"/>
            <w:vAlign w:val="bottom"/>
            <w:shd w:val="clear" w:color="auto" w:fill="EEEEEE"/>
          </w:tcPr>
          <w:p>
            <w:pPr>
              <w:spacing w:after="0"/>
              <w:rPr>
                <w:sz w:val="8"/>
                <w:szCs w:val="8"/>
                <w:color w:val="auto"/>
              </w:rPr>
            </w:pPr>
          </w:p>
        </w:tc>
        <w:tc>
          <w:tcPr>
            <w:tcW w:w="320" w:type="dxa"/>
            <w:vAlign w:val="bottom"/>
            <w:tcBorders>
              <w:right w:val="single" w:sz="8" w:color="EEEEEE"/>
            </w:tcBorders>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NASW</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544</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477</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983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869</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380" w:type="dxa"/>
            <w:vAlign w:val="bottom"/>
            <w:shd w:val="clear" w:color="auto" w:fill="EEEEEE"/>
          </w:tcPr>
          <w:p>
            <w:pPr>
              <w:spacing w:after="0"/>
              <w:rPr>
                <w:sz w:val="5"/>
                <w:szCs w:val="5"/>
                <w:color w:val="auto"/>
              </w:rPr>
            </w:pPr>
          </w:p>
        </w:tc>
        <w:tc>
          <w:tcPr>
            <w:tcW w:w="320" w:type="dxa"/>
            <w:vAlign w:val="bottom"/>
            <w:tcBorders>
              <w:right w:val="single" w:sz="8" w:color="EEEEEE"/>
            </w:tcBorders>
            <w:shd w:val="clear" w:color="auto" w:fill="808080"/>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tcBorders>
              <w:right w:val="single" w:sz="8" w:color="EEEEEE"/>
            </w:tcBorders>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-104140</wp:posOffset>
            </wp:positionV>
            <wp:extent cx="11557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188" w:lineRule="exact"/>
        <w:rPr>
          <w:sz w:val="20"/>
          <w:szCs w:val="20"/>
          <w:color w:val="auto"/>
        </w:rPr>
      </w:pPr>
    </w:p>
    <w:p>
      <w:pPr>
        <w:ind w:left="700" w:hanging="462"/>
        <w:spacing w:after="0" w:line="291"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increases were driven primarily by (i) internal revenue growth of 2.4% for the second quarter and 2.0% year-to-date, largely due to increased average yield across all major lines of business, which was partially offset by volume declines in landfill operations during the first quarter and volume declines in residential collection operations throughout the year; (ii) the absence of one-time employee severance and benefit costs incurred as part of the February and June 2003 restructurings; (iii) the absence of higher operating expenses incurred because of the harsh weather conditions during the first quarter of 2003; and (iv) acquisitions. These earnings improvements were partially offset by increased costs for the transportation of waste and labor and an increase in landfill amortization expense.</w:t>
      </w:r>
    </w:p>
    <w:p>
      <w:pPr>
        <w:spacing w:after="0" w:line="201" w:lineRule="exact"/>
        <w:rPr>
          <w:rFonts w:ascii="Arial" w:cs="Arial" w:eastAsia="Arial" w:hAnsi="Arial"/>
          <w:sz w:val="16"/>
          <w:szCs w:val="16"/>
          <w:color w:val="auto"/>
        </w:rPr>
      </w:pPr>
    </w:p>
    <w:p>
      <w:pPr>
        <w:ind w:left="700" w:hanging="462"/>
        <w:spacing w:after="0" w:line="306"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Operating income in 2004 has been favorably affected by (i) positive internal revenue growth of 3.2% for the second quarter and 3.0% year-to-date, largely due to volume increases in higher margin landfill operations; (ii) acquisitions; (iii) the 2003 impact of one-time employee severance and benefit costs incurred as part of the February and June 2003 restructurings; and (iv) various operating and administrative cost reductions.</w:t>
      </w:r>
    </w:p>
    <w:p>
      <w:pPr>
        <w:spacing w:after="0" w:line="187" w:lineRule="exact"/>
        <w:rPr>
          <w:rFonts w:ascii="Arial" w:cs="Arial" w:eastAsia="Arial" w:hAnsi="Arial"/>
          <w:sz w:val="16"/>
          <w:szCs w:val="16"/>
          <w:color w:val="auto"/>
        </w:rPr>
      </w:pPr>
    </w:p>
    <w:p>
      <w:pPr>
        <w:ind w:left="700" w:hanging="462"/>
        <w:spacing w:after="0" w:line="291"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increase was due in large part to (i) positive internal revenue growth of 1.7% driven by improved electricity pricing and average yield improvements on long-term disposal contracts; and (ii) the consolidation of two special purpose variable interest entities on December 31, 2003, which has increased income from operations as a result of decreased operating costs, partially offset by increases in depreciation expense (the impact of the consolidation of these entities on income before income taxes is further reduced by increases in interest expense and minority interest expense). The comparison of the current quarter’s operating results with the same quarter of the prior year is also affected by an $11 million favorable settlement of a legal dispute during the second quarter of 2003.</w:t>
      </w:r>
    </w:p>
    <w:p>
      <w:pPr>
        <w:spacing w:after="0" w:line="201" w:lineRule="exact"/>
        <w:rPr>
          <w:rFonts w:ascii="Arial" w:cs="Arial" w:eastAsia="Arial" w:hAnsi="Arial"/>
          <w:sz w:val="16"/>
          <w:szCs w:val="16"/>
          <w:color w:val="auto"/>
        </w:rPr>
      </w:pPr>
    </w:p>
    <w:p>
      <w:pPr>
        <w:ind w:left="700" w:right="200" w:hanging="462"/>
        <w:spacing w:after="0" w:line="298"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Recycling Group’s 2004 operating revenues have been favorably affected by significantly higher market prices for recycling commodities. Improvements in the market prices for these commodities provide marginal increases to our income from operations because a substantial portion of changes in market prices are generally passed on as rebates to our suppliers. These favorable market conditions, and to a lesser extent, accretive acquisitions were the primary drivers of the current quarter’s increase in earnings.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Income Before Cumulative Effect of Changes in Accounting Principles</w:t>
      </w:r>
    </w:p>
    <w:p>
      <w:pPr>
        <w:spacing w:after="0" w:line="252"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The following summarizes the other major components of our income before cumulative effect of changes in accounting principles for the three and six months ended June 30, 2004 and 2003 (in millions):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ind w:left="540"/>
              <w:spacing w:after="0"/>
              <w:rPr>
                <w:sz w:val="20"/>
                <w:szCs w:val="20"/>
                <w:color w:val="auto"/>
              </w:rPr>
            </w:pPr>
            <w:r>
              <w:rPr>
                <w:rFonts w:ascii="Arial" w:cs="Arial" w:eastAsia="Arial" w:hAnsi="Arial"/>
                <w:sz w:val="14"/>
                <w:szCs w:val="14"/>
                <w:b w:val="1"/>
                <w:bCs w:val="1"/>
                <w:color w:val="auto"/>
                <w:w w:val="85"/>
              </w:rPr>
              <w:t>Six Months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64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156"/>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22"/>
                <w:szCs w:val="22"/>
                <w:color w:val="auto"/>
              </w:rPr>
            </w:pPr>
          </w:p>
        </w:tc>
        <w:tc>
          <w:tcPr>
            <w:tcW w:w="10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shd w:val="clear" w:color="auto" w:fill="EEEEEE"/>
          </w:tcPr>
          <w:p>
            <w:pPr>
              <w:jc w:val="right"/>
              <w:ind w:right="120"/>
              <w:spacing w:after="0"/>
              <w:rPr>
                <w:sz w:val="20"/>
                <w:szCs w:val="20"/>
                <w:color w:val="auto"/>
              </w:rPr>
            </w:pPr>
            <w:r>
              <w:rPr>
                <w:rFonts w:ascii="Arial" w:cs="Arial" w:eastAsia="Arial" w:hAnsi="Arial"/>
                <w:sz w:val="18"/>
                <w:szCs w:val="18"/>
                <w:color w:val="auto"/>
              </w:rPr>
              <w:t>$112</w:t>
            </w:r>
          </w:p>
        </w:tc>
        <w:tc>
          <w:tcPr>
            <w:tcW w:w="9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$106</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w:t>
            </w: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2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w w:val="84"/>
              </w:rPr>
              <w:t>$213</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9"/>
              </w:rPr>
              <w:t>Equity in losses (earnings) of unconsolidated</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entities</w:t>
            </w:r>
          </w:p>
        </w:tc>
        <w:tc>
          <w:tcPr>
            <w:tcW w:w="740" w:type="dxa"/>
            <w:vAlign w:val="bottom"/>
          </w:tcPr>
          <w:p>
            <w:pPr>
              <w:jc w:val="right"/>
              <w:ind w:right="120"/>
              <w:spacing w:after="0"/>
              <w:rPr>
                <w:sz w:val="20"/>
                <w:szCs w:val="20"/>
                <w:color w:val="auto"/>
              </w:rPr>
            </w:pPr>
            <w:r>
              <w:rPr>
                <w:rFonts w:ascii="Arial" w:cs="Arial" w:eastAsia="Arial" w:hAnsi="Arial"/>
                <w:sz w:val="18"/>
                <w:szCs w:val="18"/>
                <w:color w:val="auto"/>
              </w:rPr>
              <w:t>24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740" w:type="dxa"/>
            <w:vAlign w:val="bottom"/>
          </w:tcPr>
          <w:p>
            <w:pPr>
              <w:jc w:val="right"/>
              <w:ind w:right="12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w:t>
            </w:r>
          </w:p>
        </w:tc>
        <w:tc>
          <w:tcPr>
            <w:tcW w:w="740" w:type="dxa"/>
            <w:vAlign w:val="bottom"/>
            <w:shd w:val="clear" w:color="auto" w:fill="EEEEEE"/>
          </w:tcPr>
          <w:p>
            <w:pPr>
              <w:jc w:val="right"/>
              <w:ind w:right="1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(b)</w:t>
            </w:r>
          </w:p>
        </w:tc>
        <w:tc>
          <w:tcPr>
            <w:tcW w:w="740" w:type="dxa"/>
            <w:vAlign w:val="bottom"/>
            <w:shd w:val="clear" w:color="auto" w:fill="EEEEEE"/>
          </w:tcPr>
          <w:p>
            <w:pPr>
              <w:jc w:val="right"/>
              <w:ind w:right="1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net</w:t>
            </w:r>
          </w:p>
        </w:tc>
        <w:tc>
          <w:tcPr>
            <w:tcW w:w="74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EEEEEE"/>
          </w:tcPr>
          <w:p>
            <w:pPr>
              <w:jc w:val="right"/>
              <w:ind w:right="120"/>
              <w:spacing w:after="0"/>
              <w:rPr>
                <w:sz w:val="20"/>
                <w:szCs w:val="20"/>
                <w:color w:val="auto"/>
              </w:rPr>
            </w:pPr>
            <w:r>
              <w:rPr>
                <w:rFonts w:ascii="Arial" w:cs="Arial" w:eastAsia="Arial" w:hAnsi="Arial"/>
                <w:sz w:val="18"/>
                <w:szCs w:val="18"/>
                <w:color w:val="auto"/>
              </w:rPr>
              <w:t>81</w:t>
            </w:r>
          </w:p>
        </w:tc>
        <w:tc>
          <w:tcPr>
            <w:tcW w:w="9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(25)(c)</w:t>
            </w:r>
          </w:p>
        </w:tc>
        <w:tc>
          <w:tcPr>
            <w:tcW w:w="740" w:type="dxa"/>
            <w:vAlign w:val="bottom"/>
            <w:shd w:val="clear" w:color="auto" w:fill="EEEEEE"/>
          </w:tcPr>
          <w:p>
            <w:pPr>
              <w:jc w:val="right"/>
              <w:ind w:right="12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(31)(c)</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hanging="462"/>
        <w:spacing w:after="0" w:line="259"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first and second quarters of 2004, we acquired an equity interest in two coal-based synthetic fuel production facilities. We account for our investments in these entities using the equity method of accounting and their related losses are the reason for the quarter-over-quarter and year-over-year change in equity in losses (earnings) of unconsolidated entities.</w:t>
      </w:r>
    </w:p>
    <w:p>
      <w:pPr>
        <w:spacing w:after="0" w:line="221" w:lineRule="exact"/>
        <w:rPr>
          <w:rFonts w:ascii="Arial" w:cs="Arial" w:eastAsia="Arial" w:hAnsi="Arial"/>
          <w:sz w:val="18"/>
          <w:szCs w:val="18"/>
          <w:color w:val="auto"/>
        </w:rPr>
      </w:pPr>
    </w:p>
    <w:p>
      <w:pPr>
        <w:ind w:left="700" w:right="140" w:hanging="462"/>
        <w:spacing w:after="0" w:line="268"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increase is primarily attributable to the consolidation of two special purpose type variable interest entities on December 31, 2003 as a result of our implementation of FIN 46.</w:t>
      </w:r>
    </w:p>
    <w:p>
      <w:pPr>
        <w:spacing w:after="0" w:line="212" w:lineRule="exact"/>
        <w:rPr>
          <w:rFonts w:ascii="Arial" w:cs="Arial" w:eastAsia="Arial" w:hAnsi="Arial"/>
          <w:sz w:val="18"/>
          <w:szCs w:val="18"/>
          <w:color w:val="auto"/>
        </w:rPr>
      </w:pPr>
    </w:p>
    <w:p>
      <w:pPr>
        <w:ind w:left="700" w:right="20" w:hanging="462"/>
        <w:spacing w:after="0" w:line="254"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tax benefits that we will realize as a result of the investments discussed in footnote (a) have been reflected as a reduction to our provision for income taxes. This resulted in a decrease in our tax provision of approximately $35 million for the three months ended June 30, 2004 and approximately $54 million for the six months ended June 30, 2004, which more than offset the equity losses and interest expense realized during each period. Additionally, our current year tax provision includes the realization of the net benefit of audit settlements that occurred during the first and second quarters of 2004. This decrease in our tax provision has been partially offset by an increase in our overall provision for income taxes as a result of the increase in our consolidated pre-tax income.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Cumulative Effect of Changes in Accounting Principles</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On March 31, 2004, we recorded a credit of approximately $8 million, net of tax, or $0.01 per diluted share, as a cumulative effect of change in accounting principle as a result of the consolidation of previously unrecorded trusts as required by Financial Accounting Standards Board Interpretation No. 46, </w:t>
      </w:r>
      <w:r>
        <w:rPr>
          <w:rFonts w:ascii="Arial" w:cs="Arial" w:eastAsia="Arial" w:hAnsi="Arial"/>
          <w:sz w:val="18"/>
          <w:szCs w:val="18"/>
          <w:i w:val="1"/>
          <w:iCs w:val="1"/>
          <w:color w:val="auto"/>
        </w:rPr>
        <w:t xml:space="preserve">Consolidation of Variable Interest Entities. </w:t>
      </w:r>
      <w:r>
        <w:rPr>
          <w:rFonts w:ascii="Arial" w:cs="Arial" w:eastAsia="Arial" w:hAnsi="Arial"/>
          <w:sz w:val="18"/>
          <w:szCs w:val="18"/>
          <w:color w:val="auto"/>
        </w:rPr>
        <w:t>See Note 9 to the condensed consolidated financial statements.</w:t>
      </w:r>
    </w:p>
    <w:p>
      <w:pPr>
        <w:spacing w:after="0" w:line="221"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In the first quarter of 2003, we recorded a charge of $46 million, net of taxes, to cumulative effect of changes in accounting principles for the adoption of certain accounting changes described below.</w:t>
      </w:r>
    </w:p>
    <w:p>
      <w:pPr>
        <w:spacing w:after="0" w:line="186" w:lineRule="exact"/>
        <w:rPr>
          <w:sz w:val="20"/>
          <w:szCs w:val="20"/>
          <w:color w:val="auto"/>
        </w:rPr>
      </w:pPr>
    </w:p>
    <w:p>
      <w:pPr>
        <w:ind w:left="460" w:right="60" w:hanging="101"/>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December 31, 2002, we accrued in advance for major repairs and maintenance expenditures and deferred costs associated with annual plant outages at our waste-to-energy facilities and independent power production plants. Effective January 1, 2003, we changed our policy from that method to one that expenses such costs as they are incurred. We recorded approximately $25 million, net of taxes, or $0.04 per diluted share, as a credit to cumulative effect of changes in accounting principles.</w:t>
      </w:r>
    </w:p>
    <w:p>
      <w:pPr>
        <w:spacing w:after="0" w:line="224" w:lineRule="exact"/>
        <w:rPr>
          <w:rFonts w:ascii="Arial" w:cs="Arial" w:eastAsia="Arial" w:hAnsi="Arial"/>
          <w:sz w:val="18"/>
          <w:szCs w:val="18"/>
          <w:color w:val="auto"/>
        </w:rPr>
      </w:pPr>
    </w:p>
    <w:p>
      <w:pPr>
        <w:ind w:left="460" w:right="240" w:hanging="101"/>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Through December 31, 2002, we accrued for future losses under customer contracts that over the contract life were projected to have direct costs greater than revenues. Effective January 1, 2003, we changed our policy from that method to one that expenses such losses as they are incurred. We recorded approximately $30 million, net of taxes, or $0.05 per diluted share, as a credit to cumulative effect of changes in accounting principles.</w:t>
      </w:r>
    </w:p>
    <w:p>
      <w:pPr>
        <w:spacing w:after="0" w:line="187" w:lineRule="exact"/>
        <w:rPr>
          <w:rFonts w:ascii="Arial" w:cs="Arial" w:eastAsia="Arial" w:hAnsi="Arial"/>
          <w:sz w:val="16"/>
          <w:szCs w:val="16"/>
          <w:color w:val="auto"/>
        </w:rPr>
      </w:pPr>
    </w:p>
    <w:p>
      <w:pPr>
        <w:ind w:left="460" w:right="80" w:hanging="101"/>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the adoption of SFAS No. 143, we recorded approximately $101 million, including tax benefit, or $0.17 per diluted share, in the first quarter of 2003 as a charge to cumulative effect of changes in accounting principles. Substantially all of this charge was related to the impact of changes in accounting for landfill final capping, closure and post-closure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an organization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we believe are considered important by credit rating agencies and financial markets in determining our access to attractive financing alternatives, we expect to continue to maintain access to capital sources in the future. These factors include:</w:t>
      </w:r>
    </w:p>
    <w:p>
      <w:pPr>
        <w:spacing w:after="0" w:line="197" w:lineRule="exact"/>
        <w:rPr>
          <w:sz w:val="20"/>
          <w:szCs w:val="20"/>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279" w:lineRule="exact"/>
        <w:rPr>
          <w:sz w:val="20"/>
          <w:szCs w:val="20"/>
          <w:color w:val="auto"/>
        </w:rPr>
      </w:pPr>
    </w:p>
    <w:p>
      <w:pPr>
        <w:ind w:right="120" w:firstLine="324"/>
        <w:spacing w:after="0" w:line="303" w:lineRule="auto"/>
        <w:rPr>
          <w:sz w:val="20"/>
          <w:szCs w:val="20"/>
          <w:color w:val="auto"/>
        </w:rPr>
      </w:pPr>
      <w:r>
        <w:rPr>
          <w:rFonts w:ascii="Arial" w:cs="Arial" w:eastAsia="Arial" w:hAnsi="Arial"/>
          <w:sz w:val="15"/>
          <w:szCs w:val="15"/>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capital requirements for: (i) the construction and expansion of our landfills;</w:t>
      </w:r>
    </w:p>
    <w:p>
      <w:pPr>
        <w:spacing w:after="0" w:line="1" w:lineRule="exact"/>
        <w:rPr>
          <w:sz w:val="20"/>
          <w:szCs w:val="20"/>
          <w:color w:val="auto"/>
        </w:rPr>
      </w:pPr>
    </w:p>
    <w:p>
      <w:pPr>
        <w:ind w:right="20" w:firstLine="8"/>
        <w:spacing w:after="0" w:line="295" w:lineRule="auto"/>
        <w:tabs>
          <w:tab w:leader="none" w:pos="2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additions to and maintenance of our trucking fleet; (iii) refurbishments and improvements at waste-to-energy and materials recovery facilities; (iv) the container and equipment needs of our operations; and (v) capping, closure and post-closure activities at our landfills. Beginning in 2002, we committed ourselves to providing our shareholders with a return on their investment through our share repurchase program, and in 2004 began a quarterly dividend program. We also continue to invest in acquisitions that we believe will provide continued growth in our core business.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Balances and Debt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and debt balances as of June 30, 2004 and December 31, 2003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553</w:t>
            </w:r>
          </w:p>
        </w:tc>
        <w:tc>
          <w:tcPr>
            <w:tcW w:w="5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Debt:</w:t>
            </w:r>
          </w:p>
        </w:tc>
        <w:tc>
          <w:tcPr>
            <w:tcW w:w="5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Current portion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775</w:t>
            </w: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Long-term portion</w:t>
            </w:r>
          </w:p>
        </w:tc>
        <w:tc>
          <w:tcPr>
            <w:tcW w:w="5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7,947</w:t>
            </w: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7,997</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jc w:val="center"/>
              <w:ind w:right="3172"/>
              <w:spacing w:after="0"/>
              <w:rPr>
                <w:sz w:val="20"/>
                <w:szCs w:val="20"/>
                <w:color w:val="auto"/>
              </w:rPr>
            </w:pPr>
            <w:r>
              <w:rPr>
                <w:rFonts w:ascii="Arial" w:cs="Arial" w:eastAsia="Arial" w:hAnsi="Arial"/>
                <w:sz w:val="18"/>
                <w:szCs w:val="18"/>
                <w:color w:val="auto"/>
                <w:w w:val="87"/>
              </w:rPr>
              <w:t>Total debt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8,722</w:t>
            </w:r>
          </w:p>
        </w:tc>
        <w:tc>
          <w:tcPr>
            <w:tcW w:w="5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8,511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w w:val="96"/>
              </w:rPr>
              <w:t>Increase in carrying value of debt due to hedge accounting for</w:t>
            </w:r>
          </w:p>
        </w:tc>
        <w:tc>
          <w:tcPr>
            <w:tcW w:w="5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EEEEEE"/>
          </w:tcPr>
          <w:p>
            <w:pPr>
              <w:jc w:val="center"/>
              <w:ind w:right="3132"/>
              <w:spacing w:after="0"/>
              <w:rPr>
                <w:sz w:val="20"/>
                <w:szCs w:val="20"/>
                <w:color w:val="auto"/>
              </w:rPr>
            </w:pPr>
            <w:r>
              <w:rPr>
                <w:rFonts w:ascii="Arial" w:cs="Arial" w:eastAsia="Arial" w:hAnsi="Arial"/>
                <w:sz w:val="18"/>
                <w:szCs w:val="18"/>
                <w:color w:val="auto"/>
                <w:w w:val="86"/>
              </w:rPr>
              <w:t>interest rate swaps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50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5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consist primarily of cash on deposit, certificates of deposit, money market accounts, and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grade commercial paper purchased with original maturities of three months or less. The changes in our cash balance from December 31, 2003 are discussed in the “Summary of Cash Flow Activity” section below.</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i w:val="1"/>
          <w:iCs w:val="1"/>
          <w:color w:val="auto"/>
        </w:rPr>
        <w:t xml:space="preserve">Revolving credit and letter of credit facilities </w:t>
      </w:r>
      <w:r>
        <w:rPr>
          <w:rFonts w:ascii="Arial" w:cs="Arial" w:eastAsia="Arial" w:hAnsi="Arial"/>
          <w:sz w:val="18"/>
          <w:szCs w:val="18"/>
          <w:color w:val="auto"/>
        </w:rPr>
        <w:t>— The table below summarizes the credit capacity, maturity and outstanding letters of credit under each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facilities and principal letter of credit</w:t>
      </w:r>
    </w:p>
    <w:p>
      <w:pPr>
        <w:sectPr>
          <w:pgSz w:w="11900" w:h="16838" w:orient="portrait"/>
          <w:cols w:equalWidth="0" w:num="1">
            <w:col w:w="11380"/>
          </w:cols>
          <w:pgMar w:left="240" w:top="419" w:right="27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facilities outstanding at June 30, 2004 (in millions). In addition to this credit capacity, we have various arrangements pursuant to which we had an additional $87 million in outstanding letters of credit at June 30, 2004.</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Total Credit</w:t>
            </w: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Letters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ind w:left="2040"/>
              <w:spacing w:after="0"/>
              <w:rPr>
                <w:sz w:val="20"/>
                <w:szCs w:val="20"/>
                <w:color w:val="auto"/>
              </w:rPr>
            </w:pPr>
            <w:r>
              <w:rPr>
                <w:rFonts w:ascii="Arial" w:cs="Arial" w:eastAsia="Arial" w:hAnsi="Arial"/>
                <w:sz w:val="14"/>
                <w:szCs w:val="14"/>
                <w:color w:val="auto"/>
              </w:rPr>
              <w:t>Facility</w:t>
            </w:r>
          </w:p>
        </w:tc>
        <w:tc>
          <w:tcPr>
            <w:tcW w:w="240" w:type="dxa"/>
            <w:vAlign w:val="bottom"/>
          </w:tcPr>
          <w:p>
            <w:pPr>
              <w:spacing w:after="0"/>
              <w:rPr>
                <w:sz w:val="15"/>
                <w:szCs w:val="15"/>
                <w:color w:val="auto"/>
              </w:rPr>
            </w:pPr>
          </w:p>
        </w:tc>
        <w:tc>
          <w:tcPr>
            <w:tcW w:w="1440" w:type="dxa"/>
            <w:vAlign w:val="bottom"/>
            <w:gridSpan w:val="3"/>
          </w:tcPr>
          <w:p>
            <w:pPr>
              <w:ind w:left="460"/>
              <w:spacing w:after="0"/>
              <w:rPr>
                <w:sz w:val="20"/>
                <w:szCs w:val="20"/>
                <w:color w:val="auto"/>
              </w:rPr>
            </w:pPr>
            <w:r>
              <w:rPr>
                <w:rFonts w:ascii="Arial" w:cs="Arial" w:eastAsia="Arial" w:hAnsi="Arial"/>
                <w:sz w:val="14"/>
                <w:szCs w:val="14"/>
                <w:b w:val="1"/>
                <w:bCs w:val="1"/>
                <w:color w:val="auto"/>
              </w:rPr>
              <w:t>Capacity</w:t>
            </w:r>
          </w:p>
        </w:tc>
        <w:tc>
          <w:tcPr>
            <w:tcW w:w="260" w:type="dxa"/>
            <w:vAlign w:val="bottom"/>
          </w:tcPr>
          <w:p>
            <w:pPr>
              <w:spacing w:after="0"/>
              <w:rPr>
                <w:sz w:val="15"/>
                <w:szCs w:val="15"/>
                <w:color w:val="auto"/>
              </w:rPr>
            </w:pPr>
          </w:p>
        </w:tc>
        <w:tc>
          <w:tcPr>
            <w:tcW w:w="2200" w:type="dxa"/>
            <w:vAlign w:val="bottom"/>
          </w:tcPr>
          <w:p>
            <w:pPr>
              <w:ind w:left="82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Credit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Three-year revolving credit facility(a)</w:t>
            </w:r>
          </w:p>
        </w:tc>
        <w:tc>
          <w:tcPr>
            <w:tcW w:w="80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650</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June 2005</w:t>
            </w:r>
          </w:p>
        </w:tc>
        <w:tc>
          <w:tcPr>
            <w:tcW w:w="72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Five-year revolving credit facility(a)</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1,750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5"/>
              </w:rPr>
              <w:t>June 2006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Five-year letter of credit and term loan agreement(b)</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June 2008</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Five-year letter of credit facility(b)</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Seven-year letter of credit and term loan agreement(b)</w:t>
            </w: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June 2010</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Ten-year letter of credit and term loan agreement(b)</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5"/>
              </w:rPr>
              <w:t>June 2013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EEEEEE"/>
            </w:tcBorders>
            <w:shd w:val="clear" w:color="auto" w:fill="EEEEEE"/>
          </w:tcPr>
          <w:p>
            <w:pPr>
              <w:spacing w:after="0"/>
              <w:rPr>
                <w:sz w:val="9"/>
                <w:szCs w:val="9"/>
                <w:color w:val="auto"/>
              </w:rPr>
            </w:pPr>
          </w:p>
        </w:tc>
        <w:tc>
          <w:tcPr>
            <w:tcW w:w="24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420" w:type="dxa"/>
            <w:vAlign w:val="bottom"/>
            <w:tcBorders>
              <w:bottom w:val="single" w:sz="8" w:color="808080"/>
              <w:right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220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EEEEEE"/>
            </w:tcBorders>
            <w:shd w:val="clear" w:color="auto" w:fill="EEEEEE"/>
          </w:tcPr>
          <w:p>
            <w:pPr>
              <w:spacing w:after="0"/>
              <w:rPr>
                <w:sz w:val="9"/>
                <w:szCs w:val="9"/>
                <w:color w:val="auto"/>
              </w:rPr>
            </w:pPr>
          </w:p>
        </w:tc>
        <w:tc>
          <w:tcPr>
            <w:tcW w:w="460" w:type="dxa"/>
            <w:vAlign w:val="bottom"/>
            <w:tcBorders>
              <w:bottom w:val="single" w:sz="8" w:color="EEEEEE"/>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48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420" w:type="dxa"/>
            <w:vAlign w:val="bottom"/>
            <w:tcBorders>
              <w:right w:val="single" w:sz="8" w:color="EEEEEE"/>
            </w:tcBorders>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220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46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4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3,045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2,052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2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shd w:val="clear" w:color="auto" w:fill="EEEEEE"/>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560" w:type="dxa"/>
            <w:vAlign w:val="bottom"/>
            <w:shd w:val="clear" w:color="auto" w:fill="EEEEEE"/>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2200" w:type="dxa"/>
            <w:vAlign w:val="bottom"/>
            <w:shd w:val="clear" w:color="auto" w:fill="EEEEEE"/>
          </w:tcPr>
          <w:p>
            <w:pPr>
              <w:spacing w:after="0"/>
              <w:rPr>
                <w:sz w:val="5"/>
                <w:szCs w:val="5"/>
                <w:color w:val="auto"/>
              </w:rPr>
            </w:pPr>
          </w:p>
        </w:tc>
        <w:tc>
          <w:tcPr>
            <w:tcW w:w="260" w:type="dxa"/>
            <w:vAlign w:val="bottom"/>
            <w:shd w:val="clear" w:color="auto" w:fill="EEEEEE"/>
          </w:tcPr>
          <w:p>
            <w:pPr>
              <w:spacing w:after="0"/>
              <w:rPr>
                <w:sz w:val="5"/>
                <w:szCs w:val="5"/>
                <w:color w:val="auto"/>
              </w:rPr>
            </w:pPr>
          </w:p>
        </w:tc>
        <w:tc>
          <w:tcPr>
            <w:tcW w:w="460" w:type="dxa"/>
            <w:vAlign w:val="bottom"/>
            <w:shd w:val="clear" w:color="auto" w:fill="EEEEE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420" w:type="dxa"/>
            <w:vAlign w:val="bottom"/>
            <w:tcBorders>
              <w:right w:val="single" w:sz="8" w:color="EEEEEE"/>
            </w:tcBorders>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22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40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00" w:right="260" w:hanging="462"/>
        <w:spacing w:after="0" w:line="268"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facilities provide us with credit capacity that may be used for either cash borrowings or letters of credit. At June 30, 2004, no borrowings were outstanding under these facilities, and we had unused and available credit capacity of approximately $969 million.</w:t>
      </w:r>
    </w:p>
    <w:p>
      <w:pPr>
        <w:spacing w:after="0" w:line="212" w:lineRule="exact"/>
        <w:rPr>
          <w:rFonts w:ascii="Arial" w:cs="Arial" w:eastAsia="Arial" w:hAnsi="Arial"/>
          <w:sz w:val="18"/>
          <w:szCs w:val="18"/>
          <w:color w:val="auto"/>
        </w:rPr>
      </w:pPr>
    </w:p>
    <w:p>
      <w:pPr>
        <w:ind w:left="700" w:right="40" w:hanging="462"/>
        <w:spacing w:after="0" w:line="259"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facilities have been established to provide us with letter of credit capacity. In the event of an unreimbursed draw on a letter of credit, the reimbursed amount generally converts into a term loan for the remaining term under the respective agreement or facility. Through June 30, 2004 we had not experienced any unreimbursed draws on our letters of credit.</w:t>
      </w:r>
    </w:p>
    <w:p>
      <w:pPr>
        <w:spacing w:after="0" w:line="221"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We have used each of these facilities to support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will continue to serve as a cost efficient source of this form of financial assurance in the future, and we continue to assess our financial assurance requirements to ensure that we have adequate letter of credit and surety bond capacity in advance of our business needs.</w:t>
      </w:r>
    </w:p>
    <w:p>
      <w:pPr>
        <w:spacing w:after="0" w:line="197"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The letters of credit we have issued generally have a one-year term, and therefore, the three-year $650 million syndicated revolving credit facility, which matures in June 2005, is no longer a viable source to support new letters of credit. Therefore, we are currently evaluating our credit capacity needs and considering alternatives for refinancing or extending the maturities of both our three and five-year revolving credit facilities.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During March 2004 we issued $350 million of 5.0% senior notes due March 15, 2014. The net proceeds of the offering were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$346 million after deducting underwriters’ discounts and expenses. We used these proceeds to repay $150 million of 8.0% senior notes due April 30, 2004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of 6.5% senior notes due May 15, 2004. We have $294 million of 7.0% senior notes due October 1, 2004 and $100 million of 7.0% senior notes due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15, 2005. We currently expect to redeem these notes with available cash.</w:t>
      </w:r>
    </w:p>
    <w:p>
      <w:pPr>
        <w:spacing w:after="0" w:line="246"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We actively issue tax-exempt bonds as a means of accessing low-cost financing for capital expenditures. The proceeds from these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arrangements are deposited directly into trust funds and may only be used for the specific purpose for which the money was raised, which is generally the construction of collection and disposal facilities. As we spend monies on the specific projects being financed, we are able to requisition cash from the trust funds. We issued approximately $163 million of tax-exempt bonds during the six months ended June 30, 2004, $35 million of which was issued to refinance higher rate tax-exempt bonds.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2004, approximately $590 million of our tax-exempt bonds are remarketed weekly by a remarketing agent to effectively maintain a variable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yield. If the remarketing agent is unable to remarket the bonds, then the remarketing agent can put the bonds to us. We obtain letters of credit, issued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five-year revolving credit facility, to guarantee repayment of the bonds in this event. During the current quarter, we fixed the interest rates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$379 million of tax-exempt bonds that had previously been remarketed on a weekly basis. With our use of interest rate derivatives, we were able to maintain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existing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level of interest rate risk. Because our variable-rate tax-exempt bonds require letter of credit support, fixing the interest rates of these debt instruments resulted in a decrease in our financial assurance needs.</w:t>
      </w:r>
    </w:p>
    <w:p>
      <w:pPr>
        <w:spacing w:after="0" w:line="213"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i w:val="1"/>
          <w:iCs w:val="1"/>
          <w:color w:val="auto"/>
        </w:rPr>
        <w:t xml:space="preserve">Tax-exempt project bonds </w:t>
      </w:r>
      <w:r>
        <w:rPr>
          <w:rFonts w:ascii="Arial" w:cs="Arial" w:eastAsia="Arial" w:hAnsi="Arial"/>
          <w:sz w:val="16"/>
          <w:szCs w:val="16"/>
          <w:color w:val="auto"/>
        </w:rPr>
        <w:t>— Tax-exempt project bonds are used by our Wheelabrator Group to finance the development of waste-to-energy facilities. The</w:t>
      </w:r>
      <w:r>
        <w:rPr>
          <w:rFonts w:ascii="Arial" w:cs="Arial" w:eastAsia="Arial" w:hAnsi="Arial"/>
          <w:sz w:val="16"/>
          <w:szCs w:val="16"/>
          <w:i w:val="1"/>
          <w:iCs w:val="1"/>
          <w:color w:val="auto"/>
        </w:rPr>
        <w:t xml:space="preserve"> </w:t>
      </w:r>
      <w:r>
        <w:rPr>
          <w:rFonts w:ascii="Arial" w:cs="Arial" w:eastAsia="Arial" w:hAnsi="Arial"/>
          <w:sz w:val="16"/>
          <w:szCs w:val="16"/>
          <w:color w:val="auto"/>
        </w:rPr>
        <w:t>bonds generally require periodic principal installment payments. As of June 30, 2004, approximately $46 million of these bonds are remarketed either daily or weekly by a remarketing agent to effectively maintain a variable yield. If the remarketing agent is unable to remarket the bonds, then the remarketing agent can put the bonds to us. Repayment of these bonds has been guaranteed with letters of credit issued under our five-year revolving credit facility. Approximately $42 million of these bonds will be repaid with available cash within the next twelve months.</w:t>
      </w:r>
    </w:p>
    <w:p>
      <w:pPr>
        <w:spacing w:after="0" w:line="197"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i w:val="1"/>
          <w:iCs w:val="1"/>
          <w:color w:val="auto"/>
        </w:rPr>
        <w:t xml:space="preserve">Convertible subordinated notes </w:t>
      </w:r>
      <w:r>
        <w:rPr>
          <w:rFonts w:ascii="Arial" w:cs="Arial" w:eastAsia="Arial" w:hAnsi="Arial"/>
          <w:sz w:val="16"/>
          <w:szCs w:val="16"/>
          <w:color w:val="auto"/>
        </w:rPr>
        <w:t>— We have approximately $34 million of convertible subordinated notes that mature January 24, 2005. Each $1,000 note is</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into 18.9 shares of our common stock, subject to adjustment upon the occurrence of certain events. Upon any such conversion, we have the option to pay cash equal to the market value of the shares that would otherwise be issuable. We currently expect to redeem these notes with available cash.</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We manage the interest rate risk of our debt portfolio principally by using interest rate derivatives to achieve a desired position of fixed</w:t>
      </w:r>
      <w:r>
        <w:rPr>
          <w:rFonts w:ascii="Arial" w:cs="Arial" w:eastAsia="Arial" w:hAnsi="Arial"/>
          <w:sz w:val="18"/>
          <w:szCs w:val="18"/>
          <w:i w:val="1"/>
          <w:iCs w:val="1"/>
          <w:color w:val="auto"/>
        </w:rPr>
        <w:t xml:space="preserve"> </w:t>
      </w:r>
      <w:r>
        <w:rPr>
          <w:rFonts w:ascii="Arial" w:cs="Arial" w:eastAsia="Arial" w:hAnsi="Arial"/>
          <w:sz w:val="18"/>
          <w:szCs w:val="18"/>
          <w:color w:val="auto"/>
        </w:rPr>
        <w:t>and floating rate debt. As of June 30, 2004, the interest payments on approximately $2.6 billion of our fixed rate debt have been swapped to variable rates, allowing us to maintain approximately 63% of our debt at fixed interest rates and approximately 37% at variable interest rates. Fair value hedge accounting for interest rate swap contracts increased the carrying value of debt instruments by approximately $99 million as of June 30, 2004 and approximately $168 million at December 31, 2003.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flows for the six months ended June 30, 2004 and 2003 (in millions):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jc w:val="right"/>
              <w:ind w:right="20"/>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1,019</w:t>
            </w:r>
          </w:p>
        </w:tc>
        <w:tc>
          <w:tcPr>
            <w:tcW w:w="1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1,073</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(383)</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(512)</w:t>
            </w:r>
          </w:p>
        </w:tc>
        <w:tc>
          <w:tcPr>
            <w:tcW w:w="500" w:type="dxa"/>
            <w:vAlign w:val="bottom"/>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129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(298)</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(97)</w:t>
            </w:r>
          </w:p>
        </w:tc>
        <w:tc>
          <w:tcPr>
            <w:tcW w:w="500" w:type="dxa"/>
            <w:vAlign w:val="bottom"/>
            <w:gridSpan w:val="2"/>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5"/>
              </w:rPr>
              <w:t>(201)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 Although cash flows from operating activities decreased $54 million during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2004 as compared with the prior year period, if the $109 million favorable impact of the termination of interest rate swap agreements before their scheduled maturities in 2003 were excluded, our cash flows generated from operations actually increased by approximately $55 million. In general, our 2004 operating cash flows have been favorably affected by improved profitability. Specifically, our revenue increase of approximately $368 million year-over-year has significantly impacted both net income and our change in trade receivables, two important components of operating cash flow. We experienced a considerable increase in receivables during the six months ended June 30, 2004, which caused a $104 million unfavorable change in cash balances for the period. However, because our days sales outstanding increased only slightly from December 31, 2003, the increase in receivables and corresponding negative effect on cash balances can be attributed almost completely to increased revenues.</w:t>
      </w:r>
    </w:p>
    <w:p>
      <w:pPr>
        <w:spacing w:after="0" w:line="19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$129 million decrease in cash used in investing activities is primarily due to a $74 million decline in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from $172 million in the first six months of 2003 to $98 million in the first six months of 2004. This decline in acquisition spending is not expected to continue into the third and fourth quarters of 2004, and we currently expect total 2004 acquisition spending to be approximately $250 million. However, because of the uncertainty inherent in the cash requirements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timing of acquisition activity, it is possible that total 2004 spending could be anywhere within a range of $200 million to $300 million. Also contributing to the current period decrease was a $67 million increase in net receipts from restricted funds and a $22 million increase in proceeds from divestitures and other sales of assets, partially offset by a $25 million increase in capital expenditures. We expect that total 2004 capital expenditures will be in the range of $1.25 billion to $1.3 billion, which is a level of spending consistent with the $1.2 billion in cash resources used for capital expenditures in 2003.</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 The primary reason for the $201 million increase in net cash used in financing activities is the payment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dividends, which has resulted in $218 million in cash payments during the year. Our Board of Directors approved our quarterly dividend program during the first quarter of 2004. The program was initiated in the first quarter of 2004 when we declared our first quarterly dividend of $0.1875 per share of common stock. On May 17, 2004, we declared our second quarterly dividend, which was paid on June 25, 2004 to stockholders of record as of June 1, 2004. Based on shares outstanding as of June 30, 2004, continued quarterly dividend declarations by our Board of Directors of $0.1875 per common share would result in total annual payments of $436 million in 2004.</w:t>
      </w:r>
    </w:p>
    <w:p>
      <w:pPr>
        <w:spacing w:after="0" w:line="22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paid approximately $108 million for share repurchases during the six months ended June 30, 2004, a $37 million increase from the $71 million we paid during the comparable prior year period. During the second quarter of 2004, we purchased approximately three million shares of our common stock for an average price of $28.89 per common share, or approximately $89 million, and in the first quarter made a cash payment of approximately $24 million to settle repurchases made in December 2003. Approximately $5 million of the share repurchases completed in the second quarter will be settled in cash in July. Pursuant to the repurchase program, management is authorized to repurchase up to $1 billion of common stock this year. However, we currently expect total 2004 share repurchases to be in the range of $400 million to $500 million. Since the inception of the repurchase program in February 2002, we have repurchased approximately 63.4 million shares of our common stock at a net cost of approximately $1.65 billion.</w:t>
      </w:r>
    </w:p>
    <w:p>
      <w:pPr>
        <w:spacing w:after="0" w:line="199"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Net debt repayments during the six months ended June 30, 2004 were approximately $21 million, an increase of $20 million from the corresponding prior year period. The following summary shows our most significant borrowings and debt repayments made during the current year:</w:t>
      </w:r>
    </w:p>
    <w:p>
      <w:pPr>
        <w:spacing w:after="0" w:line="139" w:lineRule="exact"/>
        <w:rPr>
          <w:sz w:val="20"/>
          <w:szCs w:val="20"/>
          <w:color w:val="auto"/>
        </w:rPr>
      </w:pPr>
    </w:p>
    <w:p>
      <w:pPr>
        <w:ind w:left="460" w:hanging="101"/>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proceeds of approximately $346 million from the March 2004 issuance of $350 million of 5.0% senior notes;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repayment of $150 million of 8.0% senior notes that matured in April 2004 and $200 million of 6.5% senior notes that matured in May 2004;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repayments of approximately $2 million of tax-exempt bonds and $17 million of other debt.</w:t>
      </w:r>
    </w:p>
    <w:p>
      <w:pPr>
        <w:spacing w:after="0" w:line="279"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Offsetting these net cash outflows are cash receipts of approximately $120 million for common stock option and warrant exercises, which is a $111 million increase in the cash generated by this activity year-over-year.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are party to (i) lease agreements with unconsolidated variable interest entities and (ii)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8 to the condensed consolidated financial statements. These lease agreements are established in the ordinary course of our business and are designed to provide us with access to facilities at competitive, market-driven prices. Our third-party guarantee arrangements are generally established to support our financial assurance needs and landfill operations. These arrangements have not materially affected our financial position, results of operations or liquidity during the three or six-month periods ended June 30, 2004 nor are they expected to have a material impact on our future financial position, results of operations or liquidity.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where we operate also tend to decrease during the winter months. Our first and fourth quarter results of operations typically reflect these seasonal trends. We also use the slower winter months for scheduled maintenance at our waste-to-energy facilities, so repair and maintenance expense is generally higher in our first quarter than in other quarters during the year. In addition, particularly harsh weather conditions may result in the temporary suspension of certain of our operations.</w:t>
      </w:r>
    </w:p>
    <w:p>
      <w:pPr>
        <w:spacing w:after="0" w:line="22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believe that inflation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200" w:lineRule="exact"/>
        <w:rPr>
          <w:sz w:val="20"/>
          <w:szCs w:val="20"/>
          <w:color w:val="auto"/>
        </w:rPr>
      </w:pP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jc w:val="both"/>
        <w:ind w:right="60" w:firstLine="324"/>
        <w:spacing w:after="0" w:line="291" w:lineRule="auto"/>
        <w:rPr>
          <w:sz w:val="20"/>
          <w:szCs w:val="20"/>
          <w:color w:val="auto"/>
        </w:rPr>
      </w:pPr>
      <w:r>
        <w:rPr>
          <w:rFonts w:ascii="Arial" w:cs="Arial" w:eastAsia="Arial" w:hAnsi="Arial"/>
          <w:sz w:val="16"/>
          <w:szCs w:val="16"/>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maintain a system of internal controls over financial reporting. In the second quarter of 2004, we completed the consolidation of the credit and collection function of our four geographic operating Groups within the United States. We do not believe this change has caused any significant deficiencies or material weaknesses in our internal controls over financial reporting.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320" w:type="dxa"/>
            <w:vAlign w:val="bottom"/>
            <w:gridSpan w:val="13"/>
          </w:tcPr>
          <w:p>
            <w:pPr>
              <w:ind w:left="260"/>
              <w:spacing w:after="0"/>
              <w:rPr>
                <w:sz w:val="20"/>
                <w:szCs w:val="20"/>
                <w:color w:val="auto"/>
              </w:rPr>
            </w:pPr>
            <w:r>
              <w:rPr>
                <w:rFonts w:ascii="Arial" w:cs="Arial" w:eastAsia="Arial" w:hAnsi="Arial"/>
                <w:sz w:val="18"/>
                <w:szCs w:val="18"/>
                <w:b w:val="1"/>
                <w:bCs w:val="1"/>
                <w:i w:val="1"/>
                <w:iCs w:val="1"/>
                <w:color w:val="auto"/>
                <w:w w:val="99"/>
              </w:rPr>
              <w:t>Changes in Securities, Use of Proceeds and Issuer Purchases of Equity Securities.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60" w:type="dxa"/>
            <w:vAlign w:val="bottom"/>
            <w:gridSpan w:val="7"/>
          </w:tcPr>
          <w:p>
            <w:pPr>
              <w:ind w:left="400"/>
              <w:spacing w:after="0"/>
              <w:rPr>
                <w:sz w:val="20"/>
                <w:szCs w:val="20"/>
                <w:color w:val="auto"/>
              </w:rPr>
            </w:pPr>
            <w:r>
              <w:rPr>
                <w:rFonts w:ascii="Arial" w:cs="Arial" w:eastAsia="Arial" w:hAnsi="Arial"/>
                <w:sz w:val="18"/>
                <w:szCs w:val="18"/>
                <w:b w:val="1"/>
                <w:bCs w:val="1"/>
                <w:color w:val="auto"/>
              </w:rPr>
              <w:t>Issuer Purchases of Equity Securities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Total Number of Shares</w:t>
            </w:r>
          </w:p>
        </w:tc>
        <w:tc>
          <w:tcPr>
            <w:tcW w:w="240" w:type="dxa"/>
            <w:vAlign w:val="bottom"/>
          </w:tcPr>
          <w:p>
            <w:pPr>
              <w:spacing w:after="0"/>
              <w:rPr>
                <w:sz w:val="24"/>
                <w:szCs w:val="24"/>
                <w:color w:val="auto"/>
              </w:rPr>
            </w:pPr>
          </w:p>
        </w:tc>
        <w:tc>
          <w:tcPr>
            <w:tcW w:w="3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Approximate 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26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2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240" w:type="dxa"/>
            <w:vAlign w:val="bottom"/>
          </w:tcPr>
          <w:p>
            <w:pPr>
              <w:spacing w:after="0"/>
              <w:rPr>
                <w:sz w:val="12"/>
                <w:szCs w:val="12"/>
                <w:color w:val="auto"/>
              </w:rPr>
            </w:pPr>
          </w:p>
        </w:tc>
        <w:tc>
          <w:tcPr>
            <w:tcW w:w="3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Value of 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of Shares</w:t>
            </w:r>
          </w:p>
        </w:tc>
        <w:tc>
          <w:tcPr>
            <w:tcW w:w="26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260" w:type="dxa"/>
            <w:vAlign w:val="bottom"/>
          </w:tcPr>
          <w:p>
            <w:pPr>
              <w:spacing w:after="0"/>
              <w:rPr>
                <w:sz w:val="12"/>
                <w:szCs w:val="12"/>
                <w:color w:val="auto"/>
              </w:rPr>
            </w:pPr>
          </w:p>
        </w:tc>
        <w:tc>
          <w:tcPr>
            <w:tcW w:w="2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240" w:type="dxa"/>
            <w:vAlign w:val="bottom"/>
          </w:tcPr>
          <w:p>
            <w:pPr>
              <w:spacing w:after="0"/>
              <w:rPr>
                <w:sz w:val="12"/>
                <w:szCs w:val="12"/>
                <w:color w:val="auto"/>
              </w:rPr>
            </w:pPr>
          </w:p>
        </w:tc>
        <w:tc>
          <w:tcPr>
            <w:tcW w:w="3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be Purchased Under the Plans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Arial" w:cs="Arial" w:eastAsia="Arial" w:hAnsi="Arial"/>
                <w:sz w:val="14"/>
                <w:szCs w:val="14"/>
                <w:color w:val="auto"/>
              </w:rPr>
              <w:t>Period</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Purchased</w:t>
            </w:r>
          </w:p>
        </w:tc>
        <w:tc>
          <w:tcPr>
            <w:tcW w:w="26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per Share(a)</w:t>
            </w:r>
          </w:p>
        </w:tc>
        <w:tc>
          <w:tcPr>
            <w:tcW w:w="260" w:type="dxa"/>
            <w:vAlign w:val="bottom"/>
          </w:tcPr>
          <w:p>
            <w:pPr>
              <w:spacing w:after="0"/>
              <w:rPr>
                <w:sz w:val="15"/>
                <w:szCs w:val="15"/>
                <w:color w:val="auto"/>
              </w:rPr>
            </w:pP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Plans or Programs(b)</w:t>
            </w:r>
          </w:p>
        </w:tc>
        <w:tc>
          <w:tcPr>
            <w:tcW w:w="240" w:type="dxa"/>
            <w:vAlign w:val="bottom"/>
          </w:tcPr>
          <w:p>
            <w:pPr>
              <w:spacing w:after="0"/>
              <w:rPr>
                <w:sz w:val="15"/>
                <w:szCs w:val="15"/>
                <w:color w:val="auto"/>
              </w:rPr>
            </w:pPr>
          </w:p>
        </w:tc>
        <w:tc>
          <w:tcPr>
            <w:tcW w:w="3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or Programs(c)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April 1st — 30th</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8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1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May 1st — 31st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1,647,500</w:t>
            </w:r>
          </w:p>
        </w:tc>
        <w:tc>
          <w:tcPr>
            <w:tcW w:w="3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$28.44</w:t>
            </w:r>
          </w:p>
        </w:tc>
        <w:tc>
          <w:tcPr>
            <w:tcW w:w="38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1,647,500</w:t>
            </w:r>
          </w:p>
        </w:tc>
        <w:tc>
          <w:tcPr>
            <w:tcW w:w="8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center"/>
              <w:ind w:right="1160"/>
              <w:spacing w:after="0"/>
              <w:rPr>
                <w:sz w:val="20"/>
                <w:szCs w:val="20"/>
                <w:color w:val="auto"/>
              </w:rPr>
            </w:pPr>
            <w:r>
              <w:rPr>
                <w:rFonts w:ascii="Arial" w:cs="Arial" w:eastAsia="Arial" w:hAnsi="Arial"/>
                <w:sz w:val="18"/>
                <w:szCs w:val="18"/>
                <w:color w:val="auto"/>
                <w:w w:val="95"/>
              </w:rPr>
              <w:t>953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June 1st — 30th</w:t>
            </w: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1,439,800</w:t>
            </w:r>
          </w:p>
        </w:tc>
        <w:tc>
          <w:tcPr>
            <w:tcW w:w="38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$29.40</w:t>
            </w:r>
          </w:p>
        </w:tc>
        <w:tc>
          <w:tcPr>
            <w:tcW w:w="380" w:type="dxa"/>
            <w:vAlign w:val="bottom"/>
            <w:shd w:val="clear" w:color="auto" w:fill="EEEEEE"/>
          </w:tcPr>
          <w:p>
            <w:pPr>
              <w:spacing w:after="0"/>
              <w:rPr>
                <w:sz w:val="18"/>
                <w:szCs w:val="18"/>
                <w:color w:val="auto"/>
              </w:rPr>
            </w:pPr>
          </w:p>
        </w:tc>
        <w:tc>
          <w:tcPr>
            <w:tcW w:w="1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1,439,800</w:t>
            </w:r>
          </w:p>
        </w:tc>
        <w:tc>
          <w:tcPr>
            <w:tcW w:w="8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EEEEEE"/>
          </w:tcPr>
          <w:p>
            <w:pPr>
              <w:jc w:val="center"/>
              <w:ind w:right="1160"/>
              <w:spacing w:after="0"/>
              <w:rPr>
                <w:sz w:val="20"/>
                <w:szCs w:val="20"/>
                <w:color w:val="auto"/>
              </w:rPr>
            </w:pPr>
            <w:r>
              <w:rPr>
                <w:rFonts w:ascii="Arial" w:cs="Arial" w:eastAsia="Arial" w:hAnsi="Arial"/>
                <w:sz w:val="18"/>
                <w:szCs w:val="18"/>
                <w:color w:val="auto"/>
                <w:w w:val="95"/>
              </w:rPr>
              <w:t>911 million</w:t>
            </w:r>
          </w:p>
        </w:tc>
        <w:tc>
          <w:tcPr>
            <w:tcW w:w="0" w:type="dxa"/>
            <w:vAlign w:val="bottom"/>
          </w:tcPr>
          <w:p>
            <w:pPr>
              <w:spacing w:after="0"/>
              <w:rPr>
                <w:sz w:val="1"/>
                <w:szCs w:val="1"/>
                <w:color w:val="auto"/>
              </w:rPr>
            </w:pPr>
          </w:p>
        </w:tc>
      </w:tr>
      <w:tr>
        <w:trPr>
          <w:trHeight w:val="108"/>
        </w:trPr>
        <w:tc>
          <w:tcPr>
            <w:tcW w:w="66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3,087,300</w:t>
            </w:r>
          </w:p>
        </w:tc>
        <w:tc>
          <w:tcPr>
            <w:tcW w:w="3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$28.89</w:t>
            </w:r>
          </w:p>
        </w:tc>
        <w:tc>
          <w:tcPr>
            <w:tcW w:w="38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3,087,300</w:t>
            </w:r>
          </w:p>
        </w:tc>
        <w:tc>
          <w:tcPr>
            <w:tcW w:w="8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center"/>
              <w:ind w:right="1160"/>
              <w:spacing w:after="0"/>
              <w:rPr>
                <w:sz w:val="20"/>
                <w:szCs w:val="20"/>
                <w:color w:val="auto"/>
              </w:rPr>
            </w:pPr>
            <w:r>
              <w:rPr>
                <w:rFonts w:ascii="Arial" w:cs="Arial" w:eastAsia="Arial" w:hAnsi="Arial"/>
                <w:sz w:val="18"/>
                <w:szCs w:val="18"/>
                <w:color w:val="auto"/>
                <w:w w:val="95"/>
              </w:rPr>
              <w:t>911 million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160" w:hanging="571"/>
        <w:spacing w:after="0"/>
        <w:tabs>
          <w:tab w:leader="none" w:pos="11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This amount represents the weighted average price paid per common share. This price includes a per share commission paid for all repurchases.</w:t>
      </w:r>
    </w:p>
    <w:p>
      <w:pPr>
        <w:spacing w:after="0" w:line="313" w:lineRule="exact"/>
        <w:rPr>
          <w:rFonts w:ascii="Arial" w:cs="Arial" w:eastAsia="Arial" w:hAnsi="Arial"/>
          <w:sz w:val="15"/>
          <w:szCs w:val="15"/>
          <w:color w:val="auto"/>
        </w:rPr>
      </w:pPr>
    </w:p>
    <w:p>
      <w:pPr>
        <w:ind w:left="1160" w:right="60" w:hanging="571"/>
        <w:spacing w:after="0" w:line="370" w:lineRule="auto"/>
        <w:tabs>
          <w:tab w:leader="none" w:pos="11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February 2002, we announced that our Board of Directors had approved a stock repurchase program pursuant to which up to $1 billion of shares of our common stock could be purchased each year through 2004. All of our equity repurchases have been made pursuant to that program.</w:t>
      </w:r>
    </w:p>
    <w:p>
      <w:pPr>
        <w:spacing w:after="0" w:line="143" w:lineRule="exact"/>
        <w:rPr>
          <w:rFonts w:ascii="Arial" w:cs="Arial" w:eastAsia="Arial" w:hAnsi="Arial"/>
          <w:sz w:val="15"/>
          <w:szCs w:val="15"/>
          <w:color w:val="auto"/>
        </w:rPr>
      </w:pPr>
    </w:p>
    <w:p>
      <w:pPr>
        <w:ind w:left="1160" w:right="20" w:hanging="571"/>
        <w:spacing w:after="0" w:line="259"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disclosure of the maximum approximate dollar value of shares yet to be purchased under the program shown in the table above is required by the SEC. These amounts are not necessarily an indication of the amount we intend to repurchase in the remainder of the year and the program; they are merely the amounts we are authorized to repurchase pursuant to the program.</w:t>
      </w:r>
    </w:p>
    <w:p>
      <w:pPr>
        <w:spacing w:after="0" w:line="200" w:lineRule="exact"/>
        <w:rPr>
          <w:sz w:val="20"/>
          <w:szCs w:val="20"/>
          <w:color w:val="auto"/>
        </w:rPr>
      </w:pP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held our 2004 Annual Meeting of Stockholders on May 14, 2004. At the meeting, the following items were submitted to a vote of our stockholders:</w:t>
      </w:r>
    </w:p>
    <w:p>
      <w:pPr>
        <w:spacing w:after="0" w:line="248" w:lineRule="exact"/>
        <w:rPr>
          <w:sz w:val="20"/>
          <w:szCs w:val="20"/>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election of nine director nominees;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ratification of the appointment by our Board of Directors of Ernst &amp; Young, LLP as our independent auditors;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approval of our 2004 Stock Incentive Plan;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approval of our 2005 Annual Incentive Plan.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voting on these items was as follows: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Election of directors: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ind w:left="2080"/>
              <w:spacing w:after="0"/>
              <w:rPr>
                <w:sz w:val="20"/>
                <w:szCs w:val="20"/>
                <w:color w:val="auto"/>
              </w:rPr>
            </w:pPr>
            <w:r>
              <w:rPr>
                <w:rFonts w:ascii="Arial" w:cs="Arial" w:eastAsia="Arial" w:hAnsi="Arial"/>
                <w:sz w:val="14"/>
                <w:szCs w:val="14"/>
                <w:color w:val="auto"/>
              </w:rPr>
              <w:t>Director</w:t>
            </w:r>
          </w:p>
        </w:tc>
        <w:tc>
          <w:tcPr>
            <w:tcW w:w="2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7"/>
              </w:rPr>
              <w:t>Shares For</w:t>
            </w:r>
          </w:p>
        </w:tc>
        <w:tc>
          <w:tcPr>
            <w:tcW w:w="22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7"/>
              </w:rPr>
              <w:t>Shares Withheld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Pastora San Juan Cafferty</w:t>
            </w:r>
          </w:p>
        </w:tc>
        <w:tc>
          <w:tcPr>
            <w:tcW w:w="200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7"/>
              </w:rPr>
              <w:t>469,954,541</w:t>
            </w:r>
          </w:p>
        </w:tc>
        <w:tc>
          <w:tcPr>
            <w:tcW w:w="2500" w:type="dxa"/>
            <w:vAlign w:val="bottom"/>
            <w:gridSpan w:val="2"/>
            <w:shd w:val="clear" w:color="auto" w:fill="EEEEEE"/>
          </w:tcPr>
          <w:p>
            <w:pPr>
              <w:jc w:val="center"/>
              <w:ind w:left="132"/>
              <w:spacing w:after="0"/>
              <w:rPr>
                <w:sz w:val="20"/>
                <w:szCs w:val="20"/>
                <w:color w:val="auto"/>
              </w:rPr>
            </w:pPr>
            <w:r>
              <w:rPr>
                <w:rFonts w:ascii="Arial" w:cs="Arial" w:eastAsia="Arial" w:hAnsi="Arial"/>
                <w:sz w:val="18"/>
                <w:szCs w:val="18"/>
                <w:color w:val="auto"/>
                <w:w w:val="88"/>
              </w:rPr>
              <w:t>47,288,432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Frank M. Clark, Jr.</w:t>
            </w:r>
          </w:p>
        </w:tc>
        <w:tc>
          <w:tcPr>
            <w:tcW w:w="200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470,006,070</w:t>
            </w:r>
          </w:p>
        </w:tc>
        <w:tc>
          <w:tcPr>
            <w:tcW w:w="25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47,236,903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Robert S. Miller</w:t>
            </w:r>
          </w:p>
        </w:tc>
        <w:tc>
          <w:tcPr>
            <w:tcW w:w="200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7"/>
              </w:rPr>
              <w:t>500,782,727</w:t>
            </w:r>
          </w:p>
        </w:tc>
        <w:tc>
          <w:tcPr>
            <w:tcW w:w="2500" w:type="dxa"/>
            <w:vAlign w:val="bottom"/>
            <w:gridSpan w:val="2"/>
            <w:shd w:val="clear" w:color="auto" w:fill="EEEEEE"/>
          </w:tcPr>
          <w:p>
            <w:pPr>
              <w:jc w:val="center"/>
              <w:ind w:left="132"/>
              <w:spacing w:after="0"/>
              <w:rPr>
                <w:sz w:val="20"/>
                <w:szCs w:val="20"/>
                <w:color w:val="auto"/>
              </w:rPr>
            </w:pPr>
            <w:r>
              <w:rPr>
                <w:rFonts w:ascii="Arial" w:cs="Arial" w:eastAsia="Arial" w:hAnsi="Arial"/>
                <w:sz w:val="18"/>
                <w:szCs w:val="18"/>
                <w:color w:val="auto"/>
                <w:w w:val="88"/>
              </w:rPr>
              <w:t>16,460,246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 Maurice Myers</w:t>
            </w:r>
          </w:p>
        </w:tc>
        <w:tc>
          <w:tcPr>
            <w:tcW w:w="200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498,482,452</w:t>
            </w:r>
          </w:p>
        </w:tc>
        <w:tc>
          <w:tcPr>
            <w:tcW w:w="25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18,760,521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John C. Pope</w:t>
            </w:r>
          </w:p>
        </w:tc>
        <w:tc>
          <w:tcPr>
            <w:tcW w:w="200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7"/>
              </w:rPr>
              <w:t>488,471,587</w:t>
            </w:r>
          </w:p>
        </w:tc>
        <w:tc>
          <w:tcPr>
            <w:tcW w:w="2500" w:type="dxa"/>
            <w:vAlign w:val="bottom"/>
            <w:gridSpan w:val="2"/>
            <w:shd w:val="clear" w:color="auto" w:fill="EEEEEE"/>
          </w:tcPr>
          <w:p>
            <w:pPr>
              <w:jc w:val="center"/>
              <w:ind w:left="132"/>
              <w:spacing w:after="0"/>
              <w:rPr>
                <w:sz w:val="20"/>
                <w:szCs w:val="20"/>
                <w:color w:val="auto"/>
              </w:rPr>
            </w:pPr>
            <w:r>
              <w:rPr>
                <w:rFonts w:ascii="Arial" w:cs="Arial" w:eastAsia="Arial" w:hAnsi="Arial"/>
                <w:sz w:val="18"/>
                <w:szCs w:val="18"/>
                <w:color w:val="auto"/>
                <w:w w:val="88"/>
              </w:rPr>
              <w:t>28,771,386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 Robert Reum</w:t>
            </w:r>
          </w:p>
        </w:tc>
        <w:tc>
          <w:tcPr>
            <w:tcW w:w="200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473,324,428</w:t>
            </w:r>
          </w:p>
        </w:tc>
        <w:tc>
          <w:tcPr>
            <w:tcW w:w="25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43,918,545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Steven G. Rothmeier</w:t>
            </w:r>
          </w:p>
        </w:tc>
        <w:tc>
          <w:tcPr>
            <w:tcW w:w="200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7"/>
              </w:rPr>
              <w:t>469,983,264</w:t>
            </w:r>
          </w:p>
        </w:tc>
        <w:tc>
          <w:tcPr>
            <w:tcW w:w="2500" w:type="dxa"/>
            <w:vAlign w:val="bottom"/>
            <w:gridSpan w:val="2"/>
            <w:shd w:val="clear" w:color="auto" w:fill="EEEEEE"/>
          </w:tcPr>
          <w:p>
            <w:pPr>
              <w:jc w:val="center"/>
              <w:ind w:left="132"/>
              <w:spacing w:after="0"/>
              <w:rPr>
                <w:sz w:val="20"/>
                <w:szCs w:val="20"/>
                <w:color w:val="auto"/>
              </w:rPr>
            </w:pPr>
            <w:r>
              <w:rPr>
                <w:rFonts w:ascii="Arial" w:cs="Arial" w:eastAsia="Arial" w:hAnsi="Arial"/>
                <w:sz w:val="18"/>
                <w:szCs w:val="18"/>
                <w:color w:val="auto"/>
                <w:w w:val="88"/>
              </w:rPr>
              <w:t>47,259,709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David P. Steiner</w:t>
            </w:r>
          </w:p>
        </w:tc>
        <w:tc>
          <w:tcPr>
            <w:tcW w:w="200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501,382,573</w:t>
            </w:r>
          </w:p>
        </w:tc>
        <w:tc>
          <w:tcPr>
            <w:tcW w:w="25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15,860,400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Carl W. Vogt</w:t>
            </w:r>
          </w:p>
        </w:tc>
        <w:tc>
          <w:tcPr>
            <w:tcW w:w="200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7"/>
              </w:rPr>
              <w:t>485,339,216</w:t>
            </w:r>
          </w:p>
        </w:tc>
        <w:tc>
          <w:tcPr>
            <w:tcW w:w="2500" w:type="dxa"/>
            <w:vAlign w:val="bottom"/>
            <w:gridSpan w:val="2"/>
            <w:shd w:val="clear" w:color="auto" w:fill="EEEEEE"/>
          </w:tcPr>
          <w:p>
            <w:pPr>
              <w:jc w:val="center"/>
              <w:ind w:left="132"/>
              <w:spacing w:after="0"/>
              <w:rPr>
                <w:sz w:val="20"/>
                <w:szCs w:val="20"/>
                <w:color w:val="auto"/>
              </w:rPr>
            </w:pPr>
            <w:r>
              <w:rPr>
                <w:rFonts w:ascii="Arial" w:cs="Arial" w:eastAsia="Arial" w:hAnsi="Arial"/>
                <w:sz w:val="18"/>
                <w:szCs w:val="18"/>
                <w:color w:val="auto"/>
                <w:w w:val="88"/>
              </w:rPr>
              <w:t>31,903,757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886"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86"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Ratification of the appointment of Ernst &amp; Young LLP:</w:t>
      </w:r>
    </w:p>
    <w:p>
      <w:pPr>
        <w:spacing w:after="0" w:line="200" w:lineRule="exact"/>
        <w:rPr>
          <w:sz w:val="20"/>
          <w:szCs w:val="20"/>
          <w:color w:val="auto"/>
        </w:rPr>
      </w:pP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jc w:val="right"/>
              <w:ind w:right="172"/>
              <w:spacing w:after="0"/>
              <w:rPr>
                <w:sz w:val="20"/>
                <w:szCs w:val="20"/>
                <w:color w:val="auto"/>
              </w:rPr>
            </w:pPr>
            <w:r>
              <w:rPr>
                <w:rFonts w:ascii="Arial" w:cs="Arial" w:eastAsia="Arial" w:hAnsi="Arial"/>
                <w:sz w:val="14"/>
                <w:szCs w:val="14"/>
                <w:color w:val="auto"/>
              </w:rPr>
              <w:t>Shares For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Shares Against</w:t>
            </w:r>
          </w:p>
        </w:tc>
        <w:tc>
          <w:tcPr>
            <w:tcW w:w="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7"/>
              </w:rPr>
              <w:t>Shares Withheld</w:t>
            </w:r>
          </w:p>
        </w:tc>
      </w:tr>
      <w:tr>
        <w:trPr>
          <w:trHeight w:val="95"/>
        </w:trPr>
        <w:tc>
          <w:tcPr>
            <w:tcW w:w="1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r>
      <w:tr>
        <w:trPr>
          <w:trHeight w:val="316"/>
        </w:trPr>
        <w:tc>
          <w:tcPr>
            <w:tcW w:w="1500" w:type="dxa"/>
            <w:vAlign w:val="bottom"/>
          </w:tcPr>
          <w:p>
            <w:pPr>
              <w:spacing w:after="0"/>
              <w:rPr>
                <w:sz w:val="24"/>
                <w:szCs w:val="24"/>
                <w:color w:val="auto"/>
              </w:rPr>
            </w:pPr>
          </w:p>
        </w:tc>
        <w:tc>
          <w:tcPr>
            <w:tcW w:w="2540" w:type="dxa"/>
            <w:vAlign w:val="bottom"/>
            <w:gridSpan w:val="2"/>
          </w:tcPr>
          <w:p>
            <w:pPr>
              <w:jc w:val="right"/>
              <w:ind w:right="112"/>
              <w:spacing w:after="0"/>
              <w:rPr>
                <w:sz w:val="20"/>
                <w:szCs w:val="20"/>
                <w:color w:val="auto"/>
              </w:rPr>
            </w:pPr>
            <w:r>
              <w:rPr>
                <w:rFonts w:ascii="Arial" w:cs="Arial" w:eastAsia="Arial" w:hAnsi="Arial"/>
                <w:sz w:val="18"/>
                <w:szCs w:val="18"/>
                <w:color w:val="auto"/>
              </w:rPr>
              <w:t>503,667,805</w:t>
            </w:r>
          </w:p>
        </w:tc>
        <w:tc>
          <w:tcPr>
            <w:tcW w:w="1600" w:type="dxa"/>
            <w:vAlign w:val="bottom"/>
            <w:gridSpan w:val="5"/>
          </w:tcPr>
          <w:p>
            <w:pPr>
              <w:jc w:val="right"/>
              <w:ind w:right="292"/>
              <w:spacing w:after="0"/>
              <w:rPr>
                <w:sz w:val="20"/>
                <w:szCs w:val="20"/>
                <w:color w:val="auto"/>
              </w:rPr>
            </w:pPr>
            <w:r>
              <w:rPr>
                <w:rFonts w:ascii="Arial" w:cs="Arial" w:eastAsia="Arial" w:hAnsi="Arial"/>
                <w:sz w:val="18"/>
                <w:szCs w:val="18"/>
                <w:color w:val="auto"/>
              </w:rPr>
              <w:t>4,767,020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8,808,148</w:t>
            </w:r>
          </w:p>
        </w:tc>
      </w:tr>
      <w:tr>
        <w:trPr>
          <w:trHeight w:val="432"/>
        </w:trPr>
        <w:tc>
          <w:tcPr>
            <w:tcW w:w="1500" w:type="dxa"/>
            <w:vAlign w:val="bottom"/>
          </w:tcPr>
          <w:p>
            <w:pPr>
              <w:spacing w:after="0"/>
              <w:rPr>
                <w:sz w:val="20"/>
                <w:szCs w:val="20"/>
                <w:color w:val="auto"/>
              </w:rPr>
            </w:pPr>
            <w:r>
              <w:rPr>
                <w:rFonts w:ascii="Arial" w:cs="Arial" w:eastAsia="Arial" w:hAnsi="Arial"/>
                <w:sz w:val="18"/>
                <w:szCs w:val="18"/>
                <w:i w:val="1"/>
                <w:iCs w:val="1"/>
                <w:color w:val="auto"/>
                <w:w w:val="89"/>
              </w:rPr>
              <w:t>Approval of the 2004</w:t>
            </w:r>
          </w:p>
        </w:tc>
        <w:tc>
          <w:tcPr>
            <w:tcW w:w="2540" w:type="dxa"/>
            <w:vAlign w:val="bottom"/>
            <w:gridSpan w:val="2"/>
          </w:tcPr>
          <w:p>
            <w:pPr>
              <w:ind w:left="40"/>
              <w:spacing w:after="0"/>
              <w:rPr>
                <w:sz w:val="20"/>
                <w:szCs w:val="20"/>
                <w:color w:val="auto"/>
              </w:rPr>
            </w:pPr>
            <w:r>
              <w:rPr>
                <w:rFonts w:ascii="Arial" w:cs="Arial" w:eastAsia="Arial" w:hAnsi="Arial"/>
                <w:sz w:val="18"/>
                <w:szCs w:val="18"/>
                <w:i w:val="1"/>
                <w:iCs w:val="1"/>
                <w:color w:val="auto"/>
              </w:rPr>
              <w:t>Stock Incentive Plan: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96"/>
        </w:trPr>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Shares For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Against</w:t>
            </w:r>
          </w:p>
        </w:tc>
        <w:tc>
          <w:tcPr>
            <w:tcW w:w="80" w:type="dxa"/>
            <w:vAlign w:val="bottom"/>
          </w:tcPr>
          <w:p>
            <w:pPr>
              <w:spacing w:after="0"/>
              <w:rPr>
                <w:sz w:val="24"/>
                <w:szCs w:val="24"/>
                <w:color w:val="auto"/>
              </w:rPr>
            </w:pPr>
          </w:p>
        </w:tc>
        <w:tc>
          <w:tcPr>
            <w:tcW w:w="172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Shares Withheld</w:t>
            </w:r>
          </w:p>
        </w:tc>
      </w:tr>
      <w:tr>
        <w:trPr>
          <w:trHeight w:val="95"/>
        </w:trPr>
        <w:tc>
          <w:tcPr>
            <w:tcW w:w="1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gridSpan w:val="2"/>
          </w:tcPr>
          <w:p>
            <w:pPr>
              <w:spacing w:after="0"/>
              <w:rPr>
                <w:sz w:val="8"/>
                <w:szCs w:val="8"/>
                <w:color w:val="auto"/>
              </w:rPr>
            </w:pPr>
          </w:p>
        </w:tc>
      </w:tr>
      <w:tr>
        <w:trPr>
          <w:trHeight w:val="316"/>
        </w:trPr>
        <w:tc>
          <w:tcPr>
            <w:tcW w:w="1500" w:type="dxa"/>
            <w:vAlign w:val="bottom"/>
          </w:tcPr>
          <w:p>
            <w:pPr>
              <w:spacing w:after="0"/>
              <w:rPr>
                <w:sz w:val="24"/>
                <w:szCs w:val="24"/>
                <w:color w:val="auto"/>
              </w:rPr>
            </w:pPr>
          </w:p>
        </w:tc>
        <w:tc>
          <w:tcPr>
            <w:tcW w:w="2540" w:type="dxa"/>
            <w:vAlign w:val="bottom"/>
            <w:gridSpan w:val="2"/>
          </w:tcPr>
          <w:p>
            <w:pPr>
              <w:jc w:val="right"/>
              <w:ind w:right="112"/>
              <w:spacing w:after="0"/>
              <w:rPr>
                <w:sz w:val="20"/>
                <w:szCs w:val="20"/>
                <w:color w:val="auto"/>
              </w:rPr>
            </w:pPr>
            <w:r>
              <w:rPr>
                <w:rFonts w:ascii="Arial" w:cs="Arial" w:eastAsia="Arial" w:hAnsi="Arial"/>
                <w:sz w:val="18"/>
                <w:szCs w:val="18"/>
                <w:color w:val="auto"/>
              </w:rPr>
              <w:t>355,413,320</w:t>
            </w:r>
          </w:p>
        </w:tc>
        <w:tc>
          <w:tcPr>
            <w:tcW w:w="1600" w:type="dxa"/>
            <w:vAlign w:val="bottom"/>
            <w:gridSpan w:val="5"/>
          </w:tcPr>
          <w:p>
            <w:pPr>
              <w:jc w:val="center"/>
              <w:ind w:left="12"/>
              <w:spacing w:after="0"/>
              <w:rPr>
                <w:sz w:val="20"/>
                <w:szCs w:val="20"/>
                <w:color w:val="auto"/>
              </w:rPr>
            </w:pPr>
            <w:r>
              <w:rPr>
                <w:rFonts w:ascii="Arial" w:cs="Arial" w:eastAsia="Arial" w:hAnsi="Arial"/>
                <w:sz w:val="18"/>
                <w:szCs w:val="18"/>
                <w:color w:val="auto"/>
                <w:w w:val="85"/>
              </w:rPr>
              <w:t>101,430,550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87"/>
              </w:rPr>
              <w:t>9,777,104</w:t>
            </w:r>
          </w:p>
        </w:tc>
      </w:tr>
      <w:tr>
        <w:trPr>
          <w:trHeight w:val="432"/>
        </w:trPr>
        <w:tc>
          <w:tcPr>
            <w:tcW w:w="1500" w:type="dxa"/>
            <w:vAlign w:val="bottom"/>
          </w:tcPr>
          <w:p>
            <w:pPr>
              <w:spacing w:after="0"/>
              <w:rPr>
                <w:sz w:val="20"/>
                <w:szCs w:val="20"/>
                <w:color w:val="auto"/>
              </w:rPr>
            </w:pPr>
            <w:r>
              <w:rPr>
                <w:rFonts w:ascii="Arial" w:cs="Arial" w:eastAsia="Arial" w:hAnsi="Arial"/>
                <w:sz w:val="18"/>
                <w:szCs w:val="18"/>
                <w:i w:val="1"/>
                <w:iCs w:val="1"/>
                <w:color w:val="auto"/>
                <w:w w:val="89"/>
              </w:rPr>
              <w:t>Approval of the 2005</w:t>
            </w:r>
          </w:p>
        </w:tc>
        <w:tc>
          <w:tcPr>
            <w:tcW w:w="2540" w:type="dxa"/>
            <w:vAlign w:val="bottom"/>
            <w:gridSpan w:val="2"/>
          </w:tcPr>
          <w:p>
            <w:pPr>
              <w:ind w:left="40"/>
              <w:spacing w:after="0"/>
              <w:rPr>
                <w:sz w:val="20"/>
                <w:szCs w:val="20"/>
                <w:color w:val="auto"/>
              </w:rPr>
            </w:pPr>
            <w:r>
              <w:rPr>
                <w:rFonts w:ascii="Arial" w:cs="Arial" w:eastAsia="Arial" w:hAnsi="Arial"/>
                <w:sz w:val="18"/>
                <w:szCs w:val="18"/>
                <w:i w:val="1"/>
                <w:iCs w:val="1"/>
                <w:color w:val="auto"/>
              </w:rPr>
              <w:t>Annual Incentive Plan: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96"/>
        </w:trPr>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Shares For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Against</w:t>
            </w:r>
          </w:p>
        </w:tc>
        <w:tc>
          <w:tcPr>
            <w:tcW w:w="80" w:type="dxa"/>
            <w:vAlign w:val="bottom"/>
          </w:tcPr>
          <w:p>
            <w:pPr>
              <w:spacing w:after="0"/>
              <w:rPr>
                <w:sz w:val="24"/>
                <w:szCs w:val="24"/>
                <w:color w:val="auto"/>
              </w:rPr>
            </w:pPr>
          </w:p>
        </w:tc>
        <w:tc>
          <w:tcPr>
            <w:tcW w:w="172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Shares Withheld</w:t>
            </w:r>
          </w:p>
        </w:tc>
      </w:tr>
      <w:tr>
        <w:trPr>
          <w:trHeight w:val="95"/>
        </w:trPr>
        <w:tc>
          <w:tcPr>
            <w:tcW w:w="1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gridSpan w:val="3"/>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gridSpan w:val="2"/>
          </w:tcPr>
          <w:p>
            <w:pPr>
              <w:spacing w:after="0"/>
              <w:rPr>
                <w:sz w:val="8"/>
                <w:szCs w:val="8"/>
                <w:color w:val="auto"/>
              </w:rPr>
            </w:pPr>
          </w:p>
        </w:tc>
      </w:tr>
      <w:tr>
        <w:trPr>
          <w:trHeight w:val="316"/>
        </w:trPr>
        <w:tc>
          <w:tcPr>
            <w:tcW w:w="1500" w:type="dxa"/>
            <w:vAlign w:val="bottom"/>
          </w:tcPr>
          <w:p>
            <w:pPr>
              <w:spacing w:after="0"/>
              <w:rPr>
                <w:sz w:val="24"/>
                <w:szCs w:val="24"/>
                <w:color w:val="auto"/>
              </w:rPr>
            </w:pPr>
          </w:p>
        </w:tc>
        <w:tc>
          <w:tcPr>
            <w:tcW w:w="2540" w:type="dxa"/>
            <w:vAlign w:val="bottom"/>
            <w:gridSpan w:val="2"/>
          </w:tcPr>
          <w:p>
            <w:pPr>
              <w:jc w:val="right"/>
              <w:ind w:right="112"/>
              <w:spacing w:after="0"/>
              <w:rPr>
                <w:sz w:val="20"/>
                <w:szCs w:val="20"/>
                <w:color w:val="auto"/>
              </w:rPr>
            </w:pPr>
            <w:r>
              <w:rPr>
                <w:rFonts w:ascii="Arial" w:cs="Arial" w:eastAsia="Arial" w:hAnsi="Arial"/>
                <w:sz w:val="18"/>
                <w:szCs w:val="18"/>
                <w:color w:val="auto"/>
              </w:rPr>
              <w:t>411,684,186</w:t>
            </w:r>
          </w:p>
        </w:tc>
        <w:tc>
          <w:tcPr>
            <w:tcW w:w="1600" w:type="dxa"/>
            <w:vAlign w:val="bottom"/>
            <w:gridSpan w:val="5"/>
          </w:tcPr>
          <w:p>
            <w:pPr>
              <w:jc w:val="center"/>
              <w:ind w:left="52"/>
              <w:spacing w:after="0"/>
              <w:rPr>
                <w:sz w:val="20"/>
                <w:szCs w:val="20"/>
                <w:color w:val="auto"/>
              </w:rPr>
            </w:pPr>
            <w:r>
              <w:rPr>
                <w:rFonts w:ascii="Arial" w:cs="Arial" w:eastAsia="Arial" w:hAnsi="Arial"/>
                <w:sz w:val="18"/>
                <w:szCs w:val="18"/>
                <w:color w:val="auto"/>
                <w:w w:val="86"/>
              </w:rPr>
              <w:t>45,012,828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87"/>
              </w:rPr>
              <w:t>9,923,959</w:t>
            </w:r>
          </w:p>
        </w:tc>
      </w:tr>
    </w:tbl>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Reports on Form 8-K.</w:t>
      </w:r>
    </w:p>
    <w:p>
      <w:pPr>
        <w:spacing w:after="0" w:line="258" w:lineRule="exact"/>
        <w:rPr>
          <w:sz w:val="20"/>
          <w:szCs w:val="20"/>
          <w:color w:val="auto"/>
        </w:rPr>
      </w:pPr>
    </w:p>
    <w:p>
      <w:pPr>
        <w:ind w:left="580" w:hanging="248"/>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ind w:left="560"/>
              <w:spacing w:after="0"/>
              <w:rPr>
                <w:sz w:val="20"/>
                <w:szCs w:val="20"/>
                <w:color w:val="auto"/>
              </w:rPr>
            </w:pPr>
            <w:r>
              <w:rPr>
                <w:rFonts w:ascii="Arial" w:cs="Arial" w:eastAsia="Arial" w:hAnsi="Arial"/>
                <w:sz w:val="14"/>
                <w:szCs w:val="14"/>
                <w:color w:val="auto"/>
              </w:rPr>
              <w:t>Exhibit</w:t>
            </w:r>
          </w:p>
        </w:tc>
        <w:tc>
          <w:tcPr>
            <w:tcW w:w="1120" w:type="dxa"/>
            <w:vAlign w:val="bottom"/>
          </w:tcPr>
          <w:p>
            <w:pPr>
              <w:spacing w:after="0"/>
              <w:rPr>
                <w:sz w:val="14"/>
                <w:szCs w:val="14"/>
                <w:color w:val="auto"/>
              </w:rPr>
            </w:pPr>
          </w:p>
        </w:tc>
        <w:tc>
          <w:tcPr>
            <w:tcW w:w="8780" w:type="dxa"/>
            <w:vAlign w:val="bottom"/>
          </w:tcPr>
          <w:p>
            <w:pPr>
              <w:spacing w:after="0"/>
              <w:rPr>
                <w:sz w:val="14"/>
                <w:szCs w:val="14"/>
                <w:color w:val="auto"/>
              </w:rPr>
            </w:pPr>
          </w:p>
        </w:tc>
      </w:tr>
      <w:tr>
        <w:trPr>
          <w:trHeight w:val="174"/>
        </w:trPr>
        <w:tc>
          <w:tcPr>
            <w:tcW w:w="1520" w:type="dxa"/>
            <w:vAlign w:val="bottom"/>
          </w:tcPr>
          <w:p>
            <w:pPr>
              <w:ind w:left="660"/>
              <w:spacing w:after="0"/>
              <w:rPr>
                <w:sz w:val="20"/>
                <w:szCs w:val="20"/>
                <w:color w:val="auto"/>
              </w:rPr>
            </w:pPr>
            <w:r>
              <w:rPr>
                <w:rFonts w:ascii="Arial" w:cs="Arial" w:eastAsia="Arial" w:hAnsi="Arial"/>
                <w:sz w:val="14"/>
                <w:szCs w:val="14"/>
                <w:b w:val="1"/>
                <w:bCs w:val="1"/>
                <w:color w:val="auto"/>
              </w:rPr>
              <w:t>No.</w:t>
            </w:r>
          </w:p>
        </w:tc>
        <w:tc>
          <w:tcPr>
            <w:tcW w:w="1120" w:type="dxa"/>
            <w:vAlign w:val="bottom"/>
          </w:tcPr>
          <w:p>
            <w:pPr>
              <w:spacing w:after="0"/>
              <w:rPr>
                <w:sz w:val="15"/>
                <w:szCs w:val="15"/>
                <w:color w:val="auto"/>
              </w:rPr>
            </w:pPr>
          </w:p>
        </w:tc>
        <w:tc>
          <w:tcPr>
            <w:tcW w:w="8780" w:type="dxa"/>
            <w:vAlign w:val="bottom"/>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2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r>
      <w:tr>
        <w:trPr>
          <w:trHeight w:val="102"/>
        </w:trPr>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Pr>
          <w:p>
            <w:pPr>
              <w:spacing w:after="0"/>
              <w:rPr>
                <w:sz w:val="8"/>
                <w:szCs w:val="8"/>
                <w:color w:val="auto"/>
              </w:rPr>
            </w:pPr>
          </w:p>
        </w:tc>
      </w:tr>
      <w:tr>
        <w:trPr>
          <w:trHeight w:val="216"/>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10.1</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Employment Agreement between the Company and Cherie C. Rice, dated July 17, 1998.</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Employment Agreement between the Company and Greg A. Robertson, dated August 1, 2003.</w:t>
            </w:r>
          </w:p>
        </w:tc>
      </w:tr>
      <w:tr>
        <w:trPr>
          <w:trHeight w:val="216"/>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08"/>
        </w:trPr>
        <w:tc>
          <w:tcPr>
            <w:tcW w:w="1520" w:type="dxa"/>
            <w:vAlign w:val="bottom"/>
          </w:tcPr>
          <w:p>
            <w:pPr>
              <w:ind w:left="660"/>
              <w:spacing w:after="0"/>
              <w:rPr>
                <w:sz w:val="20"/>
                <w:szCs w:val="20"/>
                <w:color w:val="auto"/>
              </w:rPr>
            </w:pPr>
            <w:r>
              <w:rPr>
                <w:rFonts w:ascii="Arial" w:cs="Arial" w:eastAsia="Arial" w:hAnsi="Arial"/>
                <w:sz w:val="18"/>
                <w:szCs w:val="18"/>
                <w:color w:val="auto"/>
              </w:rPr>
              <w:t>31.1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David P. Steiner,</w:t>
            </w:r>
          </w:p>
        </w:tc>
      </w:tr>
      <w:tr>
        <w:trPr>
          <w:trHeight w:val="223"/>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09"/>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31.2</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w w:val="89"/>
              </w:rPr>
              <w:t>Certification Pursuant to Rule 15d — 14(a) under the Securities Exchange Act of 1934, as amended, of Robert G. Simpson,</w:t>
            </w:r>
          </w:p>
        </w:tc>
      </w:tr>
      <w:tr>
        <w:trPr>
          <w:trHeight w:val="224"/>
        </w:trPr>
        <w:tc>
          <w:tcPr>
            <w:tcW w:w="1520" w:type="dxa"/>
            <w:vAlign w:val="bottom"/>
            <w:shd w:val="clear" w:color="auto" w:fill="EEEEEE"/>
          </w:tcPr>
          <w:p>
            <w:pPr>
              <w:spacing w:after="0"/>
              <w:rPr>
                <w:sz w:val="19"/>
                <w:szCs w:val="19"/>
                <w:color w:val="auto"/>
              </w:rPr>
            </w:pPr>
          </w:p>
        </w:tc>
        <w:tc>
          <w:tcPr>
            <w:tcW w:w="1120" w:type="dxa"/>
            <w:vAlign w:val="bottom"/>
            <w:shd w:val="clear" w:color="auto" w:fill="EEEEEE"/>
          </w:tcPr>
          <w:p>
            <w:pPr>
              <w:spacing w:after="0"/>
              <w:rPr>
                <w:sz w:val="19"/>
                <w:szCs w:val="19"/>
                <w:color w:val="auto"/>
              </w:rPr>
            </w:pP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32.1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16"/>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32.2</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w w:val="95"/>
              </w:rPr>
              <w:t>Certification Pursuant to 18 U.S.C. §1350 of Robert G. Simpson, Senior Vice President and Chief Financial Officer.</w:t>
            </w:r>
          </w:p>
        </w:tc>
      </w:tr>
    </w:tbl>
    <w:p>
      <w:pPr>
        <w:spacing w:after="0" w:line="235" w:lineRule="exact"/>
        <w:rPr>
          <w:sz w:val="20"/>
          <w:szCs w:val="20"/>
          <w:color w:val="auto"/>
        </w:rPr>
      </w:pPr>
    </w:p>
    <w:p>
      <w:pPr>
        <w:ind w:left="580" w:hanging="248"/>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252"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 the second quarter of 2004, we filed Current Reports on Form 8-K on April 12th, April 26th, June 21st and June 25th (as amended on July 1st) in order to incorporate by reference into our universal shelf registration statement on Form S-3 certain legal opinions related to our issuance of shares of common stock upon exercise by various warrant holders of outstanding warrants.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Greg A. Robertson</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Vice President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tcPr>
          <w:p>
            <w:pPr>
              <w:ind w:left="2200"/>
              <w:spacing w:after="0"/>
              <w:rPr>
                <w:sz w:val="20"/>
                <w:szCs w:val="20"/>
                <w:color w:val="auto"/>
              </w:rPr>
            </w:pPr>
            <w:r>
              <w:rPr>
                <w:rFonts w:ascii="Arial" w:cs="Arial" w:eastAsia="Arial" w:hAnsi="Arial"/>
                <w:sz w:val="18"/>
                <w:szCs w:val="18"/>
                <w:b w:val="1"/>
                <w:bCs w:val="1"/>
                <w:color w:val="auto"/>
              </w:rPr>
              <w:t>INDEX TO EXHIBITS</w:t>
            </w:r>
          </w:p>
        </w:tc>
      </w:tr>
      <w:tr>
        <w:trPr>
          <w:trHeight w:val="570"/>
        </w:trPr>
        <w:tc>
          <w:tcPr>
            <w:tcW w:w="1520" w:type="dxa"/>
            <w:vAlign w:val="bottom"/>
          </w:tcPr>
          <w:p>
            <w:pPr>
              <w:ind w:left="560"/>
              <w:spacing w:after="0"/>
              <w:rPr>
                <w:sz w:val="20"/>
                <w:szCs w:val="20"/>
                <w:color w:val="auto"/>
              </w:rPr>
            </w:pPr>
            <w:r>
              <w:rPr>
                <w:rFonts w:ascii="Arial" w:cs="Arial" w:eastAsia="Arial" w:hAnsi="Arial"/>
                <w:sz w:val="14"/>
                <w:szCs w:val="14"/>
                <w:color w:val="auto"/>
              </w:rPr>
              <w:t>Exhibit</w:t>
            </w:r>
          </w:p>
        </w:tc>
        <w:tc>
          <w:tcPr>
            <w:tcW w:w="112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174"/>
        </w:trPr>
        <w:tc>
          <w:tcPr>
            <w:tcW w:w="1520" w:type="dxa"/>
            <w:vAlign w:val="bottom"/>
          </w:tcPr>
          <w:p>
            <w:pPr>
              <w:ind w:left="660"/>
              <w:spacing w:after="0"/>
              <w:rPr>
                <w:sz w:val="20"/>
                <w:szCs w:val="20"/>
                <w:color w:val="auto"/>
              </w:rPr>
            </w:pPr>
            <w:r>
              <w:rPr>
                <w:rFonts w:ascii="Arial" w:cs="Arial" w:eastAsia="Arial" w:hAnsi="Arial"/>
                <w:sz w:val="14"/>
                <w:szCs w:val="14"/>
                <w:b w:val="1"/>
                <w:bCs w:val="1"/>
                <w:color w:val="auto"/>
              </w:rPr>
              <w:t>No.</w:t>
            </w:r>
          </w:p>
        </w:tc>
        <w:tc>
          <w:tcPr>
            <w:tcW w:w="1120" w:type="dxa"/>
            <w:vAlign w:val="bottom"/>
          </w:tcPr>
          <w:p>
            <w:pPr>
              <w:spacing w:after="0"/>
              <w:rPr>
                <w:sz w:val="15"/>
                <w:szCs w:val="15"/>
                <w:color w:val="auto"/>
              </w:rPr>
            </w:pPr>
          </w:p>
        </w:tc>
        <w:tc>
          <w:tcPr>
            <w:tcW w:w="8780" w:type="dxa"/>
            <w:vAlign w:val="bottom"/>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52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Borders>
              <w:bottom w:val="single" w:sz="8" w:color="808080"/>
            </w:tcBorders>
          </w:tcPr>
          <w:p>
            <w:pPr>
              <w:spacing w:after="0"/>
              <w:rPr>
                <w:sz w:val="8"/>
                <w:szCs w:val="8"/>
                <w:color w:val="auto"/>
              </w:rPr>
            </w:pPr>
          </w:p>
        </w:tc>
      </w:tr>
      <w:tr>
        <w:trPr>
          <w:trHeight w:val="102"/>
        </w:trPr>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780" w:type="dxa"/>
            <w:vAlign w:val="bottom"/>
          </w:tcPr>
          <w:p>
            <w:pPr>
              <w:spacing w:after="0"/>
              <w:rPr>
                <w:sz w:val="8"/>
                <w:szCs w:val="8"/>
                <w:color w:val="auto"/>
              </w:rPr>
            </w:pPr>
          </w:p>
        </w:tc>
      </w:tr>
      <w:tr>
        <w:trPr>
          <w:trHeight w:val="216"/>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10.1</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Employment Agreement between the Company and Cherie C. Rice, dated July 17, 1998.</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10.2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Employment Agreement between the Company and Greg A. Robertson, dated August 1, 2003.</w:t>
            </w:r>
          </w:p>
        </w:tc>
      </w:tr>
      <w:tr>
        <w:trPr>
          <w:trHeight w:val="216"/>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208"/>
        </w:trPr>
        <w:tc>
          <w:tcPr>
            <w:tcW w:w="1520" w:type="dxa"/>
            <w:vAlign w:val="bottom"/>
          </w:tcPr>
          <w:p>
            <w:pPr>
              <w:ind w:left="660"/>
              <w:spacing w:after="0"/>
              <w:rPr>
                <w:sz w:val="20"/>
                <w:szCs w:val="20"/>
                <w:color w:val="auto"/>
              </w:rPr>
            </w:pPr>
            <w:r>
              <w:rPr>
                <w:rFonts w:ascii="Arial" w:cs="Arial" w:eastAsia="Arial" w:hAnsi="Arial"/>
                <w:sz w:val="18"/>
                <w:szCs w:val="18"/>
                <w:color w:val="auto"/>
              </w:rPr>
              <w:t>31.1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David P. Steiner,</w:t>
            </w:r>
          </w:p>
        </w:tc>
      </w:tr>
      <w:tr>
        <w:trPr>
          <w:trHeight w:val="223"/>
        </w:trPr>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09"/>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31.2</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w w:val="89"/>
              </w:rPr>
              <w:t>Certification Pursuant to Rule 15d — 14(a) under the Securities Exchange Act of 1934, as amended, of Robert G. Simpson,</w:t>
            </w:r>
          </w:p>
        </w:tc>
      </w:tr>
      <w:tr>
        <w:trPr>
          <w:trHeight w:val="224"/>
        </w:trPr>
        <w:tc>
          <w:tcPr>
            <w:tcW w:w="1520" w:type="dxa"/>
            <w:vAlign w:val="bottom"/>
            <w:shd w:val="clear" w:color="auto" w:fill="EEEEEE"/>
          </w:tcPr>
          <w:p>
            <w:pPr>
              <w:spacing w:after="0"/>
              <w:rPr>
                <w:sz w:val="19"/>
                <w:szCs w:val="19"/>
                <w:color w:val="auto"/>
              </w:rPr>
            </w:pPr>
          </w:p>
        </w:tc>
        <w:tc>
          <w:tcPr>
            <w:tcW w:w="1120" w:type="dxa"/>
            <w:vAlign w:val="bottom"/>
            <w:shd w:val="clear" w:color="auto" w:fill="EEEEEE"/>
          </w:tcPr>
          <w:p>
            <w:pPr>
              <w:spacing w:after="0"/>
              <w:rPr>
                <w:sz w:val="19"/>
                <w:szCs w:val="19"/>
                <w:color w:val="auto"/>
              </w:rPr>
            </w:pP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1520" w:type="dxa"/>
            <w:vAlign w:val="bottom"/>
          </w:tcPr>
          <w:p>
            <w:pPr>
              <w:ind w:left="660"/>
              <w:spacing w:after="0"/>
              <w:rPr>
                <w:sz w:val="20"/>
                <w:szCs w:val="20"/>
                <w:color w:val="auto"/>
              </w:rPr>
            </w:pPr>
            <w:r>
              <w:rPr>
                <w:rFonts w:ascii="Arial" w:cs="Arial" w:eastAsia="Arial" w:hAnsi="Arial"/>
                <w:sz w:val="18"/>
                <w:szCs w:val="18"/>
                <w:color w:val="auto"/>
              </w:rPr>
              <w:t>32.1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780" w:type="dxa"/>
            <w:vAlign w:val="bottom"/>
          </w:tcPr>
          <w:p>
            <w:pPr>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16"/>
        </w:trPr>
        <w:tc>
          <w:tcPr>
            <w:tcW w:w="15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32.2</w:t>
            </w:r>
          </w:p>
        </w:tc>
        <w:tc>
          <w:tcPr>
            <w:tcW w:w="1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8780" w:type="dxa"/>
            <w:vAlign w:val="bottom"/>
            <w:shd w:val="clear" w:color="auto" w:fill="EEEEEE"/>
          </w:tcPr>
          <w:p>
            <w:pPr>
              <w:spacing w:after="0"/>
              <w:rPr>
                <w:sz w:val="20"/>
                <w:szCs w:val="20"/>
                <w:color w:val="auto"/>
              </w:rPr>
            </w:pPr>
            <w:r>
              <w:rPr>
                <w:rFonts w:ascii="Arial" w:cs="Arial" w:eastAsia="Arial" w:hAnsi="Arial"/>
                <w:sz w:val="18"/>
                <w:szCs w:val="18"/>
                <w:color w:val="auto"/>
                <w:w w:val="95"/>
              </w:rPr>
              <w:t>Certification Pursuant to 18 U.S.C. §1350 of Robert G. Simpson, Senior Vice President and Chief Financial Officer.</w:t>
            </w:r>
          </w:p>
        </w:tc>
      </w:tr>
    </w:tbl>
    <w:p>
      <w:pPr>
        <w:sectPr>
          <w:pgSz w:w="11900" w:h="16838" w:orient="portrait"/>
          <w:cols w:equalWidth="0" w:num="1">
            <w:col w:w="11420"/>
          </w:cols>
          <w:pgMar w:left="240" w:top="419"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89"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WASTE MANAGEMENT, INC., for and on behalf of its affiliated corporations (collectively referred to as the “Company”), and CHERIE RICE (the “Employee”) agree to enter into this EMPLOYMENT AGREEMENT (the “Agreement”) dated as of July 17, 1998 as follows:</w:t>
      </w:r>
    </w:p>
    <w:p>
      <w:pPr>
        <w:spacing w:after="0" w:line="126" w:lineRule="exact"/>
        <w:rPr>
          <w:sz w:val="20"/>
          <w:szCs w:val="20"/>
          <w:color w:val="auto"/>
        </w:rPr>
      </w:pPr>
    </w:p>
    <w:p>
      <w:pPr>
        <w:ind w:left="600" w:hanging="367"/>
        <w:spacing w:after="0"/>
        <w:tabs>
          <w:tab w:leader="none" w:pos="6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202"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Company shall employ Employee, and Employee shall be employed by the Company upon the terms and subject to the conditions set forth in this Agreement.</w:t>
      </w:r>
    </w:p>
    <w:p>
      <w:pPr>
        <w:spacing w:after="0" w:line="126" w:lineRule="exact"/>
        <w:rPr>
          <w:sz w:val="20"/>
          <w:szCs w:val="20"/>
          <w:color w:val="auto"/>
        </w:rPr>
      </w:pPr>
    </w:p>
    <w:p>
      <w:pPr>
        <w:ind w:left="600" w:hanging="367"/>
        <w:spacing w:after="0"/>
        <w:tabs>
          <w:tab w:leader="none" w:pos="6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 of Employment.</w:t>
      </w:r>
    </w:p>
    <w:p>
      <w:pPr>
        <w:spacing w:after="0" w:line="189"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The period of Employee’s employment under this Agreement shall be for a period of one year, beginning on August 1, 1998, and shall be continually renewing for a period of one (1) year thereafter unless terminated pursuant to the provisions of Section 5 of this Agreement. Company.</w:t>
      </w:r>
    </w:p>
    <w:p>
      <w:pPr>
        <w:spacing w:after="0" w:line="116" w:lineRule="exact"/>
        <w:rPr>
          <w:sz w:val="20"/>
          <w:szCs w:val="20"/>
          <w:color w:val="auto"/>
        </w:rPr>
      </w:pPr>
    </w:p>
    <w:p>
      <w:pPr>
        <w:ind w:left="600" w:hanging="367"/>
        <w:spacing w:after="0"/>
        <w:tabs>
          <w:tab w:leader="none" w:pos="6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Responsibilities.</w:t>
      </w:r>
    </w:p>
    <w:p>
      <w:pPr>
        <w:spacing w:after="0" w:line="189" w:lineRule="exact"/>
        <w:rPr>
          <w:sz w:val="20"/>
          <w:szCs w:val="20"/>
          <w:color w:val="auto"/>
        </w:rPr>
      </w:pPr>
    </w:p>
    <w:p>
      <w:pPr>
        <w:ind w:right="340" w:firstLine="233"/>
        <w:spacing w:after="0" w:line="277" w:lineRule="auto"/>
        <w:tabs>
          <w:tab w:leader="none" w:pos="525"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Employee shall serve as Vice President, Investor Relations. In such capacity, Employee shall perform such duties as may be assigned to Employee from time to time by Company.</w:t>
      </w:r>
    </w:p>
    <w:p>
      <w:pPr>
        <w:spacing w:after="0" w:line="129" w:lineRule="exact"/>
        <w:rPr>
          <w:rFonts w:ascii="Arial" w:cs="Arial" w:eastAsia="Arial" w:hAnsi="Arial"/>
          <w:sz w:val="18"/>
          <w:szCs w:val="18"/>
          <w:b w:val="1"/>
          <w:bCs w:val="1"/>
          <w:color w:val="auto"/>
        </w:rPr>
      </w:pPr>
    </w:p>
    <w:p>
      <w:pPr>
        <w:ind w:right="580" w:firstLine="233"/>
        <w:spacing w:after="0" w:line="277" w:lineRule="auto"/>
        <w:tabs>
          <w:tab w:leader="none" w:pos="535"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Employee shall faithfully serve the Company, devote Employee’s full working time, attention and energies to the business of the Company and perform the duties under this Agreement to the best of Employee’s abilities.</w:t>
      </w:r>
    </w:p>
    <w:p>
      <w:pPr>
        <w:spacing w:after="0" w:line="143" w:lineRule="exact"/>
        <w:rPr>
          <w:rFonts w:ascii="Arial" w:cs="Arial" w:eastAsia="Arial" w:hAnsi="Arial"/>
          <w:sz w:val="18"/>
          <w:szCs w:val="18"/>
          <w:b w:val="1"/>
          <w:bCs w:val="1"/>
          <w:color w:val="auto"/>
        </w:rPr>
      </w:pPr>
    </w:p>
    <w:p>
      <w:pPr>
        <w:ind w:right="160" w:firstLine="233"/>
        <w:spacing w:after="0" w:line="264" w:lineRule="auto"/>
        <w:tabs>
          <w:tab w:leader="none" w:pos="515"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Employee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37" w:lineRule="exact"/>
        <w:rPr>
          <w:sz w:val="20"/>
          <w:szCs w:val="20"/>
          <w:color w:val="auto"/>
        </w:rPr>
      </w:pPr>
    </w:p>
    <w:p>
      <w:pPr>
        <w:ind w:left="600" w:hanging="367"/>
        <w:spacing w:after="0"/>
        <w:tabs>
          <w:tab w:leader="none" w:pos="6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185" w:lineRule="exact"/>
        <w:rPr>
          <w:sz w:val="20"/>
          <w:szCs w:val="20"/>
          <w:color w:val="auto"/>
        </w:rPr>
      </w:pPr>
    </w:p>
    <w:p>
      <w:pPr>
        <w:ind w:right="140" w:firstLine="233"/>
        <w:spacing w:after="0" w:line="266" w:lineRule="auto"/>
        <w:tabs>
          <w:tab w:leader="none" w:pos="52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During the Employment Term, the Company shall pay Employee a base salary at the annual rate of one hundred thirty-seven thousand</w:t>
      </w:r>
      <w:r>
        <w:rPr>
          <w:rFonts w:ascii="Arial" w:cs="Arial" w:eastAsia="Arial" w:hAnsi="Arial"/>
          <w:sz w:val="18"/>
          <w:szCs w:val="18"/>
          <w:b w:val="1"/>
          <w:bCs w:val="1"/>
          <w:color w:val="auto"/>
        </w:rPr>
        <w:t xml:space="preserve"> </w:t>
      </w:r>
      <w:r>
        <w:rPr>
          <w:rFonts w:ascii="Arial" w:cs="Arial" w:eastAsia="Arial" w:hAnsi="Arial"/>
          <w:sz w:val="18"/>
          <w:szCs w:val="18"/>
          <w:color w:val="auto"/>
        </w:rPr>
        <w:t>($137,000.) dollars per year, or such higher rate as may be determined from time to time by the Company (“Base Salary”). Such Base Salary shall be paid in accordance with the Company’s standard payroll practice for employees.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p>
      <w:pPr>
        <w:ind w:left="-20" w:right="100" w:firstLine="233"/>
        <w:spacing w:after="0" w:line="266" w:lineRule="auto"/>
        <w:tabs>
          <w:tab w:leader="none" w:pos="51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The Company shall promptly reimburse Employee for the ordinary and necessary business expenses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in the performance of Employee’s duties hereunder in accordance with the Company’s customary practices applicable to employees, provided that such expenses are incurred and accounted for in accordance with the Company’s policy.</w:t>
      </w:r>
    </w:p>
    <w:p>
      <w:pPr>
        <w:spacing w:after="0" w:line="149" w:lineRule="exact"/>
        <w:rPr>
          <w:rFonts w:ascii="Arial" w:cs="Arial" w:eastAsia="Arial" w:hAnsi="Arial"/>
          <w:sz w:val="18"/>
          <w:szCs w:val="18"/>
          <w:b w:val="1"/>
          <w:bCs w:val="1"/>
          <w:color w:val="auto"/>
        </w:rPr>
      </w:pPr>
    </w:p>
    <w:p>
      <w:pPr>
        <w:ind w:left="-20" w:right="20" w:firstLine="233"/>
        <w:spacing w:after="0" w:line="314" w:lineRule="auto"/>
        <w:tabs>
          <w:tab w:leader="none" w:pos="495"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Benefit Plans. </w:t>
      </w:r>
      <w:r>
        <w:rPr>
          <w:rFonts w:ascii="Arial" w:cs="Arial" w:eastAsia="Arial" w:hAnsi="Arial"/>
          <w:sz w:val="16"/>
          <w:szCs w:val="16"/>
          <w:color w:val="auto"/>
        </w:rPr>
        <w:t>Employee shall be eligible to participate in or receive benefits under any pension plan, profit sharing plan, medical and dental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plan, life insurance plan, short-term and long-term disability plans, supplemental and/or incentive compensation plans, practices or arrangements, or any other benefit plan or arrangement, generally made available by the Company to employees of similar status and responsibilities (“similarly situated employees”).</w:t>
      </w:r>
    </w:p>
    <w:p>
      <w:pPr>
        <w:spacing w:after="0" w:line="101" w:lineRule="exact"/>
        <w:rPr>
          <w:rFonts w:ascii="Arial" w:cs="Arial" w:eastAsia="Arial" w:hAnsi="Arial"/>
          <w:sz w:val="16"/>
          <w:szCs w:val="16"/>
          <w:b w:val="1"/>
          <w:bCs w:val="1"/>
          <w:color w:val="auto"/>
        </w:rPr>
      </w:pPr>
    </w:p>
    <w:p>
      <w:pPr>
        <w:ind w:left="-20" w:right="400" w:firstLine="233"/>
        <w:spacing w:after="0" w:line="282" w:lineRule="auto"/>
        <w:tabs>
          <w:tab w:leader="none" w:pos="51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Employee shall be awarded fifteen (15,000) Waste Management, Inc., stock options, subject to the approval of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of Directors.</w:t>
      </w:r>
    </w:p>
    <w:p>
      <w:pPr>
        <w:spacing w:after="0" w:line="121" w:lineRule="exact"/>
        <w:rPr>
          <w:sz w:val="20"/>
          <w:szCs w:val="20"/>
          <w:color w:val="auto"/>
        </w:rPr>
      </w:pPr>
    </w:p>
    <w:p>
      <w:pPr>
        <w:ind w:left="580" w:hanging="367"/>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Employee’s employment hereunder may be terminated under the following circumstances:</w:t>
      </w:r>
    </w:p>
    <w:p>
      <w:pPr>
        <w:spacing w:after="0" w:line="181" w:lineRule="exact"/>
        <w:rPr>
          <w:sz w:val="20"/>
          <w:szCs w:val="20"/>
          <w:color w:val="auto"/>
        </w:rPr>
      </w:pPr>
    </w:p>
    <w:p>
      <w:pPr>
        <w:ind w:left="520" w:hanging="307"/>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Employee’s employment hereunder shall terminate upon Employee’s death.</w:t>
      </w:r>
    </w:p>
    <w:p>
      <w:pPr>
        <w:spacing w:after="0" w:line="184" w:lineRule="exact"/>
        <w:rPr>
          <w:rFonts w:ascii="Arial" w:cs="Arial" w:eastAsia="Arial" w:hAnsi="Arial"/>
          <w:sz w:val="18"/>
          <w:szCs w:val="18"/>
          <w:b w:val="1"/>
          <w:bCs w:val="1"/>
          <w:color w:val="auto"/>
        </w:rPr>
      </w:pPr>
    </w:p>
    <w:p>
      <w:pPr>
        <w:ind w:left="-20" w:firstLine="233"/>
        <w:spacing w:after="0" w:line="256" w:lineRule="auto"/>
        <w:tabs>
          <w:tab w:leader="none" w:pos="51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Disability. </w:t>
      </w:r>
      <w:r>
        <w:rPr>
          <w:rFonts w:ascii="Arial" w:cs="Arial" w:eastAsia="Arial" w:hAnsi="Arial"/>
          <w:sz w:val="18"/>
          <w:szCs w:val="18"/>
          <w:color w:val="auto"/>
        </w:rPr>
        <w:t>The Company may terminate Employee’s employment hereunder upon Employee’s becoming “Totally Disabled”.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Employee shall be “Totally Disabled” if Employee is physically or mentally incapacitated so as to render Employee incapable of performing the usual and customary duties under this Agreement. Employee’s receipt of disability benefits under the Company’s long-term disability plan or receipt of Social Security disability benefits shall be deemed conclusive evidence of Total Disability for purpose of this Agreement; provided, however, that in the absence of Employee’s receipt of such long-term disability benefits of Social Security benefits, the Company may, in its reasonable discretion (but based upon appropriate medical evidence), determine that Employee is Totally Disabled.</w:t>
      </w:r>
    </w:p>
    <w:p>
      <w:pPr>
        <w:spacing w:after="0" w:line="160" w:lineRule="exact"/>
        <w:rPr>
          <w:rFonts w:ascii="Arial" w:cs="Arial" w:eastAsia="Arial" w:hAnsi="Arial"/>
          <w:sz w:val="18"/>
          <w:szCs w:val="18"/>
          <w:b w:val="1"/>
          <w:bCs w:val="1"/>
          <w:color w:val="auto"/>
        </w:rPr>
      </w:pPr>
    </w:p>
    <w:p>
      <w:pPr>
        <w:ind w:left="-20" w:right="180" w:firstLine="233"/>
        <w:spacing w:after="0" w:line="282" w:lineRule="auto"/>
        <w:tabs>
          <w:tab w:leader="none" w:pos="49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Employee’s employment hereunder for “Cause” at any time after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Employee.</w:t>
      </w:r>
    </w:p>
    <w:p>
      <w:pPr>
        <w:spacing w:after="0" w:line="166" w:lineRule="exact"/>
        <w:rPr>
          <w:sz w:val="20"/>
          <w:szCs w:val="20"/>
          <w:color w:val="auto"/>
        </w:rPr>
      </w:pPr>
    </w:p>
    <w:p>
      <w:pPr>
        <w:ind w:left="600" w:right="20" w:hanging="269"/>
        <w:spacing w:after="0" w:line="264" w:lineRule="auto"/>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purposes of this Agreement, the term “Cause” shall mean any of the following: (A) conviction of a crime (including conviction on a nolo contendere plea) involving a felony or, in the good faith judgment of the Company, fraud, dishonesty, or moral turpitude; (B) deliberate and continual refusal to perform employment duties reasonably requested by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2" w:right="239" w:bottom="1440" w:gutter="0" w:footer="0" w:header="0"/>
        </w:sectPr>
      </w:pPr>
    </w:p>
    <w:bookmarkStart w:id="54" w:name="page55"/>
    <w:bookmarkEnd w:id="54"/>
    <w:p>
      <w:pPr>
        <w:ind w:left="720" w:right="20"/>
        <w:spacing w:after="0" w:line="257" w:lineRule="auto"/>
        <w:rPr>
          <w:sz w:val="20"/>
          <w:szCs w:val="20"/>
          <w:color w:val="auto"/>
        </w:rPr>
      </w:pPr>
      <w:r>
        <w:rPr>
          <w:rFonts w:ascii="Arial" w:cs="Arial" w:eastAsia="Arial" w:hAnsi="Arial"/>
          <w:sz w:val="18"/>
          <w:szCs w:val="18"/>
          <w:color w:val="auto"/>
        </w:rPr>
        <w:t>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7 hereof.</w:t>
      </w:r>
    </w:p>
    <w:p>
      <w:pPr>
        <w:spacing w:after="0" w:line="188" w:lineRule="exact"/>
        <w:rPr>
          <w:sz w:val="20"/>
          <w:szCs w:val="20"/>
          <w:color w:val="auto"/>
        </w:rPr>
      </w:pPr>
    </w:p>
    <w:p>
      <w:pPr>
        <w:jc w:val="both"/>
        <w:ind w:left="720" w:right="260" w:hanging="324"/>
        <w:spacing w:after="0" w:line="312" w:lineRule="auto"/>
        <w:tabs>
          <w:tab w:leader="none" w:pos="7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46" w:lineRule="exact"/>
        <w:rPr>
          <w:rFonts w:ascii="Arial" w:cs="Arial" w:eastAsia="Arial" w:hAnsi="Arial"/>
          <w:sz w:val="16"/>
          <w:szCs w:val="16"/>
          <w:color w:val="auto"/>
        </w:rPr>
      </w:pPr>
    </w:p>
    <w:p>
      <w:pPr>
        <w:ind w:left="720" w:hanging="374"/>
        <w:spacing w:after="0"/>
        <w:tabs>
          <w:tab w:leader="none" w:pos="7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determination of Cause under this Agreement shall be made by the Company after giving Employee a reasonable opportunity to be heard.</w:t>
      </w:r>
    </w:p>
    <w:p>
      <w:pPr>
        <w:spacing w:after="0" w:line="244" w:lineRule="exact"/>
        <w:rPr>
          <w:rFonts w:ascii="Arial" w:cs="Arial" w:eastAsia="Arial" w:hAnsi="Arial"/>
          <w:sz w:val="16"/>
          <w:szCs w:val="16"/>
          <w:color w:val="auto"/>
        </w:rPr>
      </w:pPr>
    </w:p>
    <w:p>
      <w:pPr>
        <w:ind w:right="200" w:firstLine="233"/>
        <w:spacing w:after="0" w:line="282" w:lineRule="auto"/>
        <w:tabs>
          <w:tab w:leader="none" w:pos="53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Employee. </w:t>
      </w:r>
      <w:r>
        <w:rPr>
          <w:rFonts w:ascii="Arial" w:cs="Arial" w:eastAsia="Arial" w:hAnsi="Arial"/>
          <w:sz w:val="18"/>
          <w:szCs w:val="18"/>
          <w:color w:val="auto"/>
        </w:rPr>
        <w:t>Employee may terminate employment hereunder at any time after providing ten (10) days’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34" w:lineRule="exact"/>
        <w:rPr>
          <w:rFonts w:ascii="Arial" w:cs="Arial" w:eastAsia="Arial" w:hAnsi="Arial"/>
          <w:sz w:val="18"/>
          <w:szCs w:val="18"/>
          <w:b w:val="1"/>
          <w:bCs w:val="1"/>
          <w:color w:val="auto"/>
        </w:rPr>
      </w:pPr>
    </w:p>
    <w:p>
      <w:pPr>
        <w:ind w:right="360" w:firstLine="233"/>
        <w:spacing w:after="0" w:line="282" w:lineRule="auto"/>
        <w:tabs>
          <w:tab w:leader="none" w:pos="51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Employee’s employment hereunder without Cause at any time after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written notice to Employee.</w:t>
      </w:r>
    </w:p>
    <w:p>
      <w:pPr>
        <w:spacing w:after="0" w:line="121" w:lineRule="exact"/>
        <w:rPr>
          <w:sz w:val="20"/>
          <w:szCs w:val="20"/>
          <w:color w:val="auto"/>
        </w:rPr>
      </w:pPr>
    </w:p>
    <w:p>
      <w:pPr>
        <w:ind w:left="600" w:hanging="367"/>
        <w:spacing w:after="0"/>
        <w:tabs>
          <w:tab w:leader="none" w:pos="6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Following Termination of Employment.</w:t>
      </w:r>
    </w:p>
    <w:p>
      <w:pPr>
        <w:spacing w:after="0" w:line="189"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 the event that Employee’s employment hereunder is terminated, Employee shall be entitled to the following compensation and benefits upon such termination:</w:t>
      </w:r>
    </w:p>
    <w:p>
      <w:pPr>
        <w:spacing w:after="0" w:line="139" w:lineRule="exact"/>
        <w:rPr>
          <w:sz w:val="20"/>
          <w:szCs w:val="20"/>
          <w:color w:val="auto"/>
        </w:rPr>
      </w:pPr>
    </w:p>
    <w:p>
      <w:pPr>
        <w:ind w:right="20" w:firstLine="233"/>
        <w:spacing w:after="0" w:line="282" w:lineRule="auto"/>
        <w:tabs>
          <w:tab w:leader="none" w:pos="52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Employee’s employment is terminated by reason of Employee’s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Employee’s beneficiary or estate:</w:t>
      </w:r>
    </w:p>
    <w:p>
      <w:pPr>
        <w:spacing w:after="0" w:line="165" w:lineRule="exact"/>
        <w:rPr>
          <w:rFonts w:ascii="Arial" w:cs="Arial" w:eastAsia="Arial" w:hAnsi="Arial"/>
          <w:sz w:val="18"/>
          <w:szCs w:val="18"/>
          <w:b w:val="1"/>
          <w:bCs w:val="1"/>
          <w:color w:val="auto"/>
        </w:rPr>
      </w:pPr>
    </w:p>
    <w:p>
      <w:pPr>
        <w:ind w:left="680" w:hanging="275"/>
        <w:spacing w:after="0" w:line="277" w:lineRule="auto"/>
        <w:tabs>
          <w:tab w:leader="none" w:pos="6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 and any vacation accrued to the date of death.</w:t>
      </w:r>
    </w:p>
    <w:p>
      <w:pPr>
        <w:spacing w:after="0" w:line="170" w:lineRule="exact"/>
        <w:rPr>
          <w:rFonts w:ascii="Arial" w:cs="Arial" w:eastAsia="Arial" w:hAnsi="Arial"/>
          <w:sz w:val="18"/>
          <w:szCs w:val="18"/>
          <w:color w:val="auto"/>
        </w:rPr>
      </w:pPr>
    </w:p>
    <w:p>
      <w:pPr>
        <w:ind w:left="680" w:right="220" w:hanging="325"/>
        <w:spacing w:after="0" w:line="277" w:lineRule="auto"/>
        <w:tabs>
          <w:tab w:leader="none" w:pos="6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4(c) hereof as determined and paid in accordance with the terms of such plans, policies and arrangements.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left="-40" w:right="360" w:firstLine="233"/>
        <w:spacing w:after="0" w:line="282" w:lineRule="auto"/>
        <w:tabs>
          <w:tab w:leader="none" w:pos="49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Employee’s employment is terminated by reason of Employee’s Total Disability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Section 5(b), the Company shall pay the following amounts to Employee:</w:t>
      </w:r>
    </w:p>
    <w:p>
      <w:pPr>
        <w:spacing w:after="0" w:line="165" w:lineRule="exact"/>
        <w:rPr>
          <w:rFonts w:ascii="Arial" w:cs="Arial" w:eastAsia="Arial" w:hAnsi="Arial"/>
          <w:sz w:val="18"/>
          <w:szCs w:val="18"/>
          <w:b w:val="1"/>
          <w:bCs w:val="1"/>
          <w:color w:val="auto"/>
        </w:rPr>
      </w:pPr>
    </w:p>
    <w:p>
      <w:pPr>
        <w:ind w:left="680" w:right="180" w:hanging="274"/>
        <w:spacing w:after="0" w:line="277" w:lineRule="auto"/>
        <w:tabs>
          <w:tab w:leader="none" w:pos="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dates of termination, any accrued but unpaid expenses required to be reimbursed under this Agreement, any vacation accrued to the date of termination.</w:t>
      </w:r>
    </w:p>
    <w:p>
      <w:pPr>
        <w:spacing w:after="0" w:line="170" w:lineRule="exact"/>
        <w:rPr>
          <w:rFonts w:ascii="Arial" w:cs="Arial" w:eastAsia="Arial" w:hAnsi="Arial"/>
          <w:sz w:val="18"/>
          <w:szCs w:val="18"/>
          <w:color w:val="auto"/>
        </w:rPr>
      </w:pPr>
    </w:p>
    <w:p>
      <w:pPr>
        <w:ind w:left="680" w:right="620" w:hanging="324"/>
        <w:spacing w:after="0" w:line="277" w:lineRule="auto"/>
        <w:tabs>
          <w:tab w:leader="none" w:pos="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0" w:lineRule="exact"/>
        <w:rPr>
          <w:rFonts w:ascii="Arial" w:cs="Arial" w:eastAsia="Arial" w:hAnsi="Arial"/>
          <w:sz w:val="18"/>
          <w:szCs w:val="18"/>
          <w:color w:val="auto"/>
        </w:rPr>
      </w:pPr>
    </w:p>
    <w:p>
      <w:pPr>
        <w:ind w:left="680" w:hanging="374"/>
        <w:spacing w:after="0"/>
        <w:tabs>
          <w:tab w:leader="none" w:pos="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 amount equal to</w:t>
      </w:r>
    </w:p>
    <w:p>
      <w:pPr>
        <w:spacing w:after="0" w:line="225" w:lineRule="exact"/>
        <w:rPr>
          <w:rFonts w:ascii="Arial" w:cs="Arial" w:eastAsia="Arial" w:hAnsi="Arial"/>
          <w:sz w:val="18"/>
          <w:szCs w:val="18"/>
          <w:color w:val="auto"/>
        </w:rPr>
      </w:pPr>
    </w:p>
    <w:p>
      <w:pPr>
        <w:ind w:left="1000" w:right="200" w:hanging="350"/>
        <w:spacing w:after="0" w:line="342" w:lineRule="auto"/>
        <w:tabs>
          <w:tab w:leader="none" w:pos="1000"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Base Salary (at the rate in effect as of the date of Employee’s Total Disability) which would have been payable to Employee if Employee had continued in active employment until the end of the six (6) month period beginning on the date of Employee’s termination; reduced by</w:t>
      </w:r>
    </w:p>
    <w:p>
      <w:pPr>
        <w:spacing w:after="0" w:line="123" w:lineRule="exact"/>
        <w:rPr>
          <w:rFonts w:ascii="Arial" w:cs="Arial" w:eastAsia="Arial" w:hAnsi="Arial"/>
          <w:sz w:val="16"/>
          <w:szCs w:val="16"/>
          <w:color w:val="auto"/>
        </w:rPr>
      </w:pPr>
    </w:p>
    <w:p>
      <w:pPr>
        <w:ind w:left="1000" w:right="40" w:hanging="340"/>
        <w:spacing w:after="0" w:line="312" w:lineRule="auto"/>
        <w:tabs>
          <w:tab w:leader="none" w:pos="1000"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maximum annual amount of the long term disability benefits payable to Employee under the Company’s long-term disability plan as determined prior to the reduction of such benefits under the terms of the plan for other disability income (if long-term disability [LTD] benefits are payable, pursuant to the terms of the applicable LTD plan, during the six (6) month period referred to in Section 6[b][iii][A] above).</w:t>
      </w:r>
    </w:p>
    <w:p>
      <w:pPr>
        <w:spacing w:after="0" w:line="147"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Payment shall be made at the same time and in the same manner as such compensation would have been paid if Employee had remained in active employment until the end of such period.</w:t>
      </w:r>
    </w:p>
    <w:p>
      <w:pPr>
        <w:spacing w:after="0" w:line="166" w:lineRule="exact"/>
        <w:rPr>
          <w:sz w:val="20"/>
          <w:szCs w:val="20"/>
          <w:color w:val="auto"/>
        </w:rPr>
      </w:pPr>
    </w:p>
    <w:p>
      <w:pPr>
        <w:ind w:left="-40" w:firstLine="233"/>
        <w:spacing w:after="0" w:line="347" w:lineRule="auto"/>
        <w:tabs>
          <w:tab w:leader="none" w:pos="475"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or Voluntary Termination by Employee. </w:t>
      </w:r>
      <w:r>
        <w:rPr>
          <w:rFonts w:ascii="Arial" w:cs="Arial" w:eastAsia="Arial" w:hAnsi="Arial"/>
          <w:sz w:val="16"/>
          <w:szCs w:val="16"/>
          <w:color w:val="auto"/>
        </w:rPr>
        <w:t>In the event that Employee’s employment is terminated by the Company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5(c), or Employee terminates employment pursuant to Section 5(d), the Company shall pay the following amounts to Employee:</w:t>
      </w:r>
    </w:p>
    <w:p>
      <w:pPr>
        <w:spacing w:after="0" w:line="120" w:lineRule="exact"/>
        <w:rPr>
          <w:rFonts w:ascii="Arial" w:cs="Arial" w:eastAsia="Arial" w:hAnsi="Arial"/>
          <w:sz w:val="16"/>
          <w:szCs w:val="16"/>
          <w:b w:val="1"/>
          <w:bCs w:val="1"/>
          <w:color w:val="auto"/>
        </w:rPr>
      </w:pPr>
    </w:p>
    <w:p>
      <w:pPr>
        <w:ind w:left="640" w:right="300" w:hanging="275"/>
        <w:spacing w:after="0" w:line="277" w:lineRule="auto"/>
        <w:tabs>
          <w:tab w:leader="none" w:pos="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any vacation accrued to the date of termination.</w:t>
      </w:r>
    </w:p>
    <w:p>
      <w:pPr>
        <w:spacing w:after="0" w:line="170" w:lineRule="exact"/>
        <w:rPr>
          <w:rFonts w:ascii="Arial" w:cs="Arial" w:eastAsia="Arial" w:hAnsi="Arial"/>
          <w:sz w:val="18"/>
          <w:szCs w:val="18"/>
          <w:color w:val="auto"/>
        </w:rPr>
      </w:pPr>
    </w:p>
    <w:p>
      <w:pPr>
        <w:ind w:left="640" w:right="660" w:hanging="325"/>
        <w:spacing w:after="0" w:line="277" w:lineRule="auto"/>
        <w:tabs>
          <w:tab w:leader="none" w:pos="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56" w:name="page57"/>
    <w:bookmarkEnd w:id="56"/>
    <w:p>
      <w:pPr>
        <w:ind w:right="80" w:firstLine="233"/>
        <w:spacing w:after="0" w:line="282" w:lineRule="auto"/>
        <w:tabs>
          <w:tab w:leader="none" w:pos="53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In the event that Employee’s employment is terminated by the Company pursuant to Section 5(e) for</w:t>
      </w:r>
      <w:r>
        <w:rPr>
          <w:rFonts w:ascii="Arial" w:cs="Arial" w:eastAsia="Arial" w:hAnsi="Arial"/>
          <w:sz w:val="18"/>
          <w:szCs w:val="18"/>
          <w:b w:val="1"/>
          <w:bCs w:val="1"/>
          <w:color w:val="auto"/>
        </w:rPr>
        <w:t xml:space="preserve"> </w:t>
      </w:r>
      <w:r>
        <w:rPr>
          <w:rFonts w:ascii="Arial" w:cs="Arial" w:eastAsia="Arial" w:hAnsi="Arial"/>
          <w:sz w:val="18"/>
          <w:szCs w:val="18"/>
          <w:color w:val="auto"/>
        </w:rPr>
        <w:t>reasons other than death, Total Disability or Cause, the Company shall pay the following amounts to Employee:</w:t>
      </w:r>
    </w:p>
    <w:p>
      <w:pPr>
        <w:spacing w:after="0" w:line="165" w:lineRule="exact"/>
        <w:rPr>
          <w:rFonts w:ascii="Arial" w:cs="Arial" w:eastAsia="Arial" w:hAnsi="Arial"/>
          <w:sz w:val="18"/>
          <w:szCs w:val="18"/>
          <w:b w:val="1"/>
          <w:bCs w:val="1"/>
          <w:color w:val="auto"/>
        </w:rPr>
      </w:pPr>
    </w:p>
    <w:p>
      <w:pPr>
        <w:ind w:left="720" w:right="300" w:hanging="274"/>
        <w:spacing w:after="0" w:line="277" w:lineRule="auto"/>
        <w:tabs>
          <w:tab w:leader="none" w:pos="7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any vacation accrued to the date of termination.</w:t>
      </w:r>
    </w:p>
    <w:p>
      <w:pPr>
        <w:spacing w:after="0" w:line="170" w:lineRule="exact"/>
        <w:rPr>
          <w:rFonts w:ascii="Arial" w:cs="Arial" w:eastAsia="Arial" w:hAnsi="Arial"/>
          <w:sz w:val="18"/>
          <w:szCs w:val="18"/>
          <w:color w:val="auto"/>
        </w:rPr>
      </w:pPr>
    </w:p>
    <w:p>
      <w:pPr>
        <w:ind w:left="720" w:right="660" w:hanging="324"/>
        <w:spacing w:after="0" w:line="277" w:lineRule="auto"/>
        <w:tabs>
          <w:tab w:leader="none" w:pos="7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0" w:lineRule="exact"/>
        <w:rPr>
          <w:rFonts w:ascii="Arial" w:cs="Arial" w:eastAsia="Arial" w:hAnsi="Arial"/>
          <w:sz w:val="18"/>
          <w:szCs w:val="18"/>
          <w:color w:val="auto"/>
        </w:rPr>
      </w:pPr>
    </w:p>
    <w:p>
      <w:pPr>
        <w:ind w:left="720" w:right="160" w:hanging="374"/>
        <w:spacing w:after="0" w:line="297" w:lineRule="auto"/>
        <w:tabs>
          <w:tab w:leader="none" w:pos="7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Base Salary (at the rate in effect as of the date of Employee’s termination) which would have been payable to Employee if Employee had continued in active employment until the end of the twelve (12) month period beginning on the date of Employee’s termination. Payment shall be made at the same time and in the same manner as such compensation would have been paid if Employee had remained in active employment until the end of such period. The Employee shall also be eligible for a bonus or incentive compensation payment to the extent bonuses are paid to similarly situated employees, pro-rated for the year in which the Employee is terminated, and paid when similarly situated employees are paid.</w:t>
      </w:r>
    </w:p>
    <w:p>
      <w:pPr>
        <w:spacing w:after="0" w:line="158" w:lineRule="exact"/>
        <w:rPr>
          <w:rFonts w:ascii="Arial" w:cs="Arial" w:eastAsia="Arial" w:hAnsi="Arial"/>
          <w:sz w:val="16"/>
          <w:szCs w:val="16"/>
          <w:color w:val="auto"/>
        </w:rPr>
      </w:pPr>
    </w:p>
    <w:p>
      <w:pPr>
        <w:ind w:left="720" w:right="60" w:hanging="364"/>
        <w:spacing w:after="0" w:line="276" w:lineRule="auto"/>
        <w:tabs>
          <w:tab w:leader="none" w:pos="7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Company completely at its expense will continue for Employee and Employee’s spouse and dependents, group health plans, programs or arrangements, in which Employee was entitled to participate at any time during the twelve-month period prior to the date of termination, until the earlier of: (A) last day of period during which Employee receives payment in accordance with clause (iii) above; (B) Employee’s death (provided that benefits payable to Employee’s beneficiaries shall not terminate upon Employee’s death); or (C) with respect to any particular plan, program or arrangement, the date Employee becomes covered by a comparable benefit provided by a subsequent employer.</w:t>
      </w:r>
    </w:p>
    <w:p>
      <w:pPr>
        <w:spacing w:after="0" w:line="168" w:lineRule="exact"/>
        <w:rPr>
          <w:rFonts w:ascii="Arial" w:cs="Arial" w:eastAsia="Arial" w:hAnsi="Arial"/>
          <w:sz w:val="17"/>
          <w:szCs w:val="17"/>
          <w:color w:val="auto"/>
        </w:rPr>
      </w:pPr>
    </w:p>
    <w:p>
      <w:pPr>
        <w:jc w:val="both"/>
        <w:ind w:firstLine="233"/>
        <w:spacing w:after="0" w:line="314" w:lineRule="auto"/>
        <w:tabs>
          <w:tab w:leader="none" w:pos="515"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Benefits or Compensation. </w:t>
      </w:r>
      <w:r>
        <w:rPr>
          <w:rFonts w:ascii="Arial" w:cs="Arial" w:eastAsia="Arial" w:hAnsi="Arial"/>
          <w:sz w:val="16"/>
          <w:szCs w:val="16"/>
          <w:color w:val="auto"/>
        </w:rPr>
        <w:t>Except as may be provided under this Agreement, under the terms of any incentive compensation,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or fringe benefit plan applicable to Employee at the time of Employee’s termination or resignation of employment, Employee shall have no right to receive any other compensation, or to participate in any other plan, arrangement or benefit, with respect to future periods after such termination or resignation.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7" w:name="page58"/>
    <w:bookmarkEnd w:id="57"/>
    <w:p>
      <w:pPr>
        <w:ind w:right="600" w:firstLine="233"/>
        <w:spacing w:after="0" w:line="282" w:lineRule="auto"/>
        <w:tabs>
          <w:tab w:leader="none" w:pos="49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or Termination of Benefits and Compensation. </w:t>
      </w:r>
      <w:r>
        <w:rPr>
          <w:rFonts w:ascii="Arial" w:cs="Arial" w:eastAsia="Arial" w:hAnsi="Arial"/>
          <w:sz w:val="18"/>
          <w:szCs w:val="18"/>
          <w:color w:val="auto"/>
        </w:rPr>
        <w:t>In the event that the Company, in its sole discretion determines that,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express written consent, Employee has</w:t>
      </w:r>
    </w:p>
    <w:p>
      <w:pPr>
        <w:spacing w:after="0" w:line="165" w:lineRule="exact"/>
        <w:rPr>
          <w:rFonts w:ascii="Arial" w:cs="Arial" w:eastAsia="Arial" w:hAnsi="Arial"/>
          <w:sz w:val="18"/>
          <w:szCs w:val="18"/>
          <w:b w:val="1"/>
          <w:bCs w:val="1"/>
          <w:color w:val="auto"/>
        </w:rPr>
      </w:pPr>
    </w:p>
    <w:p>
      <w:pPr>
        <w:ind w:left="680" w:right="260" w:hanging="275"/>
        <w:spacing w:after="0" w:line="312" w:lineRule="auto"/>
        <w:tabs>
          <w:tab w:leader="none" w:pos="6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146" w:lineRule="exact"/>
        <w:rPr>
          <w:rFonts w:ascii="Arial" w:cs="Arial" w:eastAsia="Arial" w:hAnsi="Arial"/>
          <w:sz w:val="16"/>
          <w:szCs w:val="16"/>
          <w:color w:val="auto"/>
        </w:rPr>
      </w:pPr>
    </w:p>
    <w:p>
      <w:pPr>
        <w:ind w:left="680" w:hanging="325"/>
        <w:spacing w:after="0" w:line="255" w:lineRule="auto"/>
        <w:tabs>
          <w:tab w:leader="none" w:pos="6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Employee’s employment hereunder or during any of the twelve calendar months preceding or following the termination of Employee’s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19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Employee.</w:t>
      </w:r>
    </w:p>
    <w:p>
      <w:pPr>
        <w:spacing w:after="0" w:line="93" w:lineRule="exact"/>
        <w:rPr>
          <w:sz w:val="20"/>
          <w:szCs w:val="20"/>
          <w:color w:val="auto"/>
        </w:rPr>
      </w:pPr>
    </w:p>
    <w:p>
      <w:pPr>
        <w:ind w:left="600" w:hanging="367"/>
        <w:spacing w:after="0"/>
        <w:tabs>
          <w:tab w:leader="none" w:pos="6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189"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consideration of the specialized training Employee has received, the access Employee has had to confidential and proprietary information and other promises of the Company contained in this Agreement, Employee agrees as follows:</w:t>
      </w:r>
    </w:p>
    <w:p>
      <w:pPr>
        <w:spacing w:after="0" w:line="126" w:lineRule="exact"/>
        <w:rPr>
          <w:sz w:val="20"/>
          <w:szCs w:val="20"/>
          <w:color w:val="auto"/>
        </w:rPr>
      </w:pPr>
    </w:p>
    <w:p>
      <w:pPr>
        <w:ind w:right="60" w:firstLine="233"/>
        <w:spacing w:after="0" w:line="255" w:lineRule="auto"/>
        <w:tabs>
          <w:tab w:leader="none" w:pos="52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Competitive Activity. </w:t>
      </w:r>
      <w:r>
        <w:rPr>
          <w:rFonts w:ascii="Arial" w:cs="Arial" w:eastAsia="Arial" w:hAnsi="Arial"/>
          <w:sz w:val="18"/>
          <w:szCs w:val="18"/>
          <w:color w:val="auto"/>
        </w:rPr>
        <w:t>Employee covenants and agrees that at all times during Employee’s period of employment with the Company, and while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is receiving payments pursuant to Section 6 of this Agreement, Employee will not, directly or indirectly,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Furthermore, for a period of one (1) year after the date of termination of Employee’s employment, whether such termination is voluntary or involuntary, by wrongful discharge, or otherwise, or</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58" w:name="page59"/>
    <w:bookmarkEnd w:id="58"/>
    <w:p>
      <w:pPr>
        <w:ind w:right="40"/>
        <w:spacing w:after="0" w:line="254" w:lineRule="auto"/>
        <w:rPr>
          <w:sz w:val="20"/>
          <w:szCs w:val="20"/>
          <w:color w:val="auto"/>
        </w:rPr>
      </w:pPr>
      <w:r>
        <w:rPr>
          <w:rFonts w:ascii="Arial" w:cs="Arial" w:eastAsia="Arial" w:hAnsi="Arial"/>
          <w:sz w:val="18"/>
          <w:szCs w:val="18"/>
          <w:color w:val="auto"/>
        </w:rPr>
        <w:t>one (1) year following the cessation of payments made pursuant to Section 6 of this Agreement, whichever date is later, Employee will not directly or indirectly, within 75 miles of the principal place of business of the Company, the principal place of business of any corporation or other entity owned, controlled by (or otherwise affiliated with) the Company by which Employee may also be employed or served by Employee, or any other geographic location in which Employee has specifically represented the interests of the Company or such other affiliated entity, during the twelve (12) months prior to the termination of Employee’s employment,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w:t>
      </w:r>
    </w:p>
    <w:p>
      <w:pPr>
        <w:spacing w:after="0" w:line="161" w:lineRule="exact"/>
        <w:rPr>
          <w:sz w:val="20"/>
          <w:szCs w:val="20"/>
          <w:color w:val="auto"/>
        </w:rPr>
      </w:pPr>
    </w:p>
    <w:p>
      <w:pPr>
        <w:ind w:firstLine="233"/>
        <w:spacing w:after="0" w:line="270" w:lineRule="auto"/>
        <w:tabs>
          <w:tab w:leader="none" w:pos="535"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Non-Solicitation. </w:t>
      </w:r>
      <w:r>
        <w:rPr>
          <w:rFonts w:ascii="Arial" w:cs="Arial" w:eastAsia="Arial" w:hAnsi="Arial"/>
          <w:sz w:val="17"/>
          <w:szCs w:val="17"/>
          <w:color w:val="auto"/>
        </w:rPr>
        <w:t>Employee covenants and agrees that at all times during Employee’s period of employment with the Company, and for a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one (1) year after the date of termination of Employee’s employment, whether such termination is voluntary or involuntary, by wrongful discharge, or otherwise, or the date of the cessation of payments made to the Employee pursuant to Section 6 of this Agreement, whichever is later, Employee will not directly or indirectly (i) induce any customers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of through any person, firm, association or corporation with which Employee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the prior written consent of the Company.</w:t>
      </w:r>
    </w:p>
    <w:p>
      <w:pPr>
        <w:spacing w:after="0" w:line="137" w:lineRule="exact"/>
        <w:rPr>
          <w:rFonts w:ascii="Arial" w:cs="Arial" w:eastAsia="Arial" w:hAnsi="Arial"/>
          <w:sz w:val="17"/>
          <w:szCs w:val="17"/>
          <w:b w:val="1"/>
          <w:bCs w:val="1"/>
          <w:color w:val="auto"/>
        </w:rPr>
      </w:pPr>
    </w:p>
    <w:p>
      <w:pPr>
        <w:ind w:right="320" w:firstLine="233"/>
        <w:spacing w:after="0" w:line="261" w:lineRule="auto"/>
        <w:tabs>
          <w:tab w:leader="none" w:pos="51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Employee covenants and agrees that Employee shall not engage in any pattern of conduct that involves the making or</w:t>
      </w:r>
      <w:r>
        <w:rPr>
          <w:rFonts w:ascii="Arial" w:cs="Arial" w:eastAsia="Arial" w:hAnsi="Arial"/>
          <w:sz w:val="18"/>
          <w:szCs w:val="18"/>
          <w:b w:val="1"/>
          <w:bCs w:val="1"/>
          <w:color w:val="auto"/>
        </w:rPr>
        <w:t xml:space="preserve"> </w:t>
      </w:r>
      <w:r>
        <w:rPr>
          <w:rFonts w:ascii="Arial" w:cs="Arial" w:eastAsia="Arial" w:hAnsi="Arial"/>
          <w:sz w:val="18"/>
          <w:szCs w:val="18"/>
          <w:color w:val="auto"/>
        </w:rPr>
        <w:t>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management of corporations affiliated with the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firstLine="233"/>
        <w:spacing w:after="0" w:line="272" w:lineRule="auto"/>
        <w:tabs>
          <w:tab w:leader="none" w:pos="535"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Protected Information. </w:t>
      </w:r>
      <w:r>
        <w:rPr>
          <w:rFonts w:ascii="Arial" w:cs="Arial" w:eastAsia="Arial" w:hAnsi="Arial"/>
          <w:sz w:val="17"/>
          <w:szCs w:val="17"/>
          <w:color w:val="auto"/>
        </w:rPr>
        <w:t>Employee recognizes and acknowledges that Employee has had and will continue to have access to various confidential or</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 Employee therefore covenants and agrees that Employee will not at any time, either while employed by the Company or afterwards, knowingly make any independent use of, knowingly disclose to any other person or organization (except as authorized by the Company) any of the Protected Information.</w:t>
      </w:r>
    </w:p>
    <w:p>
      <w:pPr>
        <w:spacing w:after="0" w:line="145" w:lineRule="exact"/>
        <w:rPr>
          <w:sz w:val="20"/>
          <w:szCs w:val="20"/>
          <w:color w:val="auto"/>
        </w:rPr>
      </w:pPr>
    </w:p>
    <w:p>
      <w:pPr>
        <w:ind w:left="600" w:hanging="367"/>
        <w:spacing w:after="0"/>
        <w:tabs>
          <w:tab w:leader="none" w:pos="6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Covenants.</w:t>
      </w:r>
    </w:p>
    <w:p>
      <w:pPr>
        <w:spacing w:after="0" w:line="185" w:lineRule="exact"/>
        <w:rPr>
          <w:sz w:val="20"/>
          <w:szCs w:val="20"/>
          <w:color w:val="auto"/>
        </w:rPr>
      </w:pPr>
    </w:p>
    <w:p>
      <w:pPr>
        <w:jc w:val="both"/>
        <w:ind w:right="20" w:firstLine="233"/>
        <w:spacing w:after="0" w:line="261" w:lineRule="auto"/>
        <w:tabs>
          <w:tab w:leader="none" w:pos="525"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and Forfeiture of Compensation. </w:t>
      </w:r>
      <w:r>
        <w:rPr>
          <w:rFonts w:ascii="Arial" w:cs="Arial" w:eastAsia="Arial" w:hAnsi="Arial"/>
          <w:sz w:val="18"/>
          <w:szCs w:val="18"/>
          <w:color w:val="auto"/>
        </w:rPr>
        <w:t>Employee agrees that any breach by Employee of any of the covenants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hereof during Employee’s employment by the Company, shall be grounds for immediate dismissal of Employee and forfeiture of any accrued and unpaid salary, bonus, commissions or other compensation of such Employee as liquidated damages, which shall be in addition to and not exclusive of any and all other rights and remedies the Company may have against Employee.</w:t>
      </w:r>
    </w:p>
    <w:p>
      <w:pPr>
        <w:spacing w:after="0" w:line="139" w:lineRule="exact"/>
        <w:rPr>
          <w:rFonts w:ascii="Arial" w:cs="Arial" w:eastAsia="Arial" w:hAnsi="Arial"/>
          <w:sz w:val="18"/>
          <w:szCs w:val="18"/>
          <w:b w:val="1"/>
          <w:bCs w:val="1"/>
          <w:color w:val="auto"/>
        </w:rPr>
      </w:pPr>
    </w:p>
    <w:p>
      <w:pPr>
        <w:ind w:left="540" w:hanging="307"/>
        <w:spacing w:after="0"/>
        <w:tabs>
          <w:tab w:leader="none" w:pos="540" w:val="left"/>
        </w:tabs>
        <w:numPr>
          <w:ilvl w:val="1"/>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 to Injunction. </w:t>
      </w:r>
      <w:r>
        <w:rPr>
          <w:rFonts w:ascii="Arial" w:cs="Arial" w:eastAsia="Arial" w:hAnsi="Arial"/>
          <w:sz w:val="17"/>
          <w:szCs w:val="17"/>
          <w:color w:val="auto"/>
        </w:rPr>
        <w:t>Employee acknowledges that a breach of the covenants set forth in Section 7 hereof will cause irreparable damage to the</w:t>
      </w:r>
    </w:p>
    <w:p>
      <w:pPr>
        <w:spacing w:after="0" w:line="38" w:lineRule="exact"/>
        <w:rPr>
          <w:rFonts w:ascii="Arial" w:cs="Arial" w:eastAsia="Arial" w:hAnsi="Arial"/>
          <w:sz w:val="17"/>
          <w:szCs w:val="17"/>
          <w:b w:val="1"/>
          <w:bCs w:val="1"/>
          <w:color w:val="auto"/>
        </w:rPr>
      </w:pPr>
    </w:p>
    <w:p>
      <w:pPr>
        <w:ind w:right="2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Company with respect to which the Company’s remedy at law for damages will be inadequate. Therefore, in the event of breach of anticipatory breach of the covenants set forth in this section by Employee, Employee and the Company agree that the Company shall be entitled to the following particular forms of relief, in addition to remedies otherwise available to it at law or equity; (i) injunctions, both preliminary and permanent, enjoining or retraining such breach or anticipatory breach and Employee hereby consents to the issuance thereof forthwith and without bond by any court of competent jurisdiction; and</w:t>
      </w:r>
    </w:p>
    <w:p>
      <w:pPr>
        <w:spacing w:after="0" w:line="2" w:lineRule="exact"/>
        <w:rPr>
          <w:rFonts w:ascii="Arial" w:cs="Arial" w:eastAsia="Arial" w:hAnsi="Arial"/>
          <w:sz w:val="17"/>
          <w:szCs w:val="17"/>
          <w:b w:val="1"/>
          <w:bCs w:val="1"/>
          <w:color w:val="auto"/>
        </w:rPr>
      </w:pPr>
    </w:p>
    <w:p>
      <w:pPr>
        <w:ind w:right="180" w:firstLine="8"/>
        <w:spacing w:after="0" w:line="261" w:lineRule="auto"/>
        <w:tabs>
          <w:tab w:leader="none" w:pos="2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recovery of all reasonable sums expended and costs, including reasonable attorney’s fees, incurred by the Company to enforce the covenants set forth in this section.</w:t>
      </w:r>
    </w:p>
    <w:p>
      <w:pPr>
        <w:spacing w:after="0" w:line="152" w:lineRule="exact"/>
        <w:rPr>
          <w:rFonts w:ascii="Arial" w:cs="Arial" w:eastAsia="Arial" w:hAnsi="Arial"/>
          <w:sz w:val="18"/>
          <w:szCs w:val="18"/>
          <w:color w:val="auto"/>
        </w:rPr>
      </w:pPr>
    </w:p>
    <w:p>
      <w:pPr>
        <w:ind w:right="60" w:firstLine="233"/>
        <w:spacing w:after="0" w:line="266" w:lineRule="auto"/>
        <w:tabs>
          <w:tab w:leader="none" w:pos="515"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of Covenants. </w:t>
      </w:r>
      <w:r>
        <w:rPr>
          <w:rFonts w:ascii="Arial" w:cs="Arial" w:eastAsia="Arial" w:hAnsi="Arial"/>
          <w:sz w:val="18"/>
          <w:szCs w:val="18"/>
          <w:color w:val="auto"/>
        </w:rPr>
        <w:t>The covenants contained in Section 7 hereof constitute a series of separate covenants, one for each applicable State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and the District of Columbia, and one for each applicable foreign country. If in any judicial proceeding, a court shall hold that any of the covenants set forth in Section 7 exceed the time, geographic, or occupational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60" w:name="page61"/>
    <w:bookmarkEnd w:id="60"/>
    <w:p>
      <w:pPr>
        <w:ind w:right="160"/>
        <w:spacing w:after="0" w:line="272" w:lineRule="auto"/>
        <w:rPr>
          <w:sz w:val="20"/>
          <w:szCs w:val="20"/>
          <w:color w:val="auto"/>
        </w:rPr>
      </w:pPr>
      <w:r>
        <w:rPr>
          <w:rFonts w:ascii="Arial" w:cs="Arial" w:eastAsia="Arial" w:hAnsi="Arial"/>
          <w:sz w:val="17"/>
          <w:szCs w:val="17"/>
          <w:color w:val="auto"/>
        </w:rPr>
        <w:t>limitations permitted by applicable laws, Employee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Employee and the Company further agree that the covenants in Section 7 shall each be construed as a separate agreement independent of any other provisions of this Agreement, and the existence of any claim or cause of action by Employee against the Company whether predicated on this Agreement or otherwise, shall not constitute a defense to the enforcement by the Company of any of the covenants of Section 7.</w:t>
      </w:r>
    </w:p>
    <w:p>
      <w:pPr>
        <w:spacing w:after="0" w:line="147" w:lineRule="exact"/>
        <w:rPr>
          <w:sz w:val="20"/>
          <w:szCs w:val="20"/>
          <w:color w:val="auto"/>
        </w:rPr>
      </w:pPr>
    </w:p>
    <w:p>
      <w:pPr>
        <w:ind w:left="600" w:hanging="367"/>
        <w:spacing w:after="0"/>
        <w:tabs>
          <w:tab w:leader="none" w:pos="6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192" w:lineRule="exact"/>
        <w:rPr>
          <w:sz w:val="20"/>
          <w:szCs w:val="20"/>
          <w:color w:val="auto"/>
        </w:rPr>
      </w:pPr>
    </w:p>
    <w:p>
      <w:pPr>
        <w:ind w:left="680" w:hanging="447"/>
        <w:spacing w:after="0"/>
        <w:tabs>
          <w:tab w:leader="none" w:pos="6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Non-Disclosure of Agreement Terms.</w:t>
      </w:r>
    </w:p>
    <w:p>
      <w:pPr>
        <w:spacing w:after="0" w:line="20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Employee agrees that Employee will not disclose the terms of this Agreement to any third party other than Employee’s immediate family, attorney, accountants, or other consultants or advisors or except as may be required by any governmental authority.</w:t>
      </w:r>
    </w:p>
    <w:p>
      <w:pPr>
        <w:spacing w:after="0" w:line="126" w:lineRule="exact"/>
        <w:rPr>
          <w:sz w:val="20"/>
          <w:szCs w:val="20"/>
          <w:color w:val="auto"/>
        </w:rPr>
      </w:pPr>
    </w:p>
    <w:p>
      <w:pPr>
        <w:ind w:left="680" w:hanging="447"/>
        <w:spacing w:after="0"/>
        <w:tabs>
          <w:tab w:leader="none" w:pos="6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Payments.</w:t>
      </w:r>
    </w:p>
    <w:p>
      <w:pPr>
        <w:spacing w:after="0" w:line="189"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Employee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57" w:lineRule="exact"/>
        <w:rPr>
          <w:sz w:val="20"/>
          <w:szCs w:val="20"/>
          <w:color w:val="auto"/>
        </w:rPr>
      </w:pPr>
    </w:p>
    <w:p>
      <w:pPr>
        <w:ind w:left="680" w:hanging="447"/>
        <w:spacing w:after="0"/>
        <w:tabs>
          <w:tab w:leader="none" w:pos="6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8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Except as otherwise provided in this Agreement, this Agreement shall inure to the benefit of and be binding upon the parties hereto and their respective heirs, representatives, successors and assigns. This Agreement shall not be assignable by Employee.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1" w:name="page62"/>
    <w:bookmarkEnd w:id="61"/>
    <w:p>
      <w:pPr>
        <w:ind w:left="680" w:hanging="447"/>
        <w:spacing w:after="0"/>
        <w:tabs>
          <w:tab w:leader="none" w:pos="6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Amendment.</w:t>
      </w:r>
    </w:p>
    <w:p>
      <w:pPr>
        <w:spacing w:after="0" w:line="20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Employee and the Company or any of its subsidiaries or affiliated entities relating to the terms of Employee’s employment by the Company. It may not be amended except by a written agreement signed by both parties.</w:t>
      </w:r>
    </w:p>
    <w:p>
      <w:pPr>
        <w:spacing w:after="0" w:line="137" w:lineRule="exact"/>
        <w:rPr>
          <w:sz w:val="20"/>
          <w:szCs w:val="20"/>
          <w:color w:val="auto"/>
        </w:rPr>
      </w:pPr>
    </w:p>
    <w:p>
      <w:pPr>
        <w:ind w:left="680" w:hanging="447"/>
        <w:spacing w:after="0"/>
        <w:tabs>
          <w:tab w:leader="none" w:pos="6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89"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139" w:lineRule="exact"/>
        <w:rPr>
          <w:sz w:val="20"/>
          <w:szCs w:val="20"/>
          <w:color w:val="auto"/>
        </w:rPr>
      </w:pPr>
    </w:p>
    <w:p>
      <w:pPr>
        <w:ind w:left="680" w:hanging="447"/>
        <w:spacing w:after="0"/>
        <w:tabs>
          <w:tab w:leader="none" w:pos="6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89"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420"/>
          </w:cols>
          <w:pgMar w:left="240" w:top="932" w:right="239" w:bottom="1440" w:gutter="0" w:footer="0" w:header="0"/>
        </w:sectPr>
      </w:pPr>
    </w:p>
    <w:p>
      <w:pPr>
        <w:spacing w:after="0" w:line="357"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200" w:lineRule="exact"/>
        <w:rPr>
          <w:sz w:val="20"/>
          <w:szCs w:val="20"/>
          <w:color w:val="auto"/>
        </w:rPr>
      </w:pPr>
    </w:p>
    <w:p>
      <w:pPr>
        <w:sectPr>
          <w:pgSz w:w="11900" w:h="16838" w:orient="portrait"/>
          <w:cols w:equalWidth="0" w:num="2">
            <w:col w:w="4060" w:space="720"/>
            <w:col w:w="6640"/>
          </w:cols>
          <w:pgMar w:left="240" w:top="932" w:right="239" w:bottom="1440" w:gutter="0" w:footer="0" w:header="0"/>
          <w:type w:val="continuous"/>
        </w:sectPr>
      </w:pPr>
    </w:p>
    <w:p>
      <w:pPr>
        <w:spacing w:after="0" w:line="34"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To Employee: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 the address for Employee set forth below.</w:t>
      </w:r>
    </w:p>
    <w:p>
      <w:pPr>
        <w:spacing w:after="0" w:line="200" w:lineRule="exact"/>
        <w:rPr>
          <w:sz w:val="20"/>
          <w:szCs w:val="20"/>
          <w:color w:val="auto"/>
        </w:rPr>
      </w:pPr>
    </w:p>
    <w:p>
      <w:pPr>
        <w:sectPr>
          <w:pgSz w:w="11900" w:h="16838" w:orient="portrait"/>
          <w:cols w:equalWidth="0" w:num="2">
            <w:col w:w="4060" w:space="720"/>
            <w:col w:w="6640"/>
          </w:cols>
          <w:pgMar w:left="240" w:top="932" w:right="239" w:bottom="1440" w:gutter="0" w:footer="0" w:header="0"/>
          <w:type w:val="continuous"/>
        </w:sectPr>
      </w:pPr>
    </w:p>
    <w:p>
      <w:pPr>
        <w:spacing w:after="0" w:line="17" w:lineRule="exact"/>
        <w:rPr>
          <w:sz w:val="20"/>
          <w:szCs w:val="20"/>
          <w:color w:val="auto"/>
        </w:rPr>
      </w:pPr>
    </w:p>
    <w:p>
      <w:pPr>
        <w:ind w:left="680" w:hanging="447"/>
        <w:spacing w:after="0"/>
        <w:tabs>
          <w:tab w:leader="none" w:pos="6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85" w:lineRule="exact"/>
        <w:rPr>
          <w:sz w:val="20"/>
          <w:szCs w:val="20"/>
          <w:color w:val="auto"/>
        </w:rPr>
      </w:pPr>
    </w:p>
    <w:p>
      <w:pPr>
        <w:ind w:firstLine="233"/>
        <w:spacing w:after="0" w:line="282" w:lineRule="auto"/>
        <w:tabs>
          <w:tab w:leader="none" w:pos="52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121" w:lineRule="exact"/>
        <w:rPr>
          <w:rFonts w:ascii="Arial" w:cs="Arial" w:eastAsia="Arial" w:hAnsi="Arial"/>
          <w:sz w:val="18"/>
          <w:szCs w:val="18"/>
          <w:b w:val="1"/>
          <w:bCs w:val="1"/>
          <w:color w:val="auto"/>
        </w:rPr>
      </w:pPr>
    </w:p>
    <w:p>
      <w:pPr>
        <w:ind w:right="260" w:firstLine="233"/>
        <w:spacing w:after="0" w:line="266" w:lineRule="auto"/>
        <w:tabs>
          <w:tab w:leader="none" w:pos="53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8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o be enforceable, such term or provision shall immediately become null and void, leaving the remainder of this Agreement in full force and effect.</w:t>
      </w:r>
    </w:p>
    <w:p>
      <w:pPr>
        <w:spacing w:after="0" w:line="149" w:lineRule="exact"/>
        <w:rPr>
          <w:rFonts w:ascii="Arial" w:cs="Arial" w:eastAsia="Arial" w:hAnsi="Arial"/>
          <w:sz w:val="18"/>
          <w:szCs w:val="18"/>
          <w:b w:val="1"/>
          <w:bCs w:val="1"/>
          <w:color w:val="auto"/>
        </w:rPr>
      </w:pPr>
    </w:p>
    <w:p>
      <w:pPr>
        <w:ind w:left="520" w:hanging="287"/>
        <w:spacing w:after="0"/>
        <w:tabs>
          <w:tab w:leader="none" w:pos="52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211" w:lineRule="exact"/>
        <w:rPr>
          <w:rFonts w:ascii="Arial" w:cs="Arial" w:eastAsia="Arial" w:hAnsi="Arial"/>
          <w:sz w:val="16"/>
          <w:szCs w:val="16"/>
          <w:b w:val="1"/>
          <w:bCs w:val="1"/>
          <w:color w:val="auto"/>
        </w:rPr>
      </w:pPr>
    </w:p>
    <w:p>
      <w:pPr>
        <w:ind w:left="5220"/>
        <w:spacing w:after="0"/>
        <w:rPr>
          <w:rFonts w:ascii="Arial" w:cs="Arial" w:eastAsia="Arial" w:hAnsi="Arial"/>
          <w:sz w:val="16"/>
          <w:szCs w:val="16"/>
          <w:b w:val="1"/>
          <w:bCs w:val="1"/>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62" w:name="page63"/>
    <w:bookmarkEnd w:id="62"/>
    <w:p>
      <w:pPr>
        <w:ind w:left="540" w:hanging="307"/>
        <w:spacing w:after="0"/>
        <w:tabs>
          <w:tab w:leader="none" w:pos="54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Rules of Construction. </w:t>
      </w:r>
      <w:r>
        <w:rPr>
          <w:rFonts w:ascii="Arial" w:cs="Arial" w:eastAsia="Arial" w:hAnsi="Arial"/>
          <w:sz w:val="17"/>
          <w:szCs w:val="17"/>
          <w:color w:val="auto"/>
        </w:rPr>
        <w:t>Whenever the context so requires, the use of the singular shall be deemed to include the plural and vice versa.</w:t>
      </w:r>
    </w:p>
    <w:p>
      <w:pPr>
        <w:spacing w:after="0" w:line="209" w:lineRule="exact"/>
        <w:rPr>
          <w:rFonts w:ascii="Arial" w:cs="Arial" w:eastAsia="Arial" w:hAnsi="Arial"/>
          <w:sz w:val="17"/>
          <w:szCs w:val="17"/>
          <w:b w:val="1"/>
          <w:bCs w:val="1"/>
          <w:color w:val="auto"/>
        </w:rPr>
      </w:pPr>
    </w:p>
    <w:p>
      <w:pPr>
        <w:ind w:firstLine="233"/>
        <w:spacing w:after="0" w:line="282" w:lineRule="auto"/>
        <w:tabs>
          <w:tab w:leader="none" w:pos="515"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counterparts will together constitute but one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39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46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J. Piller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23495</wp:posOffset>
            </wp:positionV>
            <wp:extent cx="32327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4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23495</wp:posOffset>
            </wp:positionV>
            <wp:extent cx="32327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23495</wp:posOffset>
            </wp:positionV>
            <wp:extent cx="32327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4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23495</wp:posOffset>
            </wp:positionV>
            <wp:extent cx="32327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4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23495</wp:posOffset>
            </wp:positionV>
            <wp:extent cx="37820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46" w:lineRule="exact"/>
        <w:rPr>
          <w:sz w:val="20"/>
          <w:szCs w:val="20"/>
          <w:color w:val="auto"/>
        </w:rPr>
      </w:pPr>
    </w:p>
    <w:p>
      <w:pPr>
        <w:ind w:left="5460"/>
        <w:spacing w:after="0"/>
        <w:tabs>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17,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23495</wp:posOffset>
            </wp:positionV>
            <wp:extent cx="32327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4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23495</wp:posOffset>
            </wp:positionV>
            <wp:extent cx="32327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2785"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186690</wp:posOffset>
            </wp:positionV>
            <wp:extent cx="37820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Page 11 of 11</w:t>
      </w:r>
    </w:p>
    <w:p>
      <w:pPr>
        <w:sectPr>
          <w:pgSz w:w="11900" w:h="16838" w:orient="portrait"/>
          <w:cols w:equalWidth="0" w:num="1">
            <w:col w:w="11040"/>
          </w:cols>
          <w:pgMar w:left="240" w:top="931" w:right="61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8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WASTE MANAGEMENT, INC. </w:t>
      </w:r>
      <w:r>
        <w:rPr>
          <w:rFonts w:ascii="Arial" w:cs="Arial" w:eastAsia="Arial" w:hAnsi="Arial"/>
          <w:sz w:val="18"/>
          <w:szCs w:val="18"/>
          <w:color w:val="auto"/>
        </w:rPr>
        <w:t>(the “Company”), and</w:t>
      </w:r>
      <w:r>
        <w:rPr>
          <w:rFonts w:ascii="Arial" w:cs="Arial" w:eastAsia="Arial" w:hAnsi="Arial"/>
          <w:sz w:val="18"/>
          <w:szCs w:val="18"/>
          <w:b w:val="1"/>
          <w:bCs w:val="1"/>
          <w:color w:val="auto"/>
        </w:rPr>
        <w:t xml:space="preserve"> Greg A Robertson </w:t>
      </w:r>
      <w:r>
        <w:rPr>
          <w:rFonts w:ascii="Arial" w:cs="Arial" w:eastAsia="Arial" w:hAnsi="Arial"/>
          <w:sz w:val="18"/>
          <w:szCs w:val="18"/>
          <w:color w:val="auto"/>
        </w:rPr>
        <w:t>(the “Employee”) hereby enter into this EMPLOYMENT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dated as of </w:t>
      </w:r>
      <w:r>
        <w:rPr>
          <w:rFonts w:ascii="Arial" w:cs="Arial" w:eastAsia="Arial" w:hAnsi="Arial"/>
          <w:sz w:val="18"/>
          <w:szCs w:val="18"/>
          <w:b w:val="1"/>
          <w:bCs w:val="1"/>
          <w:color w:val="auto"/>
        </w:rPr>
        <w:t>August 1, 2003</w:t>
      </w:r>
      <w:r>
        <w:rPr>
          <w:rFonts w:ascii="Arial" w:cs="Arial" w:eastAsia="Arial" w:hAnsi="Arial"/>
          <w:sz w:val="18"/>
          <w:szCs w:val="18"/>
          <w:color w:val="auto"/>
        </w:rPr>
        <w:t>,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Employment.</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shall employ Employee, and Employee shall be employed by the Company upon the terms and subject to the conditions set forth in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Term of Employment.</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period of Employee’s employment under this Agreement shall begin as of August 1, 2003, and shall continue for a period of one (1) year thereafter (the “Employment Term”), unless terminated pursuant to the terms of this Agreement. Employment beyond the Employment Term shall continue thereafter in accordance with the terms hereof, unless terminated pursuant to the terms of Sections 5 and 6 of this Agreement.</w:t>
      </w:r>
    </w:p>
    <w:p>
      <w:pPr>
        <w:spacing w:after="0" w:line="177"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Responsibilities.</w:t>
      </w:r>
    </w:p>
    <w:p>
      <w:pPr>
        <w:spacing w:after="0" w:line="229" w:lineRule="exact"/>
        <w:rPr>
          <w:rFonts w:ascii="Arial" w:cs="Arial" w:eastAsia="Arial" w:hAnsi="Arial"/>
          <w:sz w:val="18"/>
          <w:szCs w:val="18"/>
          <w:b w:val="1"/>
          <w:bCs w:val="1"/>
          <w:color w:val="auto"/>
        </w:rPr>
      </w:pPr>
    </w:p>
    <w:p>
      <w:pPr>
        <w:ind w:left="340" w:right="260" w:hanging="312"/>
        <w:spacing w:after="0" w:line="277" w:lineRule="auto"/>
        <w:tabs>
          <w:tab w:leader="none" w:pos="34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Employee shall serve as Vice President, Assistant Controller, and shall be based at the Company’s corporate offices in Houston, Texas. Employee will report to SVP, Chief Accounting Officer, or as assigned by SVP, Chief Accounting Officer.</w:t>
      </w:r>
    </w:p>
    <w:p>
      <w:pPr>
        <w:spacing w:after="0" w:line="170" w:lineRule="exact"/>
        <w:rPr>
          <w:rFonts w:ascii="Arial" w:cs="Arial" w:eastAsia="Arial" w:hAnsi="Arial"/>
          <w:sz w:val="18"/>
          <w:szCs w:val="18"/>
          <w:b w:val="1"/>
          <w:bCs w:val="1"/>
          <w:color w:val="auto"/>
        </w:rPr>
      </w:pPr>
    </w:p>
    <w:p>
      <w:pPr>
        <w:ind w:left="340" w:right="240" w:hanging="322"/>
        <w:spacing w:after="0" w:line="259" w:lineRule="auto"/>
        <w:tabs>
          <w:tab w:leader="none" w:pos="34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Employee shall faithfully serve the Company, and/or its affiliated corporations, devote Employee’s full working time, attention and energies to the business of the Company, and/or its affiliated corporations, and perform the duties under this Agreement to the best of Employee’s abilities. Employee may make and manage his personal investments, provided such investments in other activities do not violate, in any material respect, the provisions of Section 8 of this Agreement.</w:t>
      </w:r>
    </w:p>
    <w:p>
      <w:pPr>
        <w:spacing w:after="0" w:line="186" w:lineRule="exact"/>
        <w:rPr>
          <w:rFonts w:ascii="Arial" w:cs="Arial" w:eastAsia="Arial" w:hAnsi="Arial"/>
          <w:sz w:val="18"/>
          <w:szCs w:val="18"/>
          <w:b w:val="1"/>
          <w:bCs w:val="1"/>
          <w:color w:val="auto"/>
        </w:rPr>
      </w:pPr>
    </w:p>
    <w:p>
      <w:pPr>
        <w:ind w:left="340" w:right="20" w:hanging="302"/>
        <w:spacing w:after="0" w:line="264" w:lineRule="auto"/>
        <w:tabs>
          <w:tab w:leader="none" w:pos="34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Employee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77" w:lineRule="exact"/>
        <w:rPr>
          <w:rFonts w:ascii="Arial" w:cs="Arial" w:eastAsia="Arial" w:hAnsi="Arial"/>
          <w:sz w:val="18"/>
          <w:szCs w:val="18"/>
          <w:b w:val="1"/>
          <w:bCs w:val="1"/>
          <w:color w:val="auto"/>
        </w:rPr>
      </w:pPr>
    </w:p>
    <w:p>
      <w:pPr>
        <w:ind w:left="260" w:hanging="252"/>
        <w:spacing w:after="0"/>
        <w:tabs>
          <w:tab w:leader="none" w:pos="2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225" w:lineRule="exact"/>
        <w:rPr>
          <w:rFonts w:ascii="Arial" w:cs="Arial" w:eastAsia="Arial" w:hAnsi="Arial"/>
          <w:sz w:val="18"/>
          <w:szCs w:val="18"/>
          <w:b w:val="1"/>
          <w:bCs w:val="1"/>
          <w:color w:val="auto"/>
        </w:rPr>
      </w:pPr>
    </w:p>
    <w:p>
      <w:pPr>
        <w:ind w:left="340" w:right="180" w:hanging="312"/>
        <w:spacing w:after="0" w:line="289" w:lineRule="auto"/>
        <w:tabs>
          <w:tab w:leader="none" w:pos="340" w:val="left"/>
        </w:tabs>
        <w:numPr>
          <w:ilvl w:val="1"/>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During the Employment Term, the Company shall pay Employee an annual base salary of no less than ONE HUNDRED-NINETY NINE</w:t>
      </w:r>
      <w:r>
        <w:rPr>
          <w:rFonts w:ascii="Arial" w:cs="Arial" w:eastAsia="Arial" w:hAnsi="Arial"/>
          <w:sz w:val="17"/>
          <w:szCs w:val="17"/>
          <w:b w:val="1"/>
          <w:bCs w:val="1"/>
          <w:color w:val="auto"/>
        </w:rPr>
        <w:t xml:space="preserve"> </w:t>
      </w:r>
      <w:r>
        <w:rPr>
          <w:rFonts w:ascii="Arial" w:cs="Arial" w:eastAsia="Arial" w:hAnsi="Arial"/>
          <w:sz w:val="17"/>
          <w:szCs w:val="17"/>
          <w:color w:val="auto"/>
        </w:rPr>
        <w:t>THOUSAND, FIVE HUNDRED DOLLARS ($199,500.00) per year, or such higher rate as may be determined from time to time by the Company (“Base Salary”). Such Base Salary shall be paid in accordance with the Company’s standard payroll practice for Employees.</w:t>
      </w:r>
    </w:p>
    <w:p>
      <w:pPr>
        <w:spacing w:after="0" w:line="158" w:lineRule="exact"/>
        <w:rPr>
          <w:rFonts w:ascii="Arial" w:cs="Arial" w:eastAsia="Arial" w:hAnsi="Arial"/>
          <w:sz w:val="17"/>
          <w:szCs w:val="17"/>
          <w:b w:val="1"/>
          <w:bCs w:val="1"/>
          <w:color w:val="auto"/>
        </w:rPr>
      </w:pPr>
    </w:p>
    <w:p>
      <w:pPr>
        <w:ind w:left="340" w:right="20" w:hanging="322"/>
        <w:spacing w:after="0" w:line="266" w:lineRule="auto"/>
        <w:tabs>
          <w:tab w:leader="none" w:pos="34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The Company shall promptly reimburse Employee for the ordinary and necessary business expenses incurred by Employee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of the duties hereunder in accordance with the Company’s customary practices applicable to Employees, provided that such expenses are incurred and accounted for in accordance with the Company’s policy.</w:t>
      </w:r>
    </w:p>
    <w:p>
      <w:pPr>
        <w:spacing w:after="0" w:line="176" w:lineRule="exact"/>
        <w:rPr>
          <w:rFonts w:ascii="Arial" w:cs="Arial" w:eastAsia="Arial" w:hAnsi="Arial"/>
          <w:sz w:val="18"/>
          <w:szCs w:val="18"/>
          <w:b w:val="1"/>
          <w:bCs w:val="1"/>
          <w:color w:val="auto"/>
        </w:rPr>
      </w:pPr>
    </w:p>
    <w:p>
      <w:pPr>
        <w:ind w:left="340" w:right="300" w:hanging="302"/>
        <w:spacing w:after="0" w:line="282" w:lineRule="auto"/>
        <w:tabs>
          <w:tab w:leader="none" w:pos="34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w:t>
      </w:r>
      <w:r>
        <w:rPr>
          <w:rFonts w:ascii="Arial" w:cs="Arial" w:eastAsia="Arial" w:hAnsi="Arial"/>
          <w:sz w:val="18"/>
          <w:szCs w:val="18"/>
          <w:color w:val="auto"/>
        </w:rPr>
        <w:t>Employee shall be eligible to participate in or receive benefits under any pension plan, profit sharing plan, medical and dental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plan, life insurance plan, short-term and long-term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ind w:left="220" w:right="700"/>
        <w:spacing w:after="0" w:line="277" w:lineRule="auto"/>
        <w:rPr>
          <w:sz w:val="20"/>
          <w:szCs w:val="20"/>
          <w:color w:val="auto"/>
        </w:rPr>
      </w:pPr>
      <w:r>
        <w:rPr>
          <w:rFonts w:ascii="Arial" w:cs="Arial" w:eastAsia="Arial" w:hAnsi="Arial"/>
          <w:sz w:val="18"/>
          <w:szCs w:val="18"/>
          <w:color w:val="auto"/>
        </w:rPr>
        <w:t>disability plans, supplemental and/or incentive compensation plans, or any other fringe benefit plan, generally made available by the Company to Employees working pursuant to this form of Agreement (hereinafter referred to as “Similarly Situated Employees”).</w:t>
      </w:r>
    </w:p>
    <w:p>
      <w:pPr>
        <w:spacing w:after="0" w:line="166" w:lineRule="exact"/>
        <w:rPr>
          <w:sz w:val="20"/>
          <w:szCs w:val="20"/>
          <w:color w:val="auto"/>
        </w:rPr>
      </w:pPr>
    </w:p>
    <w:p>
      <w:pPr>
        <w:ind w:left="340" w:right="240" w:hanging="322"/>
        <w:spacing w:after="0" w:line="298" w:lineRule="auto"/>
        <w:tabs>
          <w:tab w:leader="none" w:pos="34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Incentive/Bonus. </w:t>
      </w:r>
      <w:r>
        <w:rPr>
          <w:rFonts w:ascii="Arial" w:cs="Arial" w:eastAsia="Arial" w:hAnsi="Arial"/>
          <w:sz w:val="16"/>
          <w:szCs w:val="16"/>
          <w:color w:val="auto"/>
        </w:rPr>
        <w:t>Employee shall be eligible for an annual bonus or incentive compensation payment (“Bonus”) with an annual target bonus of fifty</w:t>
      </w:r>
      <w:r>
        <w:rPr>
          <w:rFonts w:ascii="Arial" w:cs="Arial" w:eastAsia="Arial" w:hAnsi="Arial"/>
          <w:sz w:val="16"/>
          <w:szCs w:val="16"/>
          <w:b w:val="1"/>
          <w:bCs w:val="1"/>
          <w:color w:val="auto"/>
        </w:rPr>
        <w:t xml:space="preserve"> </w:t>
      </w:r>
      <w:r>
        <w:rPr>
          <w:rFonts w:ascii="Arial" w:cs="Arial" w:eastAsia="Arial" w:hAnsi="Arial"/>
          <w:sz w:val="16"/>
          <w:szCs w:val="16"/>
          <w:color w:val="auto"/>
        </w:rPr>
        <w:t>percent (50%) of Employee’s Base Salary, a maximum of one hundred percent (100%) of Employee’s Base Salary. Qualification and conditions for earning the Bonus shall be pursuant to the applicable Bonus Plan in effect for the year in which the bonus is earned, as approved by the Compensation Committee of the Board of Directors. The Bonus for the year 2003 will be paid in 2004, if earned, at the same time as Similarly Situated Employees receive or would otherwise receive their bonuses, provided Employee remains employed through the end of the 2003 calendar year.</w:t>
      </w:r>
    </w:p>
    <w:p>
      <w:pPr>
        <w:spacing w:after="0" w:line="154" w:lineRule="exact"/>
        <w:rPr>
          <w:rFonts w:ascii="Arial" w:cs="Arial" w:eastAsia="Arial" w:hAnsi="Arial"/>
          <w:sz w:val="16"/>
          <w:szCs w:val="16"/>
          <w:b w:val="1"/>
          <w:bCs w:val="1"/>
          <w:color w:val="auto"/>
        </w:rPr>
      </w:pPr>
    </w:p>
    <w:p>
      <w:pPr>
        <w:ind w:left="340" w:right="240" w:hanging="302"/>
        <w:spacing w:after="0" w:line="282" w:lineRule="auto"/>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Employee shall be eligible to be considered for annual option grants. The award, vesting and exercise of all options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applicable Waste Management, Inc. Stock Incentive Plan.</w:t>
      </w:r>
    </w:p>
    <w:p>
      <w:pPr>
        <w:spacing w:after="0" w:line="161" w:lineRule="exact"/>
        <w:rPr>
          <w:rFonts w:ascii="Arial" w:cs="Arial" w:eastAsia="Arial" w:hAnsi="Arial"/>
          <w:sz w:val="18"/>
          <w:szCs w:val="18"/>
          <w:b w:val="1"/>
          <w:bCs w:val="1"/>
          <w:color w:val="auto"/>
        </w:rPr>
      </w:pPr>
    </w:p>
    <w:p>
      <w:pPr>
        <w:ind w:left="340" w:hanging="282"/>
        <w:spacing w:after="0"/>
        <w:tabs>
          <w:tab w:leader="none" w:pos="34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Vacation. </w:t>
      </w:r>
      <w:r>
        <w:rPr>
          <w:rFonts w:ascii="Arial" w:cs="Arial" w:eastAsia="Arial" w:hAnsi="Arial"/>
          <w:sz w:val="16"/>
          <w:szCs w:val="16"/>
          <w:color w:val="auto"/>
        </w:rPr>
        <w:t>Employee will be entitled to paid vacation in accordance with the Company’s policies but in no event less than three (3) weeks each year.</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Termination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Employee’s employment hereunder may be terminated under the following circumstances:</w:t>
      </w:r>
    </w:p>
    <w:p>
      <w:pPr>
        <w:spacing w:after="0" w:line="221" w:lineRule="exact"/>
        <w:rPr>
          <w:sz w:val="20"/>
          <w:szCs w:val="20"/>
          <w:color w:val="auto"/>
        </w:rPr>
      </w:pPr>
    </w:p>
    <w:p>
      <w:pPr>
        <w:ind w:left="340" w:hanging="312"/>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Employee’s employment hereunder shall terminate upon Employee’s death.</w:t>
      </w:r>
    </w:p>
    <w:p>
      <w:pPr>
        <w:spacing w:after="0" w:line="225" w:lineRule="exact"/>
        <w:rPr>
          <w:rFonts w:ascii="Arial" w:cs="Arial" w:eastAsia="Arial" w:hAnsi="Arial"/>
          <w:sz w:val="18"/>
          <w:szCs w:val="18"/>
          <w:b w:val="1"/>
          <w:bCs w:val="1"/>
          <w:color w:val="auto"/>
        </w:rPr>
      </w:pPr>
    </w:p>
    <w:p>
      <w:pPr>
        <w:ind w:left="340" w:hanging="322"/>
        <w:spacing w:after="0" w:line="274" w:lineRule="auto"/>
        <w:tabs>
          <w:tab w:leader="none" w:pos="34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Total Disability. </w:t>
      </w:r>
      <w:r>
        <w:rPr>
          <w:rFonts w:ascii="Arial" w:cs="Arial" w:eastAsia="Arial" w:hAnsi="Arial"/>
          <w:sz w:val="17"/>
          <w:szCs w:val="17"/>
          <w:color w:val="auto"/>
        </w:rPr>
        <w:t>The Company may terminate Employee’s employment hereunder upon Employee becoming “Totally Disabled”. For purposes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Employee shall be “Totally Disabled” if Employee is physically or mentally incapacitated so as to render Employee incapable of performing Employee’s usual and customary duties under this Agreement. Employee’s receipt of disability benefits under the Company’s long-term disability plan or receipt of Social Security disability benefits shall be deemed conclusive evidence of Total Disability for purpose of this Agreement; provided, however, that in the absence of Employee’s receipt of such long-term disability benefits or Social Security benefits, the Company’s Board of Directors may, in its reasonable discretion (but based upon appropriate medical evidence), determine that Employee is Totally Disabled.</w:t>
      </w:r>
    </w:p>
    <w:p>
      <w:pPr>
        <w:spacing w:after="0" w:line="173" w:lineRule="exact"/>
        <w:rPr>
          <w:rFonts w:ascii="Arial" w:cs="Arial" w:eastAsia="Arial" w:hAnsi="Arial"/>
          <w:sz w:val="17"/>
          <w:szCs w:val="17"/>
          <w:b w:val="1"/>
          <w:bCs w:val="1"/>
          <w:color w:val="auto"/>
        </w:rPr>
      </w:pPr>
    </w:p>
    <w:p>
      <w:pPr>
        <w:ind w:left="340" w:right="340" w:hanging="302"/>
        <w:spacing w:after="0" w:line="282" w:lineRule="auto"/>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Employee’s employment hereunder for “Cause” at any time after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Employee.</w:t>
      </w:r>
    </w:p>
    <w:p>
      <w:pPr>
        <w:spacing w:after="0" w:line="165" w:lineRule="exact"/>
        <w:rPr>
          <w:rFonts w:ascii="Arial" w:cs="Arial" w:eastAsia="Arial" w:hAnsi="Arial"/>
          <w:sz w:val="18"/>
          <w:szCs w:val="18"/>
          <w:b w:val="1"/>
          <w:bCs w:val="1"/>
          <w:color w:val="auto"/>
        </w:rPr>
      </w:pPr>
    </w:p>
    <w:p>
      <w:pPr>
        <w:ind w:left="560" w:right="600" w:hanging="276"/>
        <w:spacing w:after="0" w:line="291" w:lineRule="auto"/>
        <w:tabs>
          <w:tab w:leader="none" w:pos="5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w:t>
      </w:r>
    </w:p>
    <w:p>
      <w:pPr>
        <w:ind w:left="560" w:right="80" w:firstLine="2"/>
        <w:spacing w:after="0" w:line="281" w:lineRule="auto"/>
        <w:tabs>
          <w:tab w:leader="none" w:pos="845" w:val="left"/>
        </w:tabs>
        <w:numPr>
          <w:ilvl w:val="2"/>
          <w:numId w:val="82"/>
        </w:numPr>
        <w:rPr>
          <w:rFonts w:ascii="Arial" w:cs="Arial" w:eastAsia="Arial" w:hAnsi="Arial"/>
          <w:sz w:val="16"/>
          <w:szCs w:val="16"/>
          <w:color w:val="auto"/>
        </w:rPr>
      </w:pPr>
      <w:r>
        <w:rPr>
          <w:rFonts w:ascii="Arial" w:cs="Arial" w:eastAsia="Arial" w:hAnsi="Arial"/>
          <w:sz w:val="16"/>
          <w:szCs w:val="16"/>
          <w:color w:val="auto"/>
        </w:rPr>
        <w:t>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(D) gross misconduct or gross negligence in connection with the business of the Company or an affiliate which has substantial effect on the Company or the affiliate; or</w:t>
      </w:r>
    </w:p>
    <w:p>
      <w:pPr>
        <w:spacing w:after="0" w:line="2" w:lineRule="exact"/>
        <w:rPr>
          <w:rFonts w:ascii="Arial" w:cs="Arial" w:eastAsia="Arial" w:hAnsi="Arial"/>
          <w:sz w:val="16"/>
          <w:szCs w:val="16"/>
          <w:color w:val="auto"/>
        </w:rPr>
      </w:pPr>
    </w:p>
    <w:p>
      <w:pPr>
        <w:ind w:left="840" w:hanging="278"/>
        <w:spacing w:after="0"/>
        <w:tabs>
          <w:tab w:leader="none" w:pos="8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breach of any of the covenants set forth in Section 8 hereof.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5" w:name="page66"/>
    <w:bookmarkEnd w:id="65"/>
    <w:p>
      <w:pPr>
        <w:ind w:left="542" w:right="80" w:hanging="326"/>
        <w:spacing w:after="0" w:line="312" w:lineRule="auto"/>
        <w:tabs>
          <w:tab w:leader="none" w:pos="542"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 individual will be considered to have been terminated for Cause if the Company determines that the individual engaged in an act constituting Cause at any time prior to a payment date for any amounts due hereunder, regardless of whether the individual terminates employment voluntarily or is terminated involuntarily, and regardless of whether the individual’s termination initially was considered to have been for Cause.</w:t>
      </w:r>
    </w:p>
    <w:p>
      <w:pPr>
        <w:spacing w:after="0" w:line="146" w:lineRule="exact"/>
        <w:rPr>
          <w:rFonts w:ascii="Arial" w:cs="Arial" w:eastAsia="Arial" w:hAnsi="Arial"/>
          <w:sz w:val="16"/>
          <w:szCs w:val="16"/>
          <w:color w:val="auto"/>
        </w:rPr>
      </w:pPr>
    </w:p>
    <w:p>
      <w:pPr>
        <w:jc w:val="both"/>
        <w:ind w:left="542" w:right="80" w:hanging="376"/>
        <w:spacing w:after="0" w:line="264" w:lineRule="auto"/>
        <w:tabs>
          <w:tab w:leader="none" w:pos="542"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Employee is given an opportunity to be heard.</w:t>
      </w:r>
    </w:p>
    <w:p>
      <w:pPr>
        <w:spacing w:after="0" w:line="177" w:lineRule="exact"/>
        <w:rPr>
          <w:rFonts w:ascii="Arial" w:cs="Arial" w:eastAsia="Arial" w:hAnsi="Arial"/>
          <w:sz w:val="18"/>
          <w:szCs w:val="18"/>
          <w:color w:val="auto"/>
        </w:rPr>
      </w:pPr>
    </w:p>
    <w:p>
      <w:pPr>
        <w:ind w:left="322" w:right="120" w:hanging="322"/>
        <w:spacing w:after="0" w:line="282" w:lineRule="auto"/>
        <w:tabs>
          <w:tab w:leader="none" w:pos="32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Employee. </w:t>
      </w:r>
      <w:r>
        <w:rPr>
          <w:rFonts w:ascii="Arial" w:cs="Arial" w:eastAsia="Arial" w:hAnsi="Arial"/>
          <w:sz w:val="18"/>
          <w:szCs w:val="18"/>
          <w:color w:val="auto"/>
        </w:rPr>
        <w:t>Employee may terminate employment hereunder at any time after providing ninety (90) days’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for good reason as described in Section 7 of this Agreement.</w:t>
      </w:r>
    </w:p>
    <w:p>
      <w:pPr>
        <w:spacing w:after="0" w:line="161" w:lineRule="exact"/>
        <w:rPr>
          <w:rFonts w:ascii="Arial" w:cs="Arial" w:eastAsia="Arial" w:hAnsi="Arial"/>
          <w:sz w:val="18"/>
          <w:szCs w:val="18"/>
          <w:b w:val="1"/>
          <w:bCs w:val="1"/>
          <w:color w:val="auto"/>
        </w:rPr>
      </w:pPr>
    </w:p>
    <w:p>
      <w:pPr>
        <w:ind w:left="322" w:right="500" w:hanging="302"/>
        <w:spacing w:after="0" w:line="282" w:lineRule="auto"/>
        <w:tabs>
          <w:tab w:leader="none" w:pos="32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Employee’s employment hereunder without Cause at any time after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written notice to Employee.</w:t>
      </w:r>
    </w:p>
    <w:p>
      <w:pPr>
        <w:spacing w:after="0" w:line="162"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229" w:lineRule="exact"/>
        <w:rPr>
          <w:sz w:val="20"/>
          <w:szCs w:val="20"/>
          <w:color w:val="auto"/>
        </w:rPr>
      </w:pPr>
    </w:p>
    <w:p>
      <w:pPr>
        <w:ind w:left="322" w:right="320"/>
        <w:spacing w:after="0" w:line="277" w:lineRule="auto"/>
        <w:rPr>
          <w:sz w:val="20"/>
          <w:szCs w:val="20"/>
          <w:color w:val="auto"/>
        </w:rPr>
      </w:pPr>
      <w:r>
        <w:rPr>
          <w:rFonts w:ascii="Arial" w:cs="Arial" w:eastAsia="Arial" w:hAnsi="Arial"/>
          <w:sz w:val="18"/>
          <w:szCs w:val="18"/>
          <w:color w:val="auto"/>
        </w:rPr>
        <w:t>In the event that Employee’s employment hereunder is terminated, Employee shall be entitled to the following compensation and benefits upon such termination:</w:t>
      </w:r>
    </w:p>
    <w:p>
      <w:pPr>
        <w:spacing w:after="0" w:line="166" w:lineRule="exact"/>
        <w:rPr>
          <w:sz w:val="20"/>
          <w:szCs w:val="20"/>
          <w:color w:val="auto"/>
        </w:rPr>
      </w:pPr>
    </w:p>
    <w:p>
      <w:pPr>
        <w:ind w:left="322" w:right="180" w:hanging="312"/>
        <w:spacing w:after="0" w:line="282" w:lineRule="auto"/>
        <w:tabs>
          <w:tab w:leader="none" w:pos="32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Employee’s employment is terminated by reason of Employee’s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Employee’s beneficiary or estate:</w:t>
      </w:r>
    </w:p>
    <w:p>
      <w:pPr>
        <w:spacing w:after="0" w:line="165" w:lineRule="exact"/>
        <w:rPr>
          <w:rFonts w:ascii="Arial" w:cs="Arial" w:eastAsia="Arial" w:hAnsi="Arial"/>
          <w:sz w:val="18"/>
          <w:szCs w:val="18"/>
          <w:b w:val="1"/>
          <w:bCs w:val="1"/>
          <w:color w:val="auto"/>
        </w:rPr>
      </w:pPr>
    </w:p>
    <w:p>
      <w:pPr>
        <w:ind w:left="542" w:right="80" w:hanging="276"/>
        <w:spacing w:after="0" w:line="312" w:lineRule="auto"/>
        <w:tabs>
          <w:tab w:leader="none" w:pos="542"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death, any accrued but unpaid expenses required to be reimbursed under this Agreement through the date of termination; a pro-rata “Bonus” or incentive compensation payment to the extent payments are awarded to Similarly Situated Employees and paid at the same time as Similarly Situated Employees are paid; and any vacation accrued to the date of death.</w:t>
      </w:r>
    </w:p>
    <w:p>
      <w:pPr>
        <w:spacing w:after="0" w:line="146" w:lineRule="exact"/>
        <w:rPr>
          <w:rFonts w:ascii="Arial" w:cs="Arial" w:eastAsia="Arial" w:hAnsi="Arial"/>
          <w:sz w:val="16"/>
          <w:szCs w:val="16"/>
          <w:color w:val="auto"/>
        </w:rPr>
      </w:pPr>
    </w:p>
    <w:p>
      <w:pPr>
        <w:ind w:left="542" w:hanging="326"/>
        <w:spacing w:after="0" w:line="277" w:lineRule="auto"/>
        <w:tabs>
          <w:tab w:leader="none" w:pos="54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4(c) hereof as determined and paid in accordance with the terms of such plans, policies and arrangements.</w:t>
      </w:r>
    </w:p>
    <w:p>
      <w:pPr>
        <w:spacing w:after="0" w:line="170" w:lineRule="exact"/>
        <w:rPr>
          <w:rFonts w:ascii="Arial" w:cs="Arial" w:eastAsia="Arial" w:hAnsi="Arial"/>
          <w:sz w:val="18"/>
          <w:szCs w:val="18"/>
          <w:color w:val="auto"/>
        </w:rPr>
      </w:pPr>
    </w:p>
    <w:p>
      <w:pPr>
        <w:ind w:left="542" w:right="280" w:hanging="376"/>
        <w:spacing w:after="0" w:line="264" w:lineRule="auto"/>
        <w:tabs>
          <w:tab w:leader="none" w:pos="54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 amount equal to the Base Salary (at the rate in effect as of the date of Employee’s death) which would have been payable to Employee if Employee had continued in employment for a period of twelve (12) months. Such amount shall be paid in a single lump sum cash payment within thirty (30) days after Employee’s death.</w:t>
      </w:r>
    </w:p>
    <w:p>
      <w:pPr>
        <w:spacing w:after="0" w:line="181" w:lineRule="exact"/>
        <w:rPr>
          <w:rFonts w:ascii="Arial" w:cs="Arial" w:eastAsia="Arial" w:hAnsi="Arial"/>
          <w:sz w:val="18"/>
          <w:szCs w:val="18"/>
          <w:color w:val="auto"/>
        </w:rPr>
      </w:pPr>
    </w:p>
    <w:p>
      <w:pPr>
        <w:ind w:left="542" w:right="180" w:hanging="366"/>
        <w:spacing w:after="0" w:line="264" w:lineRule="auto"/>
        <w:tabs>
          <w:tab w:leader="none" w:pos="54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of the date of termination by reason of Employee’s death, stock options awarded to Employee shall be fully vested and Employee’s estate or beneficiary shall have up to one (1) year from the date of death to exercise all such options, provided that in no event will any option be exercisable beyond its term.</w:t>
      </w:r>
    </w:p>
    <w:p>
      <w:pPr>
        <w:spacing w:after="0" w:line="181" w:lineRule="exact"/>
        <w:rPr>
          <w:sz w:val="20"/>
          <w:szCs w:val="20"/>
          <w:color w:val="auto"/>
        </w:rPr>
      </w:pPr>
    </w:p>
    <w:p>
      <w:pPr>
        <w:jc w:val="center"/>
        <w:ind w:right="-41"/>
        <w:spacing w:after="0"/>
        <w:rPr>
          <w:sz w:val="20"/>
          <w:szCs w:val="20"/>
          <w:color w:val="auto"/>
        </w:rPr>
      </w:pPr>
      <w:r>
        <w:rPr>
          <w:rFonts w:ascii="Arial" w:cs="Arial" w:eastAsia="Arial" w:hAnsi="Arial"/>
          <w:sz w:val="18"/>
          <w:szCs w:val="18"/>
          <w:color w:val="auto"/>
        </w:rPr>
        <w:t>Page 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2"/>
          </w:cols>
          <w:pgMar w:left="258" w:top="935" w:right="299" w:bottom="1440" w:gutter="0" w:footer="0" w:header="0"/>
        </w:sectPr>
      </w:pPr>
    </w:p>
    <w:bookmarkStart w:id="66" w:name="page67"/>
    <w:bookmarkEnd w:id="66"/>
    <w:p>
      <w:pPr>
        <w:ind w:left="329" w:right="600" w:hanging="322"/>
        <w:spacing w:after="0" w:line="282" w:lineRule="auto"/>
        <w:tabs>
          <w:tab w:leader="none" w:pos="329"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Employee’s employment is terminated by reason of Employee’s Total Disability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Section 5(b), the Company shall pay the following amounts to Employee:</w:t>
      </w:r>
    </w:p>
    <w:p>
      <w:pPr>
        <w:spacing w:after="0" w:line="165" w:lineRule="exact"/>
        <w:rPr>
          <w:rFonts w:ascii="Arial" w:cs="Arial" w:eastAsia="Arial" w:hAnsi="Arial"/>
          <w:sz w:val="18"/>
          <w:szCs w:val="18"/>
          <w:b w:val="1"/>
          <w:bCs w:val="1"/>
          <w:color w:val="auto"/>
        </w:rPr>
      </w:pPr>
    </w:p>
    <w:p>
      <w:pPr>
        <w:ind w:left="549" w:hanging="276"/>
        <w:spacing w:after="0" w:line="259" w:lineRule="auto"/>
        <w:tabs>
          <w:tab w:leader="none" w:pos="5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through the date of termination, any vacation accrued to the date of termination. Employee shall also be eligible for a Bonus or incentive compensation payment to the extent such awards are made to Similarly Situated Employees, pro-rated for the year in which Employee is terminated and paid at the same time as similarly situated Employees are paid.</w:t>
      </w:r>
    </w:p>
    <w:p>
      <w:pPr>
        <w:spacing w:after="0" w:line="186" w:lineRule="exact"/>
        <w:rPr>
          <w:rFonts w:ascii="Arial" w:cs="Arial" w:eastAsia="Arial" w:hAnsi="Arial"/>
          <w:sz w:val="18"/>
          <w:szCs w:val="18"/>
          <w:color w:val="auto"/>
        </w:rPr>
      </w:pPr>
    </w:p>
    <w:p>
      <w:pPr>
        <w:ind w:left="549" w:right="820" w:hanging="326"/>
        <w:spacing w:after="0" w:line="277" w:lineRule="auto"/>
        <w:tabs>
          <w:tab w:leader="none" w:pos="5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0" w:lineRule="exact"/>
        <w:rPr>
          <w:rFonts w:ascii="Arial" w:cs="Arial" w:eastAsia="Arial" w:hAnsi="Arial"/>
          <w:sz w:val="18"/>
          <w:szCs w:val="18"/>
          <w:color w:val="auto"/>
        </w:rPr>
      </w:pPr>
    </w:p>
    <w:p>
      <w:pPr>
        <w:ind w:left="549" w:right="360" w:hanging="376"/>
        <w:spacing w:after="0" w:line="286" w:lineRule="auto"/>
        <w:tabs>
          <w:tab w:leader="none" w:pos="549"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Base Salary (at the rate in effect as of the date of Employee’s Total Disability) which would have been payable to Employee if Employee had continued in active employment for a period of twelve (12) months. Payment shall be made at the same time and in the same manner as such compensation would have been paid if Employee had remained in active employment until the end of such period.</w:t>
      </w:r>
    </w:p>
    <w:p>
      <w:pPr>
        <w:spacing w:after="0" w:line="165" w:lineRule="exact"/>
        <w:rPr>
          <w:rFonts w:ascii="Arial" w:cs="Arial" w:eastAsia="Arial" w:hAnsi="Arial"/>
          <w:sz w:val="17"/>
          <w:szCs w:val="17"/>
          <w:color w:val="auto"/>
        </w:rPr>
      </w:pPr>
    </w:p>
    <w:p>
      <w:pPr>
        <w:ind w:left="549" w:right="120" w:hanging="366"/>
        <w:spacing w:after="0" w:line="264" w:lineRule="auto"/>
        <w:tabs>
          <w:tab w:leader="none" w:pos="5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As of the date of termination by reason of Employee’s Total Disability, Employee shall be fully vested in all stock option awards and Employee shall have up to one (1) year from the date of termination by reason of Total Disability to exercise all such options; provided that in no event will any option be exercisable beyond its term.</w:t>
      </w:r>
    </w:p>
    <w:p>
      <w:pPr>
        <w:spacing w:after="0" w:line="177" w:lineRule="exact"/>
        <w:rPr>
          <w:rFonts w:ascii="Arial" w:cs="Arial" w:eastAsia="Arial" w:hAnsi="Arial"/>
          <w:sz w:val="18"/>
          <w:szCs w:val="18"/>
          <w:color w:val="auto"/>
        </w:rPr>
      </w:pPr>
    </w:p>
    <w:p>
      <w:pPr>
        <w:ind w:left="309" w:right="100" w:hanging="309"/>
        <w:spacing w:after="0" w:line="282" w:lineRule="auto"/>
        <w:tabs>
          <w:tab w:leader="none" w:pos="309"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Employee’s employment is terminated by the Company for Cause pursuant to Section 5(c),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Employee:</w:t>
      </w:r>
    </w:p>
    <w:p>
      <w:pPr>
        <w:spacing w:after="0" w:line="165" w:lineRule="exact"/>
        <w:rPr>
          <w:rFonts w:ascii="Arial" w:cs="Arial" w:eastAsia="Arial" w:hAnsi="Arial"/>
          <w:sz w:val="18"/>
          <w:szCs w:val="18"/>
          <w:b w:val="1"/>
          <w:bCs w:val="1"/>
          <w:color w:val="auto"/>
        </w:rPr>
      </w:pPr>
    </w:p>
    <w:p>
      <w:pPr>
        <w:ind w:left="549" w:hanging="276"/>
        <w:spacing w:after="0" w:line="277" w:lineRule="auto"/>
        <w:tabs>
          <w:tab w:leader="none" w:pos="5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through the date of termination, and any vacation accrued to the date of termination.</w:t>
      </w:r>
    </w:p>
    <w:p>
      <w:pPr>
        <w:spacing w:after="0" w:line="170" w:lineRule="exact"/>
        <w:rPr>
          <w:rFonts w:ascii="Arial" w:cs="Arial" w:eastAsia="Arial" w:hAnsi="Arial"/>
          <w:sz w:val="18"/>
          <w:szCs w:val="18"/>
          <w:color w:val="auto"/>
        </w:rPr>
      </w:pPr>
    </w:p>
    <w:p>
      <w:pPr>
        <w:ind w:left="549" w:right="820" w:hanging="326"/>
        <w:spacing w:after="0" w:line="277" w:lineRule="auto"/>
        <w:tabs>
          <w:tab w:leader="none" w:pos="5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0" w:lineRule="exact"/>
        <w:rPr>
          <w:rFonts w:ascii="Arial" w:cs="Arial" w:eastAsia="Arial" w:hAnsi="Arial"/>
          <w:sz w:val="18"/>
          <w:szCs w:val="18"/>
          <w:color w:val="auto"/>
        </w:rPr>
      </w:pPr>
    </w:p>
    <w:p>
      <w:pPr>
        <w:ind w:left="549" w:right="440" w:hanging="376"/>
        <w:spacing w:after="0" w:line="277" w:lineRule="auto"/>
        <w:tabs>
          <w:tab w:leader="none" w:pos="5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options, restricted stock or other awards that have not vested prior to the date of such termination of employment shall be cancelled and any options held by Employee shall be cancelled, whether or not then vested.</w:t>
      </w:r>
    </w:p>
    <w:p>
      <w:pPr>
        <w:spacing w:after="0" w:line="166" w:lineRule="exact"/>
        <w:rPr>
          <w:rFonts w:ascii="Arial" w:cs="Arial" w:eastAsia="Arial" w:hAnsi="Arial"/>
          <w:sz w:val="18"/>
          <w:szCs w:val="18"/>
          <w:color w:val="auto"/>
        </w:rPr>
      </w:pPr>
    </w:p>
    <w:p>
      <w:pPr>
        <w:ind w:left="329" w:right="360" w:hanging="322"/>
        <w:spacing w:after="0" w:line="282" w:lineRule="auto"/>
        <w:tabs>
          <w:tab w:leader="none" w:pos="329"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Employee. </w:t>
      </w:r>
      <w:r>
        <w:rPr>
          <w:rFonts w:ascii="Arial" w:cs="Arial" w:eastAsia="Arial" w:hAnsi="Arial"/>
          <w:sz w:val="18"/>
          <w:szCs w:val="18"/>
          <w:color w:val="auto"/>
        </w:rPr>
        <w:t>In the event that Employee terminates employment pursuant to Section 5(d), and other than for a 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tendered pursuant to Section 7 of this Agreement, the Company shall pay the following amounts to Employee:</w:t>
      </w:r>
    </w:p>
    <w:p>
      <w:pPr>
        <w:spacing w:after="0" w:line="165" w:lineRule="exact"/>
        <w:rPr>
          <w:rFonts w:ascii="Arial" w:cs="Arial" w:eastAsia="Arial" w:hAnsi="Arial"/>
          <w:sz w:val="18"/>
          <w:szCs w:val="18"/>
          <w:b w:val="1"/>
          <w:bCs w:val="1"/>
          <w:color w:val="auto"/>
        </w:rPr>
      </w:pPr>
    </w:p>
    <w:p>
      <w:pPr>
        <w:ind w:left="549" w:hanging="276"/>
        <w:spacing w:after="0" w:line="277" w:lineRule="auto"/>
        <w:tabs>
          <w:tab w:leader="none" w:pos="5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through the date of termination, and any vacation accrued to the date of termination.</w:t>
      </w:r>
    </w:p>
    <w:p>
      <w:pPr>
        <w:spacing w:after="0" w:line="170"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4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9"/>
          </w:cols>
          <w:pgMar w:left="251" w:top="1148" w:right="239" w:bottom="1440" w:gutter="0" w:footer="0" w:header="0"/>
        </w:sectPr>
      </w:pPr>
    </w:p>
    <w:bookmarkStart w:id="67" w:name="page68"/>
    <w:bookmarkEnd w:id="67"/>
    <w:p>
      <w:pPr>
        <w:ind w:left="549" w:right="820" w:hanging="326"/>
        <w:spacing w:after="0" w:line="277" w:lineRule="auto"/>
        <w:tabs>
          <w:tab w:leader="none" w:pos="549"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0" w:lineRule="exact"/>
        <w:rPr>
          <w:rFonts w:ascii="Arial" w:cs="Arial" w:eastAsia="Arial" w:hAnsi="Arial"/>
          <w:sz w:val="18"/>
          <w:szCs w:val="18"/>
          <w:color w:val="auto"/>
        </w:rPr>
      </w:pPr>
    </w:p>
    <w:p>
      <w:pPr>
        <w:ind w:left="549" w:right="460" w:hanging="376"/>
        <w:spacing w:after="0" w:line="264" w:lineRule="auto"/>
        <w:tabs>
          <w:tab w:leader="none" w:pos="549"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options, restricted stock or other awards that have not vested prior to the date of such termination of employment shall be cancelled and Employee shall have 90 days following termination of employment to exercise any previously vested options; provided that in no event will any option be exercisable beyond its term.</w:t>
      </w:r>
    </w:p>
    <w:p>
      <w:pPr>
        <w:spacing w:after="0" w:line="177" w:lineRule="exact"/>
        <w:rPr>
          <w:rFonts w:ascii="Arial" w:cs="Arial" w:eastAsia="Arial" w:hAnsi="Arial"/>
          <w:sz w:val="18"/>
          <w:szCs w:val="18"/>
          <w:color w:val="auto"/>
        </w:rPr>
      </w:pPr>
    </w:p>
    <w:p>
      <w:pPr>
        <w:ind w:left="309" w:right="300" w:hanging="309"/>
        <w:spacing w:after="0" w:line="282" w:lineRule="auto"/>
        <w:tabs>
          <w:tab w:leader="none" w:pos="309"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In the event that Employee’s employment is terminated by the Company pursuant to Section 5(e) for</w:t>
      </w:r>
      <w:r>
        <w:rPr>
          <w:rFonts w:ascii="Arial" w:cs="Arial" w:eastAsia="Arial" w:hAnsi="Arial"/>
          <w:sz w:val="18"/>
          <w:szCs w:val="18"/>
          <w:b w:val="1"/>
          <w:bCs w:val="1"/>
          <w:color w:val="auto"/>
        </w:rPr>
        <w:t xml:space="preserve"> </w:t>
      </w:r>
      <w:r>
        <w:rPr>
          <w:rFonts w:ascii="Arial" w:cs="Arial" w:eastAsia="Arial" w:hAnsi="Arial"/>
          <w:sz w:val="18"/>
          <w:szCs w:val="18"/>
          <w:color w:val="auto"/>
        </w:rPr>
        <w:t>reasons other than death, Total Disability or Cause, the Company shall pay the following amounts to Employee:</w:t>
      </w:r>
    </w:p>
    <w:p>
      <w:pPr>
        <w:spacing w:after="0" w:line="165" w:lineRule="exact"/>
        <w:rPr>
          <w:rFonts w:ascii="Arial" w:cs="Arial" w:eastAsia="Arial" w:hAnsi="Arial"/>
          <w:sz w:val="18"/>
          <w:szCs w:val="18"/>
          <w:b w:val="1"/>
          <w:bCs w:val="1"/>
          <w:color w:val="auto"/>
        </w:rPr>
      </w:pPr>
    </w:p>
    <w:p>
      <w:pPr>
        <w:ind w:left="549" w:hanging="276"/>
        <w:spacing w:after="0" w:line="277" w:lineRule="auto"/>
        <w:tabs>
          <w:tab w:leader="none" w:pos="549"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through the date of termination, and any vacation accrued to the date of termination.</w:t>
      </w:r>
    </w:p>
    <w:p>
      <w:pPr>
        <w:spacing w:after="0" w:line="170" w:lineRule="exact"/>
        <w:rPr>
          <w:rFonts w:ascii="Arial" w:cs="Arial" w:eastAsia="Arial" w:hAnsi="Arial"/>
          <w:sz w:val="18"/>
          <w:szCs w:val="18"/>
          <w:color w:val="auto"/>
        </w:rPr>
      </w:pPr>
    </w:p>
    <w:p>
      <w:pPr>
        <w:ind w:left="549" w:right="820" w:hanging="326"/>
        <w:spacing w:after="0" w:line="277" w:lineRule="auto"/>
        <w:tabs>
          <w:tab w:leader="none" w:pos="549"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0" w:lineRule="exact"/>
        <w:rPr>
          <w:rFonts w:ascii="Arial" w:cs="Arial" w:eastAsia="Arial" w:hAnsi="Arial"/>
          <w:sz w:val="18"/>
          <w:szCs w:val="18"/>
          <w:color w:val="auto"/>
        </w:rPr>
      </w:pPr>
    </w:p>
    <w:p>
      <w:pPr>
        <w:ind w:left="549" w:right="40" w:hanging="376"/>
        <w:spacing w:after="0" w:line="259" w:lineRule="auto"/>
        <w:tabs>
          <w:tab w:leader="none" w:pos="549"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 amount equal to the sum of Employee’s annual Base Salary plus his or her target annual bonus (as then in effect), of which one-half shall be paid in a lump sum within ten (10) days after such termination and one-half shall be paid during the one (1) year period beginning on the date of Employee’s termination and shall be paid at the same time and in the same manner as Base Salary would have been payable to Employee if Employee had continued in active employment until the end of such period.</w:t>
      </w:r>
    </w:p>
    <w:p>
      <w:pPr>
        <w:spacing w:after="0" w:line="186" w:lineRule="exact"/>
        <w:rPr>
          <w:rFonts w:ascii="Arial" w:cs="Arial" w:eastAsia="Arial" w:hAnsi="Arial"/>
          <w:sz w:val="18"/>
          <w:szCs w:val="18"/>
          <w:color w:val="auto"/>
        </w:rPr>
      </w:pPr>
    </w:p>
    <w:p>
      <w:pPr>
        <w:ind w:left="549" w:right="20" w:hanging="366"/>
        <w:spacing w:after="0" w:line="273" w:lineRule="auto"/>
        <w:tabs>
          <w:tab w:leader="none" w:pos="549" w:val="left"/>
        </w:tabs>
        <w:numPr>
          <w:ilvl w:val="1"/>
          <w:numId w:val="89"/>
        </w:numPr>
        <w:rPr>
          <w:rFonts w:ascii="Arial" w:cs="Arial" w:eastAsia="Arial" w:hAnsi="Arial"/>
          <w:sz w:val="17"/>
          <w:szCs w:val="17"/>
          <w:color w:val="auto"/>
        </w:rPr>
      </w:pPr>
      <w:r>
        <w:rPr>
          <w:rFonts w:ascii="Arial" w:cs="Arial" w:eastAsia="Arial" w:hAnsi="Arial"/>
          <w:sz w:val="17"/>
          <w:szCs w:val="17"/>
          <w:color w:val="auto"/>
        </w:rPr>
        <w:t>In addition, if you timely elect under COBRA to continue the group health and/or dental insurance coverage you participated as of your employment termination date, the Company will pay the portion of the COBRA premium in excess of your regular employee premium contribution until the earlier of: (A) last day of period during which Employee receives payment in accordance with clause (iii) above; (B) Employee’s death (provided that benefits payable to Employee’s beneficiaries shall not terminate upon Employee’s death); or (C) with respect to any particular plan, program or arrangement, the date Employee becomes entitled to be covered by a comparable benefit provided by a subsequent employer. Thereafter, if you have any remaining COBRA eligibility you will bear the full cost of continued COBRA coverage.</w:t>
      </w:r>
    </w:p>
    <w:p>
      <w:pPr>
        <w:spacing w:after="0" w:line="178" w:lineRule="exact"/>
        <w:rPr>
          <w:rFonts w:ascii="Arial" w:cs="Arial" w:eastAsia="Arial" w:hAnsi="Arial"/>
          <w:sz w:val="17"/>
          <w:szCs w:val="17"/>
          <w:color w:val="auto"/>
        </w:rPr>
      </w:pPr>
    </w:p>
    <w:p>
      <w:pPr>
        <w:ind w:left="549" w:right="340" w:hanging="316"/>
        <w:spacing w:after="0" w:line="264" w:lineRule="auto"/>
        <w:tabs>
          <w:tab w:leader="none" w:pos="549" w:val="left"/>
        </w:tabs>
        <w:numPr>
          <w:ilvl w:val="1"/>
          <w:numId w:val="89"/>
        </w:numPr>
        <w:rPr>
          <w:rFonts w:ascii="Arial" w:cs="Arial" w:eastAsia="Arial" w:hAnsi="Arial"/>
          <w:sz w:val="18"/>
          <w:szCs w:val="18"/>
          <w:color w:val="auto"/>
        </w:rPr>
      </w:pPr>
      <w:r>
        <w:rPr>
          <w:rFonts w:ascii="Arial" w:cs="Arial" w:eastAsia="Arial" w:hAnsi="Arial"/>
          <w:sz w:val="18"/>
          <w:szCs w:val="18"/>
          <w:color w:val="auto"/>
        </w:rPr>
        <w:t>Employee shall continue to vest in all stock option awards or restricted stock awards over the one (1) year period commencing on the date of such termination. Employee shall have ninety (90) days following the expiration of such one (1) year period to exercise all options to the extent then vested, provided that in no event will any option be exercisable beyond its term.</w:t>
      </w:r>
    </w:p>
    <w:p>
      <w:pPr>
        <w:spacing w:after="0" w:line="177" w:lineRule="exact"/>
        <w:rPr>
          <w:rFonts w:ascii="Arial" w:cs="Arial" w:eastAsia="Arial" w:hAnsi="Arial"/>
          <w:sz w:val="18"/>
          <w:szCs w:val="18"/>
          <w:color w:val="auto"/>
        </w:rPr>
      </w:pPr>
    </w:p>
    <w:p>
      <w:pPr>
        <w:ind w:left="289" w:right="100" w:hanging="283"/>
        <w:spacing w:after="0" w:line="261" w:lineRule="auto"/>
        <w:tabs>
          <w:tab w:leader="none" w:pos="289"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Other Benefits or Compensation. </w:t>
      </w:r>
      <w:r>
        <w:rPr>
          <w:rFonts w:ascii="Arial" w:cs="Arial" w:eastAsia="Arial" w:hAnsi="Arial"/>
          <w:sz w:val="18"/>
          <w:szCs w:val="18"/>
          <w:color w:val="auto"/>
        </w:rPr>
        <w:t>Except as may be provided under this Agreement, under the terms of any incentive compensation,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or fringe benefit plan applicable to Employee at the time of Employee’s termination or resignation of employment, Employee shall have no right to receive any other compensation, or to participate in any other plan, arrangement or benefit, with respect to future periods after such termination or resignation. In no event shall Employee be entitled</w:t>
      </w:r>
    </w:p>
    <w:p>
      <w:pPr>
        <w:spacing w:after="0" w:line="18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Page 5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9"/>
          </w:cols>
          <w:pgMar w:left="251" w:top="936" w:right="239" w:bottom="1440" w:gutter="0" w:footer="0" w:header="0"/>
        </w:sectPr>
      </w:pPr>
    </w:p>
    <w:bookmarkStart w:id="68" w:name="page69"/>
    <w:bookmarkEnd w:id="68"/>
    <w:p>
      <w:pPr>
        <w:ind w:left="206"/>
        <w:spacing w:after="0"/>
        <w:rPr>
          <w:sz w:val="20"/>
          <w:szCs w:val="20"/>
          <w:color w:val="auto"/>
        </w:rPr>
      </w:pPr>
      <w:r>
        <w:rPr>
          <w:rFonts w:ascii="Arial" w:cs="Arial" w:eastAsia="Arial" w:hAnsi="Arial"/>
          <w:sz w:val="18"/>
          <w:szCs w:val="18"/>
          <w:color w:val="auto"/>
        </w:rPr>
        <w:t>to receive any compensation or benefits under any such other plan or arrangement that is similar to the benefits provided by this Agreement.</w:t>
      </w:r>
    </w:p>
    <w:p>
      <w:pPr>
        <w:spacing w:after="0" w:line="221" w:lineRule="exact"/>
        <w:rPr>
          <w:sz w:val="20"/>
          <w:szCs w:val="20"/>
          <w:color w:val="auto"/>
        </w:rPr>
      </w:pPr>
    </w:p>
    <w:p>
      <w:pPr>
        <w:ind w:left="326" w:right="800" w:hanging="326"/>
        <w:spacing w:after="0" w:line="282" w:lineRule="auto"/>
        <w:tabs>
          <w:tab w:leader="none" w:pos="326"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or Termination of Benefits and Compensation. </w:t>
      </w:r>
      <w:r>
        <w:rPr>
          <w:rFonts w:ascii="Arial" w:cs="Arial" w:eastAsia="Arial" w:hAnsi="Arial"/>
          <w:sz w:val="18"/>
          <w:szCs w:val="18"/>
          <w:color w:val="auto"/>
        </w:rPr>
        <w:t>In the event that the Company, in its sole discretion determines that,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express written consent, Employee has:</w:t>
      </w:r>
    </w:p>
    <w:p>
      <w:pPr>
        <w:spacing w:after="0" w:line="165" w:lineRule="exact"/>
        <w:rPr>
          <w:rFonts w:ascii="Arial" w:cs="Arial" w:eastAsia="Arial" w:hAnsi="Arial"/>
          <w:sz w:val="18"/>
          <w:szCs w:val="18"/>
          <w:b w:val="1"/>
          <w:bCs w:val="1"/>
          <w:color w:val="auto"/>
        </w:rPr>
      </w:pPr>
    </w:p>
    <w:p>
      <w:pPr>
        <w:ind w:left="546" w:right="420" w:hanging="276"/>
        <w:spacing w:after="0" w:line="312" w:lineRule="auto"/>
        <w:tabs>
          <w:tab w:leader="none" w:pos="546" w:val="left"/>
        </w:tabs>
        <w:numPr>
          <w:ilvl w:val="1"/>
          <w:numId w:val="90"/>
        </w:numPr>
        <w:rPr>
          <w:rFonts w:ascii="Arial" w:cs="Arial" w:eastAsia="Arial" w:hAnsi="Arial"/>
          <w:sz w:val="16"/>
          <w:szCs w:val="16"/>
          <w:color w:val="auto"/>
        </w:rPr>
      </w:pPr>
      <w:r>
        <w:rPr>
          <w:rFonts w:ascii="Arial" w:cs="Arial" w:eastAsia="Arial" w:hAnsi="Arial"/>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146" w:lineRule="exact"/>
        <w:rPr>
          <w:rFonts w:ascii="Arial" w:cs="Arial" w:eastAsia="Arial" w:hAnsi="Arial"/>
          <w:sz w:val="16"/>
          <w:szCs w:val="16"/>
          <w:color w:val="auto"/>
        </w:rPr>
      </w:pPr>
    </w:p>
    <w:p>
      <w:pPr>
        <w:ind w:left="546" w:right="20" w:hanging="326"/>
        <w:spacing w:after="0" w:line="255" w:lineRule="auto"/>
        <w:tabs>
          <w:tab w:leader="none" w:pos="546"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Employee’s employment hereunder or during any of the twelve calendar months preceding or following the termination of Employee’s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193" w:lineRule="exact"/>
        <w:rPr>
          <w:sz w:val="20"/>
          <w:szCs w:val="20"/>
          <w:color w:val="auto"/>
        </w:rPr>
      </w:pPr>
    </w:p>
    <w:p>
      <w:pPr>
        <w:ind w:left="346" w:right="20"/>
        <w:spacing w:after="0" w:line="342" w:lineRule="auto"/>
        <w:rPr>
          <w:sz w:val="20"/>
          <w:szCs w:val="20"/>
          <w:color w:val="auto"/>
        </w:rPr>
      </w:pPr>
      <w:r>
        <w:rPr>
          <w:rFonts w:ascii="Arial" w:cs="Arial" w:eastAsia="Arial" w:hAnsi="Arial"/>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Employee.</w:t>
      </w:r>
    </w:p>
    <w:p>
      <w:pPr>
        <w:spacing w:after="0" w:line="120"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auto"/>
        </w:rPr>
        <w:t>7. Resignation by Employee for Good Reason and Compensation Payable</w:t>
      </w:r>
    </w:p>
    <w:p>
      <w:pPr>
        <w:spacing w:after="0" w:line="225" w:lineRule="exact"/>
        <w:rPr>
          <w:sz w:val="20"/>
          <w:szCs w:val="20"/>
          <w:color w:val="auto"/>
        </w:rPr>
      </w:pPr>
    </w:p>
    <w:p>
      <w:pPr>
        <w:ind w:left="326" w:right="20" w:hanging="326"/>
        <w:spacing w:after="0" w:line="261" w:lineRule="auto"/>
        <w:tabs>
          <w:tab w:leader="none" w:pos="326"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for Good Reason following Change in Control. </w:t>
      </w:r>
      <w:r>
        <w:rPr>
          <w:rFonts w:ascii="Arial" w:cs="Arial" w:eastAsia="Arial" w:hAnsi="Arial"/>
          <w:sz w:val="18"/>
          <w:szCs w:val="18"/>
          <w:color w:val="auto"/>
        </w:rPr>
        <w:t>In the event a “Change in Control” (as defined in Section 7(c)) occurs, Employee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the compensation described in this Section 7 if Employee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184" w:lineRule="exact"/>
        <w:rPr>
          <w:rFonts w:ascii="Arial" w:cs="Arial" w:eastAsia="Arial" w:hAnsi="Arial"/>
          <w:sz w:val="18"/>
          <w:szCs w:val="18"/>
          <w:b w:val="1"/>
          <w:bCs w:val="1"/>
          <w:color w:val="auto"/>
        </w:rPr>
      </w:pPr>
    </w:p>
    <w:p>
      <w:pPr>
        <w:ind w:left="546" w:hanging="276"/>
        <w:spacing w:after="0" w:line="297" w:lineRule="auto"/>
        <w:tabs>
          <w:tab w:leader="none" w:pos="546" w:val="left"/>
        </w:tabs>
        <w:numPr>
          <w:ilvl w:val="1"/>
          <w:numId w:val="91"/>
        </w:numPr>
        <w:rPr>
          <w:rFonts w:ascii="Arial" w:cs="Arial" w:eastAsia="Arial" w:hAnsi="Arial"/>
          <w:sz w:val="16"/>
          <w:szCs w:val="16"/>
          <w:color w:val="auto"/>
        </w:rPr>
      </w:pPr>
      <w:r>
        <w:rPr>
          <w:rFonts w:ascii="Arial" w:cs="Arial" w:eastAsia="Arial" w:hAnsi="Arial"/>
          <w:sz w:val="16"/>
          <w:szCs w:val="16"/>
          <w:color w:val="auto"/>
        </w:rPr>
        <w:t>without Employee’s express written consent, the assignment to Employee of any duties inconsistent with Employee’s positions, duties, responsibilities and status with the Company immediately before a Change in Control, or a material adverse change in Employee’s reporting (other than a change which results in Employee reporting to a Senior Vice President of the Company or higher), responsibilities, titles or offices as in effect immediately before a Change in Control, or any removal of Employee from any of such positions, except in connection with the termination of Employee’s employment as a result of death, or by the Company for Disability or Cause, or by Employee other than for the reasons described in this Section 7(a);</w:t>
      </w:r>
    </w:p>
    <w:p>
      <w:pPr>
        <w:spacing w:after="0" w:line="158" w:lineRule="exact"/>
        <w:rPr>
          <w:rFonts w:ascii="Arial" w:cs="Arial" w:eastAsia="Arial" w:hAnsi="Arial"/>
          <w:sz w:val="16"/>
          <w:szCs w:val="16"/>
          <w:color w:val="auto"/>
        </w:rPr>
      </w:pPr>
    </w:p>
    <w:p>
      <w:pPr>
        <w:ind w:left="546" w:right="380" w:hanging="326"/>
        <w:spacing w:after="0" w:line="277" w:lineRule="auto"/>
        <w:tabs>
          <w:tab w:leader="none" w:pos="546"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reduction by the Company in Employee’s Base Salary as in effect immediately before a Change in Control plus all increases therein subsequent thereto;</w:t>
      </w:r>
    </w:p>
    <w:p>
      <w:pPr>
        <w:spacing w:after="0" w:line="170"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Page 6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6"/>
          </w:cols>
          <w:pgMar w:left="254" w:top="936" w:right="259" w:bottom="1440" w:gutter="0" w:footer="0" w:header="0"/>
        </w:sectPr>
      </w:pPr>
    </w:p>
    <w:bookmarkStart w:id="69" w:name="page70"/>
    <w:bookmarkEnd w:id="69"/>
    <w:p>
      <w:pPr>
        <w:ind w:left="542" w:hanging="376"/>
        <w:spacing w:after="0" w:line="273" w:lineRule="auto"/>
        <w:tabs>
          <w:tab w:leader="none" w:pos="54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failure of the Company substantially to maintain and to continue Employee’s participation in the Company’s benefit plans as in effect immediately before a Change in Control and with all improvements therein subsequent thereto (other than those plans or improvements that have expired thereafter in accordance with their original terms or those plans which are replaced with similar plans providing substantially similar benefits), or the taking of any action which would materially reduce Employee’s benefits under any of such plans or deprive Employee of any material fringe benefit enjoyed by Employee immediately before a Change in Control, unless such reduction or termination is required by law (and excluding reductions or changes which are replaced by substantially similar benefits under other plans or programs);</w:t>
      </w:r>
    </w:p>
    <w:p>
      <w:pPr>
        <w:spacing w:after="0" w:line="178" w:lineRule="exact"/>
        <w:rPr>
          <w:rFonts w:ascii="Arial" w:cs="Arial" w:eastAsia="Arial" w:hAnsi="Arial"/>
          <w:sz w:val="17"/>
          <w:szCs w:val="17"/>
          <w:color w:val="auto"/>
        </w:rPr>
      </w:pPr>
    </w:p>
    <w:p>
      <w:pPr>
        <w:ind w:left="542" w:hanging="366"/>
        <w:spacing w:after="0" w:line="272" w:lineRule="auto"/>
        <w:tabs>
          <w:tab w:leader="none" w:pos="54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failure of the Company to provide Employee with an appropriate adjustment to compensation such as a lump sum relocation bonus, salary adjustment and/or housing allowance so that Employee can purchase comparable primary housing if required to relocate (it being the intention of this Section 7[a][iv] to keep the Employee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Employee’s place of work), quality of construction, design, age, size of the housing and the ratio of the monthly payments including principle, interest, taxes and insurance to the Employee’s take home pay, to housing most recently owned by Employee prior to, or as of the effective date of the Change in Control;</w:t>
      </w:r>
    </w:p>
    <w:p>
      <w:pPr>
        <w:spacing w:after="0" w:line="177" w:lineRule="exact"/>
        <w:rPr>
          <w:rFonts w:ascii="Arial" w:cs="Arial" w:eastAsia="Arial" w:hAnsi="Arial"/>
          <w:sz w:val="17"/>
          <w:szCs w:val="17"/>
          <w:color w:val="auto"/>
        </w:rPr>
      </w:pPr>
    </w:p>
    <w:p>
      <w:pPr>
        <w:ind w:left="542" w:right="160" w:hanging="316"/>
        <w:spacing w:after="0" w:line="308" w:lineRule="auto"/>
        <w:tabs>
          <w:tab w:leader="none" w:pos="54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failure by the Company to pay Employee any portion of Employee’s current compensation, or any portion of Employee’s compensation deferred under any plan, agreement or arrangement of or with the Company, within seven (7) days of the date such compensation is due; or</w:t>
      </w:r>
    </w:p>
    <w:p>
      <w:pPr>
        <w:spacing w:after="0" w:line="147" w:lineRule="exact"/>
        <w:rPr>
          <w:sz w:val="20"/>
          <w:szCs w:val="20"/>
          <w:color w:val="auto"/>
        </w:rPr>
      </w:pPr>
    </w:p>
    <w:p>
      <w:pPr>
        <w:ind w:left="542" w:right="520" w:hanging="316"/>
        <w:spacing w:after="0" w:line="277" w:lineRule="auto"/>
        <w:tabs>
          <w:tab w:leader="none" w:pos="54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failure by the Company to obtain an assumption of, and agreement to perform the obligations of the Company under this Agreement by any successor to the Company.</w:t>
      </w:r>
    </w:p>
    <w:p>
      <w:pPr>
        <w:spacing w:after="0" w:line="166" w:lineRule="exact"/>
        <w:rPr>
          <w:rFonts w:ascii="Arial" w:cs="Arial" w:eastAsia="Arial" w:hAnsi="Arial"/>
          <w:sz w:val="18"/>
          <w:szCs w:val="18"/>
          <w:color w:val="auto"/>
        </w:rPr>
      </w:pPr>
    </w:p>
    <w:p>
      <w:pPr>
        <w:ind w:left="322" w:right="660" w:hanging="322"/>
        <w:spacing w:after="0" w:line="266" w:lineRule="auto"/>
        <w:tabs>
          <w:tab w:leader="none" w:pos="32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for Good Reason following a forced reassignment. </w:t>
      </w:r>
      <w:r>
        <w:rPr>
          <w:rFonts w:ascii="Arial" w:cs="Arial" w:eastAsia="Arial" w:hAnsi="Arial"/>
          <w:sz w:val="18"/>
          <w:szCs w:val="18"/>
          <w:color w:val="auto"/>
        </w:rPr>
        <w:t>In the event that the employee resigns as a result of, and within the six month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date of, a forced relocation that is more than fifty (50) miles from his current business location, Employee will be paid the compensation described in this Section 7.</w:t>
      </w:r>
    </w:p>
    <w:p>
      <w:pPr>
        <w:spacing w:after="0" w:line="176" w:lineRule="exact"/>
        <w:rPr>
          <w:rFonts w:ascii="Arial" w:cs="Arial" w:eastAsia="Arial" w:hAnsi="Arial"/>
          <w:sz w:val="18"/>
          <w:szCs w:val="18"/>
          <w:b w:val="1"/>
          <w:bCs w:val="1"/>
          <w:color w:val="auto"/>
        </w:rPr>
      </w:pPr>
    </w:p>
    <w:p>
      <w:pPr>
        <w:ind w:left="322" w:right="540" w:hanging="302"/>
        <w:spacing w:after="0" w:line="282" w:lineRule="auto"/>
        <w:tabs>
          <w:tab w:leader="none" w:pos="32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Payable. </w:t>
      </w:r>
      <w:r>
        <w:rPr>
          <w:rFonts w:ascii="Arial" w:cs="Arial" w:eastAsia="Arial" w:hAnsi="Arial"/>
          <w:sz w:val="18"/>
          <w:szCs w:val="18"/>
          <w:color w:val="auto"/>
        </w:rPr>
        <w:t>In the event that Employee terminates employment pursuant to Section 7(a) or (b),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Employee:</w:t>
      </w:r>
    </w:p>
    <w:p>
      <w:pPr>
        <w:spacing w:after="0" w:line="165" w:lineRule="exact"/>
        <w:rPr>
          <w:rFonts w:ascii="Arial" w:cs="Arial" w:eastAsia="Arial" w:hAnsi="Arial"/>
          <w:sz w:val="18"/>
          <w:szCs w:val="18"/>
          <w:b w:val="1"/>
          <w:bCs w:val="1"/>
          <w:color w:val="auto"/>
        </w:rPr>
      </w:pPr>
    </w:p>
    <w:p>
      <w:pPr>
        <w:ind w:left="542" w:right="440" w:hanging="276"/>
        <w:spacing w:after="0" w:line="277" w:lineRule="auto"/>
        <w:tabs>
          <w:tab w:leader="none" w:pos="542"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through the date of termination; any accrued and unused vacation to the date of termination.</w:t>
      </w:r>
    </w:p>
    <w:p>
      <w:pPr>
        <w:spacing w:after="0" w:line="170" w:lineRule="exact"/>
        <w:rPr>
          <w:sz w:val="20"/>
          <w:szCs w:val="20"/>
          <w:color w:val="auto"/>
        </w:rPr>
      </w:pPr>
    </w:p>
    <w:p>
      <w:pPr>
        <w:ind w:left="542" w:right="740" w:hanging="326"/>
        <w:spacing w:after="0" w:line="277" w:lineRule="auto"/>
        <w:tabs>
          <w:tab w:leader="none" w:pos="5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benefits to which Employee may be entitled pursuant to the plans, policies and arrangements referred to in Section 4(d) hereof, shall be determined and paid in accordance with the terms of such plans, policies and arrangements.</w:t>
      </w:r>
    </w:p>
    <w:p>
      <w:pPr>
        <w:spacing w:after="0" w:line="170" w:lineRule="exact"/>
        <w:rPr>
          <w:rFonts w:ascii="Arial" w:cs="Arial" w:eastAsia="Arial" w:hAnsi="Arial"/>
          <w:sz w:val="18"/>
          <w:szCs w:val="18"/>
          <w:color w:val="auto"/>
        </w:rPr>
      </w:pPr>
    </w:p>
    <w:p>
      <w:pPr>
        <w:ind w:left="542" w:right="340" w:hanging="376"/>
        <w:spacing w:after="0" w:line="277" w:lineRule="auto"/>
        <w:tabs>
          <w:tab w:leader="none" w:pos="5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amount equal to the sum of Employee’s annual Base Salary plus Employee’s target annual bonus (in each case as then in effect). Such amount shall be paid to Employee in a single</w:t>
      </w:r>
    </w:p>
    <w:p>
      <w:pPr>
        <w:spacing w:after="0" w:line="170"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Page 7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2"/>
          </w:cols>
          <w:pgMar w:left="258" w:top="935" w:right="259" w:bottom="1440" w:gutter="0" w:footer="0" w:header="0"/>
        </w:sectPr>
      </w:pPr>
    </w:p>
    <w:bookmarkStart w:id="70" w:name="page71"/>
    <w:bookmarkEnd w:id="70"/>
    <w:p>
      <w:pPr>
        <w:ind w:left="542"/>
        <w:spacing w:after="0"/>
        <w:rPr>
          <w:sz w:val="20"/>
          <w:szCs w:val="20"/>
          <w:color w:val="auto"/>
        </w:rPr>
      </w:pPr>
      <w:r>
        <w:rPr>
          <w:rFonts w:ascii="Arial" w:cs="Arial" w:eastAsia="Arial" w:hAnsi="Arial"/>
          <w:sz w:val="18"/>
          <w:szCs w:val="18"/>
          <w:color w:val="auto"/>
        </w:rPr>
        <w:t>lump sum cash payment within ten (10) business days after the effective date of Employee’s termination.</w:t>
      </w:r>
    </w:p>
    <w:p>
      <w:pPr>
        <w:spacing w:after="0" w:line="225" w:lineRule="exact"/>
        <w:rPr>
          <w:sz w:val="20"/>
          <w:szCs w:val="20"/>
          <w:color w:val="auto"/>
        </w:rPr>
      </w:pPr>
    </w:p>
    <w:p>
      <w:pPr>
        <w:ind w:left="542" w:right="80" w:hanging="366"/>
        <w:spacing w:after="0" w:line="259" w:lineRule="auto"/>
        <w:tabs>
          <w:tab w:leader="none" w:pos="5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Employee will be 100% vested in all benefits, awards, and grants (including stock options) accrued but unpaid as of the date of termination under any non-qualified pension plan, supplemental and/or incentive compensation or bonus plans, in which Employee was a participant as of the date of termination. Employee shall have until the first anniversary of Employee’s termination of employment in which to exercise the options which have vested pursuant to this section, but in no event beyond the term of the option.</w:t>
      </w:r>
    </w:p>
    <w:p>
      <w:pPr>
        <w:spacing w:after="0" w:line="187" w:lineRule="exact"/>
        <w:rPr>
          <w:sz w:val="20"/>
          <w:szCs w:val="20"/>
          <w:color w:val="auto"/>
        </w:rPr>
      </w:pPr>
    </w:p>
    <w:p>
      <w:pPr>
        <w:ind w:left="342" w:right="120"/>
        <w:spacing w:after="0" w:line="302" w:lineRule="auto"/>
        <w:rPr>
          <w:sz w:val="20"/>
          <w:szCs w:val="20"/>
          <w:color w:val="auto"/>
        </w:rPr>
      </w:pPr>
      <w:r>
        <w:rPr>
          <w:rFonts w:ascii="Arial" w:cs="Arial" w:eastAsia="Arial" w:hAnsi="Arial"/>
          <w:sz w:val="16"/>
          <w:szCs w:val="16"/>
          <w:color w:val="auto"/>
        </w:rPr>
        <w:t>Except as may be provided under this Section 7 or under the terms of any incentive compensation, employee benefit, or fringe benefit plan applicable to Employee at the time of Employee’s resignation from employment, Employee shall have no right to receive any other compensation, or to participate in any other plan, arrangement or benefit, with respect to future periods after such resignation or termination. IN no event shall Employee be entitled to receive any compensation or benefits under any such other plan or arrangement that is similar to the benefits provided under this Agreement.</w:t>
      </w:r>
    </w:p>
    <w:p>
      <w:pPr>
        <w:spacing w:after="0" w:line="150" w:lineRule="exact"/>
        <w:rPr>
          <w:sz w:val="20"/>
          <w:szCs w:val="20"/>
          <w:color w:val="auto"/>
        </w:rPr>
      </w:pPr>
    </w:p>
    <w:p>
      <w:pPr>
        <w:ind w:left="322" w:hanging="322"/>
        <w:spacing w:after="0" w:line="289" w:lineRule="auto"/>
        <w:tabs>
          <w:tab w:leader="none" w:pos="322"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Additional Payments by the Company. </w:t>
      </w:r>
      <w:r>
        <w:rPr>
          <w:rFonts w:ascii="Arial" w:cs="Arial" w:eastAsia="Arial" w:hAnsi="Arial"/>
          <w:sz w:val="16"/>
          <w:szCs w:val="16"/>
          <w:color w:val="auto"/>
        </w:rPr>
        <w:t>In the event that any portion of the benefits payable under this Agreement, and any other payments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under any other agreement with, or plan of the Company to or for the benefit of the Employee (in aggregate, “Total Payments”) constitute an “excess parachute payment” within the meaning of Section 280G of the Internal Revenue Code (the “Code”), then the Company shall pay the Employee as promptly as practicable following such determination an additional amount (the “Gross-up Payment”) calculated as described below to reimburse the Employee on an after-tax basis for any excise tax imposed on such payments under Section 4999 of the Code. The Gross-up Payment shall equal the amount, if any, needed to ensure that the net parachute payments (including the Gross-up Payment) actually received by the Employee after the imposition of federal and state income, employment and excise taxes (including any interest or penalties imposed by the Internal Revenue Service), are equal to the amount that the Employee would have netted after the imposition of federal and state income and employment taxes, had the Total Payments not been subject to the taxes imposed by Section 4999. For purposes of this calculation, it shall be assumed that the Employee’s tax rate will be the maximum federal rate to be computed with regard to Section 1(g) of the Code.</w:t>
      </w:r>
    </w:p>
    <w:p>
      <w:pPr>
        <w:spacing w:after="0" w:line="165" w:lineRule="exact"/>
        <w:rPr>
          <w:rFonts w:ascii="Arial" w:cs="Arial" w:eastAsia="Arial" w:hAnsi="Arial"/>
          <w:sz w:val="16"/>
          <w:szCs w:val="16"/>
          <w:b w:val="1"/>
          <w:bCs w:val="1"/>
          <w:color w:val="auto"/>
        </w:rPr>
      </w:pPr>
    </w:p>
    <w:p>
      <w:pPr>
        <w:ind w:left="322" w:right="2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the event that the Employee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Employee and the Company.</w:t>
      </w:r>
    </w:p>
    <w:p>
      <w:pPr>
        <w:spacing w:after="0" w:line="182" w:lineRule="exact"/>
        <w:rPr>
          <w:rFonts w:ascii="Arial" w:cs="Arial" w:eastAsia="Arial" w:hAnsi="Arial"/>
          <w:sz w:val="16"/>
          <w:szCs w:val="16"/>
          <w:b w:val="1"/>
          <w:bCs w:val="1"/>
          <w:color w:val="auto"/>
        </w:rPr>
      </w:pPr>
    </w:p>
    <w:p>
      <w:pPr>
        <w:ind w:left="322" w:hanging="302"/>
        <w:spacing w:after="0"/>
        <w:tabs>
          <w:tab w:leader="none" w:pos="32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For purposes of this Agreement, “Change in Control” means the occurrence of any of the following events:</w:t>
      </w:r>
    </w:p>
    <w:p>
      <w:pPr>
        <w:spacing w:after="0" w:line="229" w:lineRule="exact"/>
        <w:rPr>
          <w:rFonts w:ascii="Arial" w:cs="Arial" w:eastAsia="Arial" w:hAnsi="Arial"/>
          <w:sz w:val="18"/>
          <w:szCs w:val="18"/>
          <w:b w:val="1"/>
          <w:bCs w:val="1"/>
          <w:color w:val="auto"/>
        </w:rPr>
      </w:pPr>
    </w:p>
    <w:p>
      <w:pPr>
        <w:jc w:val="both"/>
        <w:ind w:left="542" w:right="120" w:hanging="276"/>
        <w:spacing w:after="0" w:line="279" w:lineRule="auto"/>
        <w:tabs>
          <w:tab w:leader="none" w:pos="542" w:val="left"/>
        </w:tabs>
        <w:numPr>
          <w:ilvl w:val="1"/>
          <w:numId w:val="97"/>
        </w:numPr>
        <w:rPr>
          <w:rFonts w:ascii="Arial" w:cs="Arial" w:eastAsia="Arial" w:hAnsi="Arial"/>
          <w:sz w:val="17"/>
          <w:szCs w:val="17"/>
          <w:color w:val="auto"/>
        </w:rPr>
      </w:pPr>
      <w:r>
        <w:rPr>
          <w:rFonts w:ascii="Arial" w:cs="Arial" w:eastAsia="Arial" w:hAnsi="Arial"/>
          <w:sz w:val="17"/>
          <w:szCs w:val="17"/>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twenty-five percent (25%) or more of the combined voting power of the Company’s then outstanding securities; or</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Page 8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2"/>
          </w:cols>
          <w:pgMar w:left="258" w:top="936" w:right="239" w:bottom="1440" w:gutter="0" w:footer="0" w:header="0"/>
        </w:sectPr>
      </w:pPr>
    </w:p>
    <w:bookmarkStart w:id="71" w:name="page72"/>
    <w:bookmarkEnd w:id="71"/>
    <w:p>
      <w:pPr>
        <w:ind w:left="542" w:right="20" w:hanging="326"/>
        <w:spacing w:after="0" w:line="264" w:lineRule="auto"/>
        <w:tabs>
          <w:tab w:leader="none" w:pos="542" w:val="left"/>
        </w:tabs>
        <w:numPr>
          <w:ilvl w:val="1"/>
          <w:numId w:val="98"/>
        </w:numPr>
        <w:rPr>
          <w:rFonts w:ascii="Arial" w:cs="Arial" w:eastAsia="Arial" w:hAnsi="Arial"/>
          <w:sz w:val="18"/>
          <w:szCs w:val="18"/>
          <w:color w:val="auto"/>
        </w:rPr>
      </w:pPr>
      <w:r>
        <w:rPr>
          <w:rFonts w:ascii="Arial" w:cs="Arial" w:eastAsia="Arial" w:hAnsi="Arial"/>
          <w:sz w:val="18"/>
          <w:szCs w:val="18"/>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177" w:lineRule="exact"/>
        <w:rPr>
          <w:rFonts w:ascii="Arial" w:cs="Arial" w:eastAsia="Arial" w:hAnsi="Arial"/>
          <w:sz w:val="18"/>
          <w:szCs w:val="18"/>
          <w:color w:val="auto"/>
        </w:rPr>
      </w:pPr>
    </w:p>
    <w:p>
      <w:pPr>
        <w:ind w:left="322" w:hanging="237"/>
        <w:spacing w:after="0"/>
        <w:tabs>
          <w:tab w:leader="none" w:pos="32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5" w:lineRule="exact"/>
        <w:rPr>
          <w:sz w:val="20"/>
          <w:szCs w:val="20"/>
          <w:color w:val="auto"/>
        </w:rPr>
      </w:pPr>
    </w:p>
    <w:p>
      <w:pPr>
        <w:ind w:left="322" w:hanging="312"/>
        <w:spacing w:after="0" w:line="288" w:lineRule="auto"/>
        <w:tabs>
          <w:tab w:leader="none" w:pos="32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Competitive Activity. </w:t>
      </w:r>
      <w:r>
        <w:rPr>
          <w:rFonts w:ascii="Arial" w:cs="Arial" w:eastAsia="Arial" w:hAnsi="Arial"/>
          <w:sz w:val="16"/>
          <w:szCs w:val="16"/>
          <w:color w:val="auto"/>
        </w:rPr>
        <w:t>Employee covenants and agrees that at all times during Employee’s period of employment with the Company,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that payments are made to Employee pursuant to Section 6 of this Agreement, Employee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Employee further agrees that for a period of one (1) year after the date payments made to Employee pursuant to Section 6 of this Agreement cease, or for a period of two (2) years following the date of termination, whichever is later, Employee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164" w:lineRule="exact"/>
        <w:rPr>
          <w:rFonts w:ascii="Arial" w:cs="Arial" w:eastAsia="Arial" w:hAnsi="Arial"/>
          <w:sz w:val="16"/>
          <w:szCs w:val="16"/>
          <w:b w:val="1"/>
          <w:bCs w:val="1"/>
          <w:color w:val="auto"/>
        </w:rPr>
      </w:pPr>
    </w:p>
    <w:p>
      <w:pPr>
        <w:ind w:left="322" w:hanging="322"/>
        <w:spacing w:after="0"/>
        <w:tabs>
          <w:tab w:leader="none" w:pos="32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Non-Solicitation. </w:t>
      </w:r>
      <w:r>
        <w:rPr>
          <w:rFonts w:ascii="Arial" w:cs="Arial" w:eastAsia="Arial" w:hAnsi="Arial"/>
          <w:sz w:val="16"/>
          <w:szCs w:val="16"/>
          <w:color w:val="auto"/>
        </w:rPr>
        <w:t>Employee covenants and agrees that at all times during Employee’s period of employment with the Company, and for a period of one</w:t>
      </w:r>
    </w:p>
    <w:p>
      <w:pPr>
        <w:spacing w:after="0" w:line="50" w:lineRule="exact"/>
        <w:rPr>
          <w:rFonts w:ascii="Arial" w:cs="Arial" w:eastAsia="Arial" w:hAnsi="Arial"/>
          <w:sz w:val="16"/>
          <w:szCs w:val="16"/>
          <w:b w:val="1"/>
          <w:bCs w:val="1"/>
          <w:color w:val="auto"/>
        </w:rPr>
      </w:pPr>
    </w:p>
    <w:p>
      <w:pPr>
        <w:ind w:left="322" w:right="180"/>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(1) year after the date payments made to Employee pursuant to Section 6 of this Agreement cease, or two (2) years after the date of termination of the Employee’s employment, whichever date is later, whether such termination is voluntary or involuntary by wrongful discharge, or otherwise, Employee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of through any person, firm, association or corporation with which Employee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the prior written consent of the Company.</w:t>
      </w:r>
    </w:p>
    <w:p>
      <w:pPr>
        <w:spacing w:after="0" w:line="182" w:lineRule="exact"/>
        <w:rPr>
          <w:rFonts w:ascii="Arial" w:cs="Arial" w:eastAsia="Arial" w:hAnsi="Arial"/>
          <w:sz w:val="16"/>
          <w:szCs w:val="16"/>
          <w:b w:val="1"/>
          <w:bCs w:val="1"/>
          <w:color w:val="auto"/>
        </w:rPr>
      </w:pPr>
    </w:p>
    <w:p>
      <w:pPr>
        <w:ind w:left="322" w:right="60" w:hanging="302"/>
        <w:spacing w:after="0" w:line="261" w:lineRule="auto"/>
        <w:tabs>
          <w:tab w:leader="none" w:pos="32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Employee covenants and agrees that Employee shall not engage in any pattern of conduct that involves the making or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8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Page 9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2"/>
          </w:cols>
          <w:pgMar w:left="258" w:top="936" w:right="239" w:bottom="1440" w:gutter="0" w:footer="0" w:header="0"/>
        </w:sectPr>
      </w:pPr>
    </w:p>
    <w:bookmarkStart w:id="72" w:name="page73"/>
    <w:bookmarkEnd w:id="72"/>
    <w:p>
      <w:pPr>
        <w:ind w:left="322" w:hanging="322"/>
        <w:spacing w:after="0" w:line="271" w:lineRule="auto"/>
        <w:tabs>
          <w:tab w:leader="none" w:pos="322"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Protected Information. </w:t>
      </w:r>
      <w:r>
        <w:rPr>
          <w:rFonts w:ascii="Arial" w:cs="Arial" w:eastAsia="Arial" w:hAnsi="Arial"/>
          <w:sz w:val="17"/>
          <w:szCs w:val="17"/>
          <w:color w:val="auto"/>
        </w:rPr>
        <w:t>Employee recognizes and acknowledges that Employee has had and will continue to have access to various confidential or</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concerning the Company and corporations affiliated with the Company of a special and unique value which may include, without limitation, (i) books and records relating to operation, finance, accounting, sales, personnel and management, (ii) policies, procedures, and matters relating particularly to the Company or its operations, including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training materials, methods and processes, proprietary information, financial data and the like (collectively, the “Protected Information”). Employee therefore covenants and agrees that Employee will not at any time, either while employed by the Company or afterwards, knowingly make any independent use of, or knowingly disclose to any other person or organization (except as authorized by the Company) any of the Protected Information.</w:t>
      </w:r>
    </w:p>
    <w:p>
      <w:pPr>
        <w:spacing w:after="0" w:line="174" w:lineRule="exact"/>
        <w:rPr>
          <w:sz w:val="20"/>
          <w:szCs w:val="20"/>
          <w:color w:val="auto"/>
        </w:rPr>
      </w:pPr>
    </w:p>
    <w:p>
      <w:pPr>
        <w:ind w:left="82"/>
        <w:spacing w:after="0"/>
        <w:rPr>
          <w:sz w:val="20"/>
          <w:szCs w:val="20"/>
          <w:color w:val="auto"/>
        </w:rPr>
      </w:pPr>
      <w:r>
        <w:rPr>
          <w:rFonts w:ascii="Arial" w:cs="Arial" w:eastAsia="Arial" w:hAnsi="Arial"/>
          <w:sz w:val="18"/>
          <w:szCs w:val="18"/>
          <w:b w:val="1"/>
          <w:bCs w:val="1"/>
          <w:color w:val="auto"/>
        </w:rPr>
        <w:t>9. Enforcement of Covenants.</w:t>
      </w:r>
    </w:p>
    <w:p>
      <w:pPr>
        <w:spacing w:after="0" w:line="225" w:lineRule="exact"/>
        <w:rPr>
          <w:sz w:val="20"/>
          <w:szCs w:val="20"/>
          <w:color w:val="auto"/>
        </w:rPr>
      </w:pPr>
    </w:p>
    <w:p>
      <w:pPr>
        <w:ind w:left="322" w:right="160" w:hanging="312"/>
        <w:spacing w:after="0" w:line="281" w:lineRule="auto"/>
        <w:tabs>
          <w:tab w:leader="none" w:pos="322"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and Forfeiture of Compensation. </w:t>
      </w:r>
      <w:r>
        <w:rPr>
          <w:rFonts w:ascii="Arial" w:cs="Arial" w:eastAsia="Arial" w:hAnsi="Arial"/>
          <w:sz w:val="17"/>
          <w:szCs w:val="17"/>
          <w:color w:val="auto"/>
        </w:rPr>
        <w:t>Employee agrees that any breach by Employee of any of the covenants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 hereof during Employee’s employment by the Company, shall be grounds for immediate dismissal of Employee and forfeiture of any accrued and unpaid salary, bonus, commissions or other compensation of such Employee as liquidated damages, which shall be in addition to and not exclusive of any and all other rights and remedies the Company may have against Employee.</w:t>
      </w:r>
    </w:p>
    <w:p>
      <w:pPr>
        <w:spacing w:after="0" w:line="164" w:lineRule="exact"/>
        <w:rPr>
          <w:rFonts w:ascii="Arial" w:cs="Arial" w:eastAsia="Arial" w:hAnsi="Arial"/>
          <w:sz w:val="17"/>
          <w:szCs w:val="17"/>
          <w:b w:val="1"/>
          <w:bCs w:val="1"/>
          <w:color w:val="auto"/>
        </w:rPr>
      </w:pPr>
    </w:p>
    <w:p>
      <w:pPr>
        <w:ind w:left="322" w:hanging="322"/>
        <w:spacing w:after="0" w:line="255" w:lineRule="auto"/>
        <w:tabs>
          <w:tab w:leader="none" w:pos="32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Right to Injunction</w:t>
      </w:r>
      <w:r>
        <w:rPr>
          <w:rFonts w:ascii="Arial" w:cs="Arial" w:eastAsia="Arial" w:hAnsi="Arial"/>
          <w:sz w:val="18"/>
          <w:szCs w:val="18"/>
          <w:color w:val="auto"/>
        </w:rPr>
        <w:t>. Employee acknowledges that a breach of the covenants set forth in Section 8 hereof will cause irreparable damage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which the Company’s remedy at law for damages will be inadequate. Therefore, in the event of breach of anticipatory breach of the covenants set forth in this section by Employee, Employee and the Company agree that the Company shall be entitled to the following particular forms of relief, in addition to remedies otherwise available to it at law or equity; (i) injunctions, both preliminary and permanent, enjoining or restraining such breach or anticipatory breach and Employee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189" w:lineRule="exact"/>
        <w:rPr>
          <w:rFonts w:ascii="Arial" w:cs="Arial" w:eastAsia="Arial" w:hAnsi="Arial"/>
          <w:sz w:val="18"/>
          <w:szCs w:val="18"/>
          <w:b w:val="1"/>
          <w:bCs w:val="1"/>
          <w:color w:val="auto"/>
        </w:rPr>
      </w:pPr>
    </w:p>
    <w:p>
      <w:pPr>
        <w:ind w:left="322" w:right="40" w:hanging="302"/>
        <w:spacing w:after="0" w:line="290" w:lineRule="auto"/>
        <w:tabs>
          <w:tab w:leader="none" w:pos="322"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of Covenants. </w:t>
      </w:r>
      <w:r>
        <w:rPr>
          <w:rFonts w:ascii="Arial" w:cs="Arial" w:eastAsia="Arial" w:hAnsi="Arial"/>
          <w:sz w:val="16"/>
          <w:szCs w:val="16"/>
          <w:color w:val="auto"/>
        </w:rPr>
        <w:t>The covenants contained in Section 8 hereof constitute a series of separate covenants, one for each applicable State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and the District of Columbia, and one for each applicable foreign country. If in any judicial proceeding, a court shall hold that any of the covenants set forth in Section 8 exceed the time, geographic, or occupational limitations permitted by applicable laws, Employee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Employee and the Company further agree that the covenants in Section 8 shall each be construed as ancillary to this Agreement, and the existence of any claim or cause of action by Employee against the Company whether predicated on this Agreement or otherwise, shall not constitute a defense to the enforcement by the Company of any of the covenants of Section 8.</w:t>
      </w:r>
    </w:p>
    <w:p>
      <w:pPr>
        <w:spacing w:after="0" w:line="16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Page 10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2"/>
          </w:cols>
          <w:pgMar w:left="258" w:top="931" w:right="239" w:bottom="1440" w:gutter="0" w:footer="0" w:header="0"/>
        </w:sectPr>
      </w:pPr>
    </w:p>
    <w:bookmarkStart w:id="73" w:name="page74"/>
    <w:bookmarkEnd w:id="73"/>
    <w:p>
      <w:pPr>
        <w:ind w:left="327" w:hanging="327"/>
        <w:spacing w:after="0"/>
        <w:tabs>
          <w:tab w:leader="none" w:pos="32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327"/>
        <w:spacing w:after="0"/>
        <w:rPr>
          <w:rFonts w:ascii="Arial" w:cs="Arial" w:eastAsia="Arial" w:hAnsi="Arial"/>
          <w:sz w:val="18"/>
          <w:szCs w:val="18"/>
          <w:b w:val="1"/>
          <w:bCs w:val="1"/>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232" w:lineRule="exact"/>
        <w:rPr>
          <w:rFonts w:ascii="Arial" w:cs="Arial" w:eastAsia="Arial" w:hAnsi="Arial"/>
          <w:sz w:val="18"/>
          <w:szCs w:val="18"/>
          <w:b w:val="1"/>
          <w:bCs w:val="1"/>
          <w:color w:val="auto"/>
        </w:rPr>
      </w:pPr>
    </w:p>
    <w:p>
      <w:pPr>
        <w:ind w:left="327" w:hanging="317"/>
        <w:spacing w:after="0"/>
        <w:tabs>
          <w:tab w:leader="none" w:pos="32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Non-Disclosure of Agreement Terms.</w:t>
      </w:r>
    </w:p>
    <w:p>
      <w:pPr>
        <w:spacing w:after="0" w:line="229" w:lineRule="exact"/>
        <w:rPr>
          <w:rFonts w:ascii="Arial" w:cs="Arial" w:eastAsia="Arial" w:hAnsi="Arial"/>
          <w:sz w:val="18"/>
          <w:szCs w:val="18"/>
          <w:b w:val="1"/>
          <w:bCs w:val="1"/>
          <w:color w:val="auto"/>
        </w:rPr>
      </w:pPr>
    </w:p>
    <w:p>
      <w:pPr>
        <w:ind w:left="327"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Employee agrees that Employee will not disclose the terms of this Agreement to any third party other than Employee’s immediate family, attorney, accountants, or other consultants or advisors or except as may be required by any governmental authority.</w:t>
      </w:r>
    </w:p>
    <w:p>
      <w:pPr>
        <w:spacing w:after="0" w:line="166" w:lineRule="exact"/>
        <w:rPr>
          <w:rFonts w:ascii="Arial" w:cs="Arial" w:eastAsia="Arial" w:hAnsi="Arial"/>
          <w:sz w:val="18"/>
          <w:szCs w:val="18"/>
          <w:b w:val="1"/>
          <w:bCs w:val="1"/>
          <w:color w:val="auto"/>
        </w:rPr>
      </w:pPr>
    </w:p>
    <w:p>
      <w:pPr>
        <w:ind w:left="327" w:hanging="327"/>
        <w:spacing w:after="0"/>
        <w:tabs>
          <w:tab w:leader="none" w:pos="32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Payments.</w:t>
      </w:r>
    </w:p>
    <w:p>
      <w:pPr>
        <w:spacing w:after="0" w:line="229" w:lineRule="exact"/>
        <w:rPr>
          <w:rFonts w:ascii="Arial" w:cs="Arial" w:eastAsia="Arial" w:hAnsi="Arial"/>
          <w:sz w:val="18"/>
          <w:szCs w:val="18"/>
          <w:b w:val="1"/>
          <w:bCs w:val="1"/>
          <w:color w:val="auto"/>
        </w:rPr>
      </w:pPr>
    </w:p>
    <w:p>
      <w:pPr>
        <w:ind w:left="327"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Employee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4" w:lineRule="exact"/>
        <w:rPr>
          <w:rFonts w:ascii="Arial" w:cs="Arial" w:eastAsia="Arial" w:hAnsi="Arial"/>
          <w:sz w:val="18"/>
          <w:szCs w:val="18"/>
          <w:b w:val="1"/>
          <w:bCs w:val="1"/>
          <w:color w:val="auto"/>
        </w:rPr>
      </w:pPr>
    </w:p>
    <w:p>
      <w:pPr>
        <w:ind w:left="327" w:hanging="327"/>
        <w:spacing w:after="0"/>
        <w:tabs>
          <w:tab w:leader="none" w:pos="32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rFonts w:ascii="Arial" w:cs="Arial" w:eastAsia="Arial" w:hAnsi="Arial"/>
          <w:sz w:val="18"/>
          <w:szCs w:val="18"/>
          <w:b w:val="1"/>
          <w:bCs w:val="1"/>
          <w:color w:val="auto"/>
        </w:rPr>
      </w:pPr>
    </w:p>
    <w:p>
      <w:pPr>
        <w:ind w:left="327"/>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Except as otherwise provided in this Agreement, this Agreement shall inure to the benefit of and be binding upon the parties hereto and their respective heirs, representatives, successors and assigns. This Agreement shall not be assignable by Employee,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185" w:lineRule="exact"/>
        <w:rPr>
          <w:rFonts w:ascii="Arial" w:cs="Arial" w:eastAsia="Arial" w:hAnsi="Arial"/>
          <w:sz w:val="18"/>
          <w:szCs w:val="18"/>
          <w:b w:val="1"/>
          <w:bCs w:val="1"/>
          <w:color w:val="auto"/>
        </w:rPr>
      </w:pPr>
    </w:p>
    <w:p>
      <w:pPr>
        <w:ind w:left="327" w:hanging="327"/>
        <w:spacing w:after="0"/>
        <w:tabs>
          <w:tab w:leader="none" w:pos="32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Amendment.</w:t>
      </w:r>
    </w:p>
    <w:p>
      <w:pPr>
        <w:spacing w:after="0" w:line="229" w:lineRule="exact"/>
        <w:rPr>
          <w:rFonts w:ascii="Arial" w:cs="Arial" w:eastAsia="Arial" w:hAnsi="Arial"/>
          <w:sz w:val="18"/>
          <w:szCs w:val="18"/>
          <w:b w:val="1"/>
          <w:bCs w:val="1"/>
          <w:color w:val="auto"/>
        </w:rPr>
      </w:pPr>
    </w:p>
    <w:p>
      <w:pPr>
        <w:ind w:left="327"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Agreement shall supersede any and all existing oral or written agreements, representations, or warranties between Employee and the Company or any of its subsidiaries or affiliated entities relating to the terms of Employee’s employment by the Company. It may not be amended except by a written agreement signed by both parties.</w:t>
      </w:r>
    </w:p>
    <w:p>
      <w:pPr>
        <w:spacing w:after="0" w:line="177" w:lineRule="exact"/>
        <w:rPr>
          <w:rFonts w:ascii="Arial" w:cs="Arial" w:eastAsia="Arial" w:hAnsi="Arial"/>
          <w:sz w:val="18"/>
          <w:szCs w:val="18"/>
          <w:b w:val="1"/>
          <w:bCs w:val="1"/>
          <w:color w:val="auto"/>
        </w:rPr>
      </w:pPr>
    </w:p>
    <w:p>
      <w:pPr>
        <w:ind w:left="327" w:hanging="327"/>
        <w:spacing w:after="0"/>
        <w:tabs>
          <w:tab w:leader="none" w:pos="32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327"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166" w:lineRule="exact"/>
        <w:rPr>
          <w:rFonts w:ascii="Arial" w:cs="Arial" w:eastAsia="Arial" w:hAnsi="Arial"/>
          <w:sz w:val="18"/>
          <w:szCs w:val="18"/>
          <w:b w:val="1"/>
          <w:bCs w:val="1"/>
          <w:color w:val="auto"/>
        </w:rPr>
      </w:pPr>
    </w:p>
    <w:p>
      <w:pPr>
        <w:ind w:left="327" w:hanging="327"/>
        <w:spacing w:after="0"/>
        <w:tabs>
          <w:tab w:leader="none" w:pos="32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center"/>
        <w:ind w:right="-66"/>
        <w:spacing w:after="0"/>
        <w:rPr>
          <w:sz w:val="20"/>
          <w:szCs w:val="20"/>
          <w:color w:val="auto"/>
        </w:rPr>
      </w:pPr>
      <w:r>
        <w:rPr>
          <w:rFonts w:ascii="Arial" w:cs="Arial" w:eastAsia="Arial" w:hAnsi="Arial"/>
          <w:sz w:val="18"/>
          <w:szCs w:val="18"/>
          <w:color w:val="auto"/>
        </w:rPr>
        <w:t>Page 11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7"/>
          </w:cols>
          <w:pgMar w:left="253" w:top="1148" w:right="319" w:bottom="1440" w:gutter="0" w:footer="0" w:header="0"/>
        </w:sectPr>
      </w:pPr>
    </w:p>
    <w:bookmarkStart w:id="74" w:name="page75"/>
    <w:bookmarkEnd w:id="74"/>
    <w:p>
      <w:pPr>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360"/>
          </w:cols>
          <w:pgMar w:left="240" w:top="1152" w:right="299" w:bottom="1440" w:gutter="0" w:footer="0" w:header="0"/>
        </w:sectPr>
      </w:pPr>
    </w:p>
    <w:p>
      <w:pPr>
        <w:spacing w:after="0" w:line="370"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200" w:lineRule="exact"/>
        <w:rPr>
          <w:sz w:val="20"/>
          <w:szCs w:val="20"/>
          <w:color w:val="auto"/>
        </w:rPr>
      </w:pPr>
    </w:p>
    <w:p>
      <w:pPr>
        <w:sectPr>
          <w:pgSz w:w="11900" w:h="16838" w:orient="portrait"/>
          <w:cols w:equalWidth="0" w:num="2">
            <w:col w:w="2800" w:space="680"/>
            <w:col w:w="7880"/>
          </w:cols>
          <w:pgMar w:left="240" w:top="1152" w:right="299" w:bottom="1440" w:gutter="0" w:footer="0" w:header="0"/>
          <w:type w:val="continuous"/>
        </w:sectPr>
      </w:pPr>
    </w:p>
    <w:p>
      <w:pPr>
        <w:spacing w:after="0" w:line="34"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To Employee: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 the address for Employee set forth below.</w:t>
      </w:r>
    </w:p>
    <w:p>
      <w:pPr>
        <w:spacing w:after="0" w:line="200" w:lineRule="exact"/>
        <w:rPr>
          <w:sz w:val="20"/>
          <w:szCs w:val="20"/>
          <w:color w:val="auto"/>
        </w:rPr>
      </w:pPr>
    </w:p>
    <w:p>
      <w:pPr>
        <w:sectPr>
          <w:pgSz w:w="11900" w:h="16838" w:orient="portrait"/>
          <w:cols w:equalWidth="0" w:num="2">
            <w:col w:w="2760" w:space="720"/>
            <w:col w:w="7880"/>
          </w:cols>
          <w:pgMar w:left="240" w:top="1152" w:right="299" w:bottom="1440" w:gutter="0" w:footer="0" w:header="0"/>
          <w:type w:val="continuous"/>
        </w:sectPr>
      </w:pPr>
    </w:p>
    <w:p>
      <w:pPr>
        <w:spacing w:after="0" w:line="44" w:lineRule="exact"/>
        <w:rPr>
          <w:sz w:val="20"/>
          <w:szCs w:val="20"/>
          <w:color w:val="auto"/>
        </w:rPr>
      </w:pPr>
    </w:p>
    <w:p>
      <w:pPr>
        <w:ind w:left="340" w:hanging="327"/>
        <w:spacing w:after="0"/>
        <w:tabs>
          <w:tab w:leader="none" w:pos="3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ind w:left="340" w:right="140" w:hanging="312"/>
        <w:spacing w:after="0" w:line="282" w:lineRule="auto"/>
        <w:tabs>
          <w:tab w:leader="none" w:pos="34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161" w:lineRule="exact"/>
        <w:rPr>
          <w:rFonts w:ascii="Arial" w:cs="Arial" w:eastAsia="Arial" w:hAnsi="Arial"/>
          <w:sz w:val="18"/>
          <w:szCs w:val="18"/>
          <w:b w:val="1"/>
          <w:bCs w:val="1"/>
          <w:color w:val="auto"/>
        </w:rPr>
      </w:pPr>
    </w:p>
    <w:p>
      <w:pPr>
        <w:jc w:val="both"/>
        <w:ind w:left="340" w:right="360" w:hanging="322"/>
        <w:spacing w:after="0" w:line="266" w:lineRule="auto"/>
        <w:tabs>
          <w:tab w:leader="none" w:pos="34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9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176" w:lineRule="exact"/>
        <w:rPr>
          <w:rFonts w:ascii="Arial" w:cs="Arial" w:eastAsia="Arial" w:hAnsi="Arial"/>
          <w:sz w:val="18"/>
          <w:szCs w:val="18"/>
          <w:b w:val="1"/>
          <w:bCs w:val="1"/>
          <w:color w:val="auto"/>
        </w:rPr>
      </w:pPr>
    </w:p>
    <w:p>
      <w:pPr>
        <w:ind w:left="340" w:hanging="302"/>
        <w:spacing w:after="0"/>
        <w:tabs>
          <w:tab w:leader="none" w:pos="340" w:val="left"/>
        </w:tabs>
        <w:numPr>
          <w:ilvl w:val="1"/>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248" w:lineRule="exact"/>
        <w:rPr>
          <w:rFonts w:ascii="Arial" w:cs="Arial" w:eastAsia="Arial" w:hAnsi="Arial"/>
          <w:sz w:val="16"/>
          <w:szCs w:val="16"/>
          <w:b w:val="1"/>
          <w:bCs w:val="1"/>
          <w:color w:val="auto"/>
        </w:rPr>
      </w:pPr>
    </w:p>
    <w:p>
      <w:pPr>
        <w:ind w:left="340" w:hanging="322"/>
        <w:spacing w:after="0"/>
        <w:tabs>
          <w:tab w:leader="none" w:pos="34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225" w:lineRule="exact"/>
        <w:rPr>
          <w:rFonts w:ascii="Arial" w:cs="Arial" w:eastAsia="Arial" w:hAnsi="Arial"/>
          <w:sz w:val="18"/>
          <w:szCs w:val="18"/>
          <w:b w:val="1"/>
          <w:bCs w:val="1"/>
          <w:color w:val="auto"/>
        </w:rPr>
      </w:pPr>
    </w:p>
    <w:p>
      <w:pPr>
        <w:ind w:left="340" w:right="120" w:hanging="302"/>
        <w:spacing w:after="0" w:line="282" w:lineRule="auto"/>
        <w:tabs>
          <w:tab w:leader="none" w:pos="34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color w:val="auto"/>
        </w:rPr>
        <w:t>IN WITNESS WHEREOF, the parties hereto have duly executed this Agreement effective as of the day and year first above written.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Jimmy LaValley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44253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Vice-President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12/19/03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Greg 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707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Greg A Robertson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12/19/03</w:t>
      </w:r>
    </w:p>
    <w:p>
      <w:pPr>
        <w:spacing w:after="0" w:line="1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13 of 13</w:t>
      </w:r>
    </w:p>
    <w:p>
      <w:pPr>
        <w:sectPr>
          <w:pgSz w:w="11900" w:h="16838" w:orient="portrait"/>
          <w:cols w:equalWidth="0" w:num="1">
            <w:col w:w="10219"/>
          </w:cols>
          <w:pgMar w:left="240" w:top="1152"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12</w:t>
      </w:r>
    </w:p>
    <w:p>
      <w:pPr>
        <w:spacing w:after="0" w:line="19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WASTE MANAGEMENT, INC.</w:t>
      </w:r>
    </w:p>
    <w:p>
      <w:pPr>
        <w:spacing w:after="0" w:line="18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47625</wp:posOffset>
            </wp:positionV>
            <wp:extent cx="10293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14" w:lineRule="exact"/>
        <w:rPr>
          <w:sz w:val="20"/>
          <w:szCs w:val="20"/>
          <w:color w:val="auto"/>
        </w:rPr>
      </w:pPr>
    </w:p>
    <w:tbl>
      <w:tblPr>
        <w:tblLayout w:type="fixed"/>
        <w:tblInd w:w="8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Income before income taxes, cumulative effect of changes in accounting</w:t>
            </w:r>
          </w:p>
        </w:tc>
        <w:tc>
          <w:tcPr>
            <w:tcW w:w="1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 net losses in equity investments and minority interests</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8"/>
              </w:rPr>
              <w:t>$ 564</w:t>
            </w:r>
          </w:p>
        </w:tc>
        <w:tc>
          <w:tcPr>
            <w:tcW w:w="160" w:type="dxa"/>
            <w:vAlign w:val="bottom"/>
            <w:shd w:val="clear" w:color="auto" w:fill="EEEEEE"/>
          </w:tcPr>
          <w:p>
            <w:pPr>
              <w:spacing w:after="0"/>
              <w:rPr>
                <w:sz w:val="20"/>
                <w:szCs w:val="20"/>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$ 460</w:t>
            </w:r>
          </w:p>
        </w:tc>
        <w:tc>
          <w:tcPr>
            <w:tcW w:w="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Fixed charges deducted from income:</w:t>
            </w:r>
          </w:p>
        </w:tc>
        <w:tc>
          <w:tcPr>
            <w:tcW w:w="120" w:type="dxa"/>
            <w:vAlign w:val="bottom"/>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Pr>
          <w:p>
            <w:pPr>
              <w:ind w:left="120"/>
              <w:spacing w:after="0"/>
              <w:rPr>
                <w:sz w:val="20"/>
                <w:szCs w:val="20"/>
                <w:color w:val="auto"/>
              </w:rPr>
            </w:pPr>
            <w:r>
              <w:rPr>
                <w:rFonts w:ascii="Arial" w:cs="Arial" w:eastAsia="Arial" w:hAnsi="Arial"/>
                <w:sz w:val="18"/>
                <w:szCs w:val="18"/>
                <w:color w:val="auto"/>
              </w:rPr>
              <w:t>Implicit interest in rents</w:t>
            </w:r>
          </w:p>
        </w:tc>
        <w:tc>
          <w:tcPr>
            <w:tcW w:w="120" w:type="dxa"/>
            <w:vAlign w:val="bottom"/>
          </w:tcPr>
          <w:p>
            <w:pPr>
              <w:spacing w:after="0"/>
              <w:rPr>
                <w:sz w:val="20"/>
                <w:szCs w:val="20"/>
                <w:color w:val="auto"/>
              </w:rPr>
            </w:pP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18"/>
                <w:szCs w:val="18"/>
                <w:color w:val="auto"/>
              </w:rPr>
            </w:pP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Earnings available for fixed charges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3"/>
              </w:rPr>
              <w:t>821</w:t>
            </w:r>
          </w:p>
        </w:tc>
        <w:tc>
          <w:tcPr>
            <w:tcW w:w="1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3"/>
              </w:rPr>
              <w:t>713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8"/>
              </w:rPr>
              <w:t>$ 232</w:t>
            </w:r>
          </w:p>
        </w:tc>
        <w:tc>
          <w:tcPr>
            <w:tcW w:w="160" w:type="dxa"/>
            <w:vAlign w:val="bottom"/>
            <w:shd w:val="clear" w:color="auto" w:fill="EEEEEE"/>
          </w:tcPr>
          <w:p>
            <w:pPr>
              <w:spacing w:after="0"/>
              <w:rPr>
                <w:sz w:val="19"/>
                <w:szCs w:val="19"/>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$ 219</w:t>
            </w:r>
          </w:p>
        </w:tc>
        <w:tc>
          <w:tcPr>
            <w:tcW w:w="1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Capitalized interest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Implicit interest in rents</w:t>
            </w:r>
          </w:p>
        </w:tc>
        <w:tc>
          <w:tcPr>
            <w:tcW w:w="4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Total fixed charges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3"/>
              </w:rPr>
              <w:t>267</w:t>
            </w:r>
          </w:p>
        </w:tc>
        <w:tc>
          <w:tcPr>
            <w:tcW w:w="1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3"/>
              </w:rPr>
              <w:t>263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578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Borders>
              <w:right w:val="single" w:sz="8" w:color="EEEEEE"/>
            </w:tcBorders>
            <w:shd w:val="clear" w:color="auto" w:fill="EEEEEE"/>
          </w:tcPr>
          <w:p>
            <w:pPr>
              <w:spacing w:after="0"/>
              <w:rPr>
                <w:sz w:val="19"/>
                <w:szCs w:val="19"/>
                <w:color w:val="auto"/>
              </w:rPr>
            </w:pPr>
          </w:p>
        </w:tc>
        <w:tc>
          <w:tcPr>
            <w:tcW w:w="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2"/>
              </w:rPr>
              <w:t>3.1x</w:t>
            </w:r>
          </w:p>
        </w:tc>
        <w:tc>
          <w:tcPr>
            <w:tcW w:w="42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2"/>
              </w:rPr>
              <w:t>2.7x</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93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225" w:lineRule="exact"/>
        <w:rPr>
          <w:sz w:val="20"/>
          <w:szCs w:val="20"/>
          <w:color w:val="auto"/>
        </w:rPr>
      </w:pPr>
    </w:p>
    <w:p>
      <w:pPr>
        <w:ind w:left="660" w:hanging="233"/>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ind w:left="660" w:right="140" w:hanging="233"/>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right="340" w:hanging="233"/>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660" w:right="280" w:hanging="233"/>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for the registrant and have:</w:t>
      </w:r>
    </w:p>
    <w:p>
      <w:pPr>
        <w:spacing w:after="0" w:line="170" w:lineRule="exact"/>
        <w:rPr>
          <w:rFonts w:ascii="Arial" w:cs="Arial" w:eastAsia="Arial" w:hAnsi="Arial"/>
          <w:sz w:val="18"/>
          <w:szCs w:val="18"/>
          <w:color w:val="auto"/>
        </w:rPr>
      </w:pPr>
    </w:p>
    <w:p>
      <w:pPr>
        <w:jc w:val="both"/>
        <w:ind w:left="1000" w:right="240" w:hanging="225"/>
        <w:spacing w:after="0" w:line="264" w:lineRule="auto"/>
        <w:tabs>
          <w:tab w:leader="none" w:pos="10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000" w:right="40" w:hanging="235"/>
        <w:spacing w:after="0" w:line="342" w:lineRule="auto"/>
        <w:tabs>
          <w:tab w:leader="none" w:pos="10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40" w:hanging="225"/>
        <w:spacing w:after="0" w:line="264" w:lineRule="auto"/>
        <w:tabs>
          <w:tab w:leader="none" w:pos="10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233"/>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000" w:right="80" w:hanging="225"/>
        <w:spacing w:after="0" w:line="277" w:lineRule="auto"/>
        <w:tabs>
          <w:tab w:leader="none" w:pos="10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120" w:hanging="235"/>
        <w:spacing w:after="0" w:line="277" w:lineRule="auto"/>
        <w:tabs>
          <w:tab w:leader="none" w:pos="10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93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Robert G. Simpson, certify that:</w:t>
      </w:r>
    </w:p>
    <w:p>
      <w:pPr>
        <w:spacing w:after="0" w:line="225" w:lineRule="exact"/>
        <w:rPr>
          <w:sz w:val="20"/>
          <w:szCs w:val="20"/>
          <w:color w:val="auto"/>
        </w:rPr>
      </w:pPr>
    </w:p>
    <w:p>
      <w:pPr>
        <w:ind w:left="660" w:hanging="233"/>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Waste Management, Inc.;</w:t>
      </w:r>
    </w:p>
    <w:p>
      <w:pPr>
        <w:spacing w:after="0" w:line="225" w:lineRule="exact"/>
        <w:rPr>
          <w:rFonts w:ascii="Arial" w:cs="Arial" w:eastAsia="Arial" w:hAnsi="Arial"/>
          <w:sz w:val="18"/>
          <w:szCs w:val="18"/>
          <w:color w:val="auto"/>
        </w:rPr>
      </w:pPr>
    </w:p>
    <w:p>
      <w:pPr>
        <w:ind w:left="660" w:right="140" w:hanging="233"/>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right="340" w:hanging="233"/>
        <w:spacing w:after="0" w:line="34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ind w:left="660" w:right="280" w:hanging="233"/>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for the registrant and have:</w:t>
      </w:r>
    </w:p>
    <w:p>
      <w:pPr>
        <w:spacing w:after="0" w:line="170" w:lineRule="exact"/>
        <w:rPr>
          <w:rFonts w:ascii="Arial" w:cs="Arial" w:eastAsia="Arial" w:hAnsi="Arial"/>
          <w:sz w:val="18"/>
          <w:szCs w:val="18"/>
          <w:color w:val="auto"/>
        </w:rPr>
      </w:pPr>
    </w:p>
    <w:p>
      <w:pPr>
        <w:jc w:val="both"/>
        <w:ind w:left="1000" w:right="240" w:hanging="225"/>
        <w:spacing w:after="0" w:line="264" w:lineRule="auto"/>
        <w:tabs>
          <w:tab w:leader="none" w:pos="10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1000" w:right="40" w:hanging="235"/>
        <w:spacing w:after="0" w:line="342" w:lineRule="auto"/>
        <w:tabs>
          <w:tab w:leader="none" w:pos="10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40" w:hanging="225"/>
        <w:spacing w:after="0" w:line="264" w:lineRule="auto"/>
        <w:tabs>
          <w:tab w:leader="none" w:pos="10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233"/>
        <w:spacing w:after="0" w:line="34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000" w:right="80" w:hanging="225"/>
        <w:spacing w:after="0" w:line="277" w:lineRule="auto"/>
        <w:tabs>
          <w:tab w:leader="none" w:pos="10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120" w:hanging="235"/>
        <w:spacing w:after="0" w:line="277" w:lineRule="auto"/>
        <w:tabs>
          <w:tab w:leader="none" w:pos="10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2004</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G. Simpson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Senior Vice President and Chief Financial Officer</w:t>
      </w:r>
    </w:p>
    <w:p>
      <w:pPr>
        <w:sectPr>
          <w:pgSz w:w="11900" w:h="16838" w:orient="portrait"/>
          <w:cols w:equalWidth="0" w:num="1">
            <w:col w:w="11420"/>
          </w:cols>
          <w:pgMar w:left="240" w:top="134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2004 as filed with the Securities and Exchange Commission on the date hereof (the “Report”), I, David P. Steiner, Chief Executive Officer of the Company, certify, pursuant to 18 U.S.C. § 1350, as adopted pursuant to § 906 of the Sarbanes-Oxley Act of 2002, that:</w:t>
      </w:r>
    </w:p>
    <w:p>
      <w:pPr>
        <w:spacing w:after="0" w:line="154" w:lineRule="exact"/>
        <w:rPr>
          <w:sz w:val="20"/>
          <w:szCs w:val="20"/>
          <w:color w:val="auto"/>
        </w:rPr>
      </w:pPr>
    </w:p>
    <w:p>
      <w:pPr>
        <w:ind w:left="480" w:hanging="247"/>
        <w:spacing w:after="0"/>
        <w:tabs>
          <w:tab w:leader="none" w:pos="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480" w:hanging="247"/>
        <w:spacing w:after="0"/>
        <w:tabs>
          <w:tab w:leader="none" w:pos="4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July 29, 2004</w:t>
      </w:r>
    </w:p>
    <w:p>
      <w:pPr>
        <w:sectPr>
          <w:pgSz w:w="11900" w:h="16838" w:orient="portrait"/>
          <w:cols w:equalWidth="0" w:num="1">
            <w:col w:w="11420"/>
          </w:cols>
          <w:pgMar w:left="240" w:top="134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2004 as filed with the Securities and Exchange Commission on the date hereof (the “Report”), I, Robert G. Simpson, Chief Financial Officer of the Company, certify, pursuant to 18 U.S.C. § 1350, as adopted pursuant to § 906 of the Sarbanes-Oxley Act of 2002, that:</w:t>
      </w:r>
    </w:p>
    <w:p>
      <w:pPr>
        <w:spacing w:after="0" w:line="141" w:lineRule="exact"/>
        <w:rPr>
          <w:sz w:val="20"/>
          <w:szCs w:val="20"/>
          <w:color w:val="auto"/>
        </w:rPr>
      </w:pPr>
    </w:p>
    <w:p>
      <w:pPr>
        <w:ind w:left="480" w:hanging="247"/>
        <w:spacing w:after="0"/>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480" w:hanging="247"/>
        <w:spacing w:after="0"/>
        <w:tabs>
          <w:tab w:leader="none" w:pos="4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G. Simpson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July 29, 2004</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o"/>
      <w:numFmt w:val="bullet"/>
      <w:start w:val="1"/>
    </w:lvl>
  </w:abstractNum>
  <w:abstractNum w:abstractNumId="2">
    <w:nsid w:val="649BB77C"/>
    <w:multiLevelType w:val="hybridMultilevel"/>
    <w:lvl w:ilvl="0">
      <w:lvlJc w:val="left"/>
      <w:lvlText w:val="%1."/>
      <w:numFmt w:val="decimal"/>
      <w:start w:val="1"/>
    </w:lvl>
  </w:abstractNum>
  <w:abstractNum w:abstractNumId="3">
    <w:nsid w:val="275AC794"/>
    <w:multiLevelType w:val="hybridMultilevel"/>
    <w:lvl w:ilvl="0">
      <w:lvlJc w:val="left"/>
      <w:lvlText w:val="(%1)"/>
      <w:numFmt w:val="lowerRoman"/>
      <w:start w:val="3"/>
    </w:lvl>
  </w:abstractNum>
  <w:abstractNum w:abstractNumId="4">
    <w:nsid w:val="39386575"/>
    <w:multiLevelType w:val="hybridMultilevel"/>
    <w:lvl w:ilvl="0">
      <w:lvlJc w:val="left"/>
      <w:lvlText w:val="%1."/>
      <w:numFmt w:val="decimal"/>
      <w:start w:val="2"/>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1)"/>
      <w:numFmt w:val="lowerLetter"/>
      <w:start w:val="1"/>
    </w:lvl>
  </w:abstractNum>
  <w:abstractNum w:abstractNumId="7">
    <w:nsid w:val="235BA861"/>
    <w:multiLevelType w:val="hybridMultilevel"/>
    <w:lvl w:ilvl="0">
      <w:lvlJc w:val="left"/>
      <w:lvlText w:val="%1)"/>
      <w:numFmt w:val="lowerLetter"/>
      <w:start w:val="6"/>
    </w:lvl>
  </w:abstractNum>
  <w:abstractNum w:abstractNumId="8">
    <w:nsid w:val="47398C89"/>
    <w:multiLevelType w:val="hybridMultilevel"/>
    <w:lvl w:ilvl="0">
      <w:lvlJc w:val="left"/>
      <w:lvlText w:val="%1)"/>
      <w:numFmt w:val="lowerLetter"/>
      <w:start w:val="1"/>
    </w:lvl>
  </w:abstractNum>
  <w:abstractNum w:abstractNumId="9">
    <w:nsid w:val="354FE9F9"/>
    <w:multiLevelType w:val="hybridMultilevel"/>
    <w:lvl w:ilvl="0">
      <w:lvlJc w:val="left"/>
      <w:lvlText w:val="%1)"/>
      <w:numFmt w:val="lowerLetter"/>
      <w:start w:val="1"/>
    </w:lvl>
  </w:abstractNum>
  <w:abstractNum w:abstractNumId="10">
    <w:nsid w:val="15B5AF5C"/>
    <w:multiLevelType w:val="hybridMultilevel"/>
    <w:lvl w:ilvl="0">
      <w:lvlJc w:val="left"/>
      <w:lvlText w:val="%1)"/>
      <w:numFmt w:val="lowerLetter"/>
      <w:start w:val="1"/>
    </w:lvl>
  </w:abstractNum>
  <w:abstractNum w:abstractNumId="11">
    <w:nsid w:val="741226BB"/>
    <w:multiLevelType w:val="hybridMultilevel"/>
    <w:lvl w:ilvl="0">
      <w:lvlJc w:val="left"/>
      <w:lvlText w:val="%1."/>
      <w:numFmt w:val="decimal"/>
      <w:start w:val="4"/>
    </w:lvl>
  </w:abstractNum>
  <w:abstractNum w:abstractNumId="12">
    <w:nsid w:val="D34B6A8"/>
    <w:multiLevelType w:val="hybridMultilevel"/>
    <w:lvl w:ilvl="0">
      <w:lvlJc w:val="left"/>
      <w:lvlText w:val="%1."/>
      <w:numFmt w:val="decimal"/>
      <w:start w:val="5"/>
    </w:lvl>
  </w:abstractNum>
  <w:abstractNum w:abstractNumId="13">
    <w:nsid w:val="10233C99"/>
    <w:multiLevelType w:val="hybridMultilevel"/>
    <w:lvl w:ilvl="0">
      <w:lvlJc w:val="left"/>
      <w:lvlText w:val="%1."/>
      <w:numFmt w:val="decimal"/>
      <w:start w:val="6"/>
    </w:lvl>
  </w:abstractNum>
  <w:abstractNum w:abstractNumId="14">
    <w:nsid w:val="3F6AB60F"/>
    <w:multiLevelType w:val="hybridMultilevel"/>
    <w:lvl w:ilvl="0">
      <w:lvlJc w:val="left"/>
      <w:lvlText w:val="%1."/>
      <w:numFmt w:val="decimal"/>
      <w:start w:val="7"/>
    </w:lvl>
  </w:abstractNum>
  <w:abstractNum w:abstractNumId="15">
    <w:nsid w:val="61574095"/>
    <w:multiLevelType w:val="hybridMultilevel"/>
    <w:lvl w:ilvl="0">
      <w:lvlJc w:val="left"/>
      <w:lvlText w:val="%1."/>
      <w:numFmt w:val="decimal"/>
      <w:start w:val="8"/>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1)"/>
      <w:numFmt w:val="lowerRoman"/>
      <w:start w:val="6"/>
    </w:lvl>
  </w:abstractNum>
  <w:abstractNum w:abstractNumId="19">
    <w:nsid w:val="310C50B3"/>
    <w:multiLevelType w:val="hybridMultilevel"/>
    <w:lvl w:ilvl="0">
      <w:lvlJc w:val="left"/>
      <w:lvlText w:val="%1)"/>
      <w:numFmt w:val="lowerLetter"/>
      <w:start w:val="1"/>
    </w:lvl>
  </w:abstractNum>
  <w:abstractNum w:abstractNumId="20">
    <w:nsid w:val="5FF87E05"/>
    <w:multiLevelType w:val="hybridMultilevel"/>
    <w:lvl w:ilvl="0">
      <w:lvlJc w:val="left"/>
      <w:lvlText w:val="%1)"/>
      <w:numFmt w:val="lowerLetter"/>
      <w:start w:val="1"/>
    </w:lvl>
  </w:abstractNum>
  <w:abstractNum w:abstractNumId="21">
    <w:nsid w:val="2F305DEF"/>
    <w:multiLevelType w:val="hybridMultilevel"/>
    <w:lvl w:ilvl="0">
      <w:lvlJc w:val="left"/>
      <w:lvlText w:val="%1"/>
      <w:numFmt w:val="decimal"/>
      <w:start w:val="1"/>
    </w:lvl>
    <w:lvl w:ilvl="1">
      <w:lvlJc w:val="left"/>
      <w:lvlText w:val="%2)"/>
      <w:numFmt w:val="lowerLetter"/>
      <w:start w:val="1"/>
    </w:lvl>
  </w:abstractNum>
  <w:abstractNum w:abstractNumId="22">
    <w:nsid w:val="25A70BF7"/>
    <w:multiLevelType w:val="hybridMultilevel"/>
    <w:lvl w:ilvl="0">
      <w:lvlJc w:val="left"/>
      <w:lvlText w:val="%1."/>
      <w:numFmt w:val="decimal"/>
      <w:start w:val="11"/>
    </w:lvl>
    <w:lvl w:ilvl="1">
      <w:lvlJc w:val="left"/>
      <w:lvlText w:val="%2"/>
      <w:numFmt w:val="lowerLetter"/>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1)"/>
      <w:numFmt w:val="lowerLetter"/>
      <w:start w:val="1"/>
    </w:lvl>
  </w:abstractNum>
  <w:abstractNum w:abstractNumId="27">
    <w:nsid w:val="5DB70AE5"/>
    <w:multiLevelType w:val="hybridMultilevel"/>
    <w:lvl w:ilvl="0">
      <w:lvlJc w:val="left"/>
      <w:lvlText w:val="%1)"/>
      <w:numFmt w:val="lowerLetter"/>
      <w:start w:val="4"/>
    </w:lvl>
  </w:abstractNum>
  <w:abstractNum w:abstractNumId="28">
    <w:nsid w:val="100F8FCA"/>
    <w:multiLevelType w:val="hybridMultilevel"/>
    <w:lvl w:ilvl="0">
      <w:lvlJc w:val="left"/>
      <w:lvlText w:val="(%1)"/>
      <w:numFmt w:val="lowerRoman"/>
      <w:start w:val="3"/>
    </w:lvl>
  </w:abstractNum>
  <w:abstractNum w:abstractNumId="29">
    <w:nsid w:val="6590700B"/>
    <w:multiLevelType w:val="hybridMultilevel"/>
    <w:lvl w:ilvl="0">
      <w:lvlJc w:val="left"/>
      <w:lvlText w:val="%1)"/>
      <w:numFmt w:val="lowerLetter"/>
      <w:start w:val="1"/>
    </w:lvl>
  </w:abstractNum>
  <w:abstractNum w:abstractNumId="30">
    <w:nsid w:val="15014ACB"/>
    <w:multiLevelType w:val="hybridMultilevel"/>
    <w:lvl w:ilvl="0">
      <w:lvlJc w:val="left"/>
      <w:lvlText w:val="(%1)"/>
      <w:numFmt w:val="lowerRoman"/>
      <w:start w:val="2"/>
    </w:lvl>
  </w:abstractNum>
  <w:abstractNum w:abstractNumId="31">
    <w:nsid w:val="5F5E7FD0"/>
    <w:multiLevelType w:val="hybridMultilevel"/>
    <w:lvl w:ilvl="0">
      <w:lvlJc w:val="left"/>
      <w:lvlText w:val="%1)"/>
      <w:numFmt w:val="lowerLetter"/>
      <w:start w:val="1"/>
    </w:lvl>
  </w:abstractNum>
  <w:abstractNum w:abstractNumId="32">
    <w:nsid w:val="98A3148"/>
    <w:multiLevelType w:val="hybridMultilevel"/>
    <w:lvl w:ilvl="0">
      <w:lvlJc w:val="left"/>
      <w:lvlText w:val="%1)"/>
      <w:numFmt w:val="lowerLetter"/>
      <w:start w:val="1"/>
    </w:lvl>
  </w:abstractNum>
  <w:abstractNum w:abstractNumId="33">
    <w:nsid w:val="799D0247"/>
    <w:multiLevelType w:val="hybridMultilevel"/>
    <w:lvl w:ilvl="0">
      <w:lvlJc w:val="left"/>
      <w:lvlText w:val="%1)"/>
      <w:numFmt w:val="lowerLetter"/>
      <w:start w:val="1"/>
    </w:lvl>
  </w:abstractNum>
  <w:abstractNum w:abstractNumId="34">
    <w:nsid w:val="6B94764"/>
    <w:multiLevelType w:val="hybridMultilevel"/>
    <w:lvl w:ilvl="0">
      <w:lvlJc w:val="left"/>
      <w:lvlText w:val="%1)"/>
      <w:numFmt w:val="lowerLetter"/>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1)"/>
      <w:numFmt w:val="lowerRoman"/>
      <w:start w:val="2"/>
    </w:lvl>
  </w:abstractNum>
  <w:abstractNum w:abstractNumId="38">
    <w:nsid w:val="661E3F1E"/>
    <w:multiLevelType w:val="hybridMultilevel"/>
    <w:lvl w:ilvl="0">
      <w:lvlJc w:val="left"/>
      <w:lvlText w:val="%1)"/>
      <w:numFmt w:val="lowerLetter"/>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1)"/>
      <w:numFmt w:val="lowerLetter"/>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1)"/>
      <w:numFmt w:val="lowerLetter"/>
      <w:start w:val="1"/>
    </w:lvl>
  </w:abstractNum>
  <w:abstractNum w:abstractNumId="43">
    <w:nsid w:val="613EFDC5"/>
    <w:multiLevelType w:val="hybridMultilevel"/>
    <w:lvl w:ilvl="0">
      <w:lvlJc w:val="left"/>
      <w:lvlText w:val="(%1)"/>
      <w:numFmt w:val="lowerLetter"/>
      <w:start w:val="2"/>
    </w:lvl>
  </w:abstractNum>
  <w:abstractNum w:abstractNumId="44">
    <w:nsid w:val="BF72B14"/>
    <w:multiLevelType w:val="hybridMultilevel"/>
    <w:lvl w:ilvl="0">
      <w:lvlJc w:val="left"/>
      <w:lvlText w:val="%1."/>
      <w:numFmt w:val="decimal"/>
      <w:start w:val="1"/>
    </w:lvl>
  </w:abstractNum>
  <w:abstractNum w:abstractNumId="45">
    <w:nsid w:val="11447B73"/>
    <w:multiLevelType w:val="hybridMultilevel"/>
    <w:lvl w:ilvl="0">
      <w:lvlJc w:val="left"/>
      <w:lvlText w:val="%1."/>
      <w:numFmt w:val="decimal"/>
      <w:start w:val="2"/>
    </w:lvl>
  </w:abstractNum>
  <w:abstractNum w:abstractNumId="46">
    <w:nsid w:val="42963E5A"/>
    <w:multiLevelType w:val="hybridMultilevel"/>
    <w:lvl w:ilvl="0">
      <w:lvlJc w:val="left"/>
      <w:lvlText w:val="%1."/>
      <w:numFmt w:val="decimal"/>
      <w:start w:val="3"/>
    </w:lvl>
  </w:abstractNum>
  <w:abstractNum w:abstractNumId="47">
    <w:nsid w:val="A0382C5"/>
    <w:multiLevelType w:val="hybridMultilevel"/>
    <w:lvl w:ilvl="0">
      <w:lvlJc w:val="left"/>
      <w:lvlText w:val="(%1)"/>
      <w:numFmt w:val="lowerLetter"/>
      <w:start w:val="1"/>
    </w:lvl>
  </w:abstractNum>
  <w:abstractNum w:abstractNumId="48">
    <w:nsid w:val="8F2B15E"/>
    <w:multiLevelType w:val="hybridMultilevel"/>
    <w:lvl w:ilvl="0">
      <w:lvlJc w:val="left"/>
      <w:lvlText w:val="%1."/>
      <w:numFmt w:val="decimal"/>
      <w:start w:val="4"/>
    </w:lvl>
  </w:abstractNum>
  <w:abstractNum w:abstractNumId="49">
    <w:nsid w:val="1A32234B"/>
    <w:multiLevelType w:val="hybridMultilevel"/>
    <w:lvl w:ilvl="0">
      <w:lvlJc w:val="left"/>
      <w:lvlText w:val="(%1)"/>
      <w:numFmt w:val="lowerLetter"/>
      <w:start w:val="1"/>
    </w:lvl>
  </w:abstractNum>
  <w:abstractNum w:abstractNumId="50">
    <w:nsid w:val="3B0FD379"/>
    <w:multiLevelType w:val="hybridMultilevel"/>
    <w:lvl w:ilvl="0">
      <w:lvlJc w:val="left"/>
      <w:lvlText w:val="(%1)"/>
      <w:numFmt w:val="lowerLetter"/>
      <w:start w:val="2"/>
    </w:lvl>
  </w:abstractNum>
  <w:abstractNum w:abstractNumId="51">
    <w:nsid w:val="68EB2F63"/>
    <w:multiLevelType w:val="hybridMultilevel"/>
    <w:lvl w:ilvl="0">
      <w:lvlJc w:val="left"/>
      <w:lvlText w:val="%1."/>
      <w:numFmt w:val="decimal"/>
      <w:start w:val="5"/>
    </w:lvl>
  </w:abstractNum>
  <w:abstractNum w:abstractNumId="52">
    <w:nsid w:val="4962813B"/>
    <w:multiLevelType w:val="hybridMultilevel"/>
    <w:lvl w:ilvl="0">
      <w:lvlJc w:val="left"/>
      <w:lvlText w:val="(%1)"/>
      <w:numFmt w:val="lowerLetter"/>
      <w:start w:val="1"/>
    </w:lvl>
  </w:abstractNum>
  <w:abstractNum w:abstractNumId="53">
    <w:nsid w:val="60B6DF70"/>
    <w:multiLevelType w:val="hybridMultilevel"/>
    <w:lvl w:ilvl="0">
      <w:lvlJc w:val="left"/>
      <w:lvlText w:val="(%1)"/>
      <w:numFmt w:val="lowerRoman"/>
      <w:start w:val="1"/>
    </w:lvl>
  </w:abstractNum>
  <w:abstractNum w:abstractNumId="54">
    <w:nsid w:val="6A5EE64"/>
    <w:multiLevelType w:val="hybridMultilevel"/>
    <w:lvl w:ilvl="0">
      <w:lvlJc w:val="left"/>
      <w:lvlText w:val="%1"/>
      <w:numFmt w:val="lowerLetter"/>
      <w:start w:val="1"/>
    </w:lvl>
    <w:lvl w:ilvl="1">
      <w:lvlJc w:val="left"/>
      <w:lvlText w:val="(%2)"/>
      <w:numFmt w:val="lowerRoman"/>
      <w:start w:val="2"/>
    </w:lvl>
  </w:abstractNum>
  <w:abstractNum w:abstractNumId="55">
    <w:nsid w:val="14330624"/>
    <w:multiLevelType w:val="hybridMultilevel"/>
    <w:lvl w:ilvl="0">
      <w:lvlJc w:val="left"/>
      <w:lvlText w:val="(%1)"/>
      <w:numFmt w:val="lowerLetter"/>
      <w:start w:val="4"/>
    </w:lvl>
    <w:lvl w:ilvl="1">
      <w:lvlJc w:val="left"/>
      <w:lvlText w:val="%2"/>
      <w:numFmt w:val="lowerRoman"/>
      <w:start w:val="1"/>
    </w:lvl>
  </w:abstractNum>
  <w:abstractNum w:abstractNumId="56">
    <w:nsid w:val="7FFFCA11"/>
    <w:multiLevelType w:val="hybridMultilevel"/>
    <w:lvl w:ilvl="0">
      <w:lvlJc w:val="left"/>
      <w:lvlText w:val="%1."/>
      <w:numFmt w:val="decimal"/>
      <w:start w:val="6"/>
    </w:lvl>
  </w:abstractNum>
  <w:abstractNum w:abstractNumId="57">
    <w:nsid w:val="1A27709E"/>
    <w:multiLevelType w:val="hybridMultilevel"/>
    <w:lvl w:ilvl="0">
      <w:lvlJc w:val="left"/>
      <w:lvlText w:val="(%1)"/>
      <w:numFmt w:val="lowerLetter"/>
      <w:start w:val="1"/>
    </w:lvl>
    <w:lvl w:ilvl="1">
      <w:lvlJc w:val="left"/>
      <w:lvlText w:val="(%2)"/>
      <w:numFmt w:val="lowerRoman"/>
      <w:start w:val="1"/>
    </w:lvl>
  </w:abstractNum>
  <w:abstractNum w:abstractNumId="58">
    <w:nsid w:val="71EA110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9">
    <w:nsid w:val="100F59DC"/>
    <w:multiLevelType w:val="hybridMultilevel"/>
    <w:lvl w:ilvl="0">
      <w:lvlJc w:val="left"/>
      <w:lvlText w:val="(%1)"/>
      <w:numFmt w:val="lowerLetter"/>
      <w:start w:val="3"/>
    </w:lvl>
    <w:lvl w:ilvl="1">
      <w:lvlJc w:val="left"/>
      <w:lvlText w:val="(%2)"/>
      <w:numFmt w:val="lowerRoman"/>
      <w:start w:val="1"/>
    </w:lvl>
  </w:abstractNum>
  <w:abstractNum w:abstractNumId="60">
    <w:nsid w:val="7FB7E0AA"/>
    <w:multiLevelType w:val="hybridMultilevel"/>
    <w:lvl w:ilvl="0">
      <w:lvlJc w:val="left"/>
      <w:lvlText w:val="(%1)"/>
      <w:numFmt w:val="lowerLetter"/>
      <w:start w:val="4"/>
    </w:lvl>
    <w:lvl w:ilvl="1">
      <w:lvlJc w:val="left"/>
      <w:lvlText w:val="(%2)"/>
      <w:numFmt w:val="lowerRoman"/>
      <w:start w:val="1"/>
    </w:lvl>
  </w:abstractNum>
  <w:abstractNum w:abstractNumId="61">
    <w:nsid w:val="6EB5BD4"/>
    <w:multiLevelType w:val="hybridMultilevel"/>
    <w:lvl w:ilvl="0">
      <w:lvlJc w:val="left"/>
      <w:lvlText w:val="(%1)"/>
      <w:numFmt w:val="lowerLetter"/>
      <w:start w:val="6"/>
    </w:lvl>
    <w:lvl w:ilvl="1">
      <w:lvlJc w:val="left"/>
      <w:lvlText w:val="(%2)"/>
      <w:numFmt w:val="lowerRoman"/>
      <w:start w:val="1"/>
    </w:lvl>
  </w:abstractNum>
  <w:abstractNum w:abstractNumId="62">
    <w:nsid w:val="6F6DD9AC"/>
    <w:multiLevelType w:val="hybridMultilevel"/>
    <w:lvl w:ilvl="0">
      <w:lvlJc w:val="left"/>
      <w:lvlText w:val="%1."/>
      <w:numFmt w:val="decimal"/>
      <w:start w:val="7"/>
    </w:lvl>
  </w:abstractNum>
  <w:abstractNum w:abstractNumId="63">
    <w:nsid w:val="94211F2"/>
    <w:multiLevelType w:val="hybridMultilevel"/>
    <w:lvl w:ilvl="0">
      <w:lvlJc w:val="left"/>
      <w:lvlText w:val="(%1)"/>
      <w:numFmt w:val="lowerLetter"/>
      <w:start w:val="1"/>
    </w:lvl>
  </w:abstractNum>
  <w:abstractNum w:abstractNumId="64">
    <w:nsid w:val="885E1B"/>
    <w:multiLevelType w:val="hybridMultilevel"/>
    <w:lvl w:ilvl="0">
      <w:lvlJc w:val="left"/>
      <w:lvlText w:val="(%1)"/>
      <w:numFmt w:val="lowerLetter"/>
      <w:start w:val="2"/>
    </w:lvl>
  </w:abstractNum>
  <w:abstractNum w:abstractNumId="65">
    <w:nsid w:val="76272110"/>
    <w:multiLevelType w:val="hybridMultilevel"/>
    <w:lvl w:ilvl="0">
      <w:lvlJc w:val="left"/>
      <w:lvlText w:val="(%1)"/>
      <w:numFmt w:val="lowerLetter"/>
      <w:start w:val="4"/>
    </w:lvl>
  </w:abstractNum>
  <w:abstractNum w:abstractNumId="66">
    <w:nsid w:val="4C04A8AF"/>
    <w:multiLevelType w:val="hybridMultilevel"/>
    <w:lvl w:ilvl="0">
      <w:lvlJc w:val="left"/>
      <w:lvlText w:val="%1."/>
      <w:numFmt w:val="decimal"/>
      <w:start w:val="8"/>
    </w:lvl>
  </w:abstractNum>
  <w:abstractNum w:abstractNumId="67">
    <w:nsid w:val="1716703B"/>
    <w:multiLevelType w:val="hybridMultilevel"/>
    <w:lvl w:ilvl="0">
      <w:lvlJc w:val="left"/>
      <w:lvlText w:val="%1"/>
      <w:numFmt w:val="lowerLetter"/>
      <w:start w:val="1"/>
    </w:lvl>
    <w:lvl w:ilvl="1">
      <w:lvlJc w:val="left"/>
      <w:lvlText w:val="(%2)"/>
      <w:numFmt w:val="lowerLetter"/>
      <w:start w:val="1"/>
    </w:lvl>
  </w:abstractNum>
  <w:abstractNum w:abstractNumId="68">
    <w:nsid w:val="14E17E33"/>
    <w:multiLevelType w:val="hybridMultilevel"/>
    <w:lvl w:ilvl="0">
      <w:lvlJc w:val="left"/>
      <w:lvlText w:val="(%1)"/>
      <w:numFmt w:val="lowerLetter"/>
      <w:start w:val="35"/>
    </w:lvl>
    <w:lvl w:ilvl="1">
      <w:lvlJc w:val="left"/>
      <w:lvlText w:val="(%2)"/>
      <w:numFmt w:val="lowerLetter"/>
      <w:start w:val="3"/>
    </w:lvl>
  </w:abstractNum>
  <w:abstractNum w:abstractNumId="69">
    <w:nsid w:val="3222E7CD"/>
    <w:multiLevelType w:val="hybridMultilevel"/>
    <w:lvl w:ilvl="0">
      <w:lvlJc w:val="left"/>
      <w:lvlText w:val="%1."/>
      <w:numFmt w:val="decimal"/>
      <w:start w:val="9"/>
    </w:lvl>
  </w:abstractNum>
  <w:abstractNum w:abstractNumId="70">
    <w:nsid w:val="74DE0EE3"/>
    <w:multiLevelType w:val="hybridMultilevel"/>
    <w:lvl w:ilvl="0">
      <w:lvlJc w:val="left"/>
      <w:lvlText w:val="%1."/>
      <w:numFmt w:val="decimal"/>
      <w:start w:val="10"/>
    </w:lvl>
  </w:abstractNum>
  <w:abstractNum w:abstractNumId="71">
    <w:nsid w:val="68EBC550"/>
    <w:multiLevelType w:val="hybridMultilevel"/>
    <w:lvl w:ilvl="0">
      <w:lvlJc w:val="left"/>
      <w:lvlText w:val="%1."/>
      <w:numFmt w:val="decimal"/>
      <w:start w:val="11"/>
    </w:lvl>
  </w:abstractNum>
  <w:abstractNum w:abstractNumId="72">
    <w:nsid w:val="2DF6D648"/>
    <w:multiLevelType w:val="hybridMultilevel"/>
    <w:lvl w:ilvl="0">
      <w:lvlJc w:val="left"/>
      <w:lvlText w:val="%1."/>
      <w:numFmt w:val="decimal"/>
      <w:start w:val="12"/>
    </w:lvl>
  </w:abstractNum>
  <w:abstractNum w:abstractNumId="73">
    <w:nsid w:val="46B7D447"/>
    <w:multiLevelType w:val="hybridMultilevel"/>
    <w:lvl w:ilvl="0">
      <w:lvlJc w:val="left"/>
      <w:lvlText w:val="%1."/>
      <w:numFmt w:val="decimal"/>
      <w:start w:val="13"/>
    </w:lvl>
  </w:abstractNum>
  <w:abstractNum w:abstractNumId="74">
    <w:nsid w:val="4A2AC315"/>
    <w:multiLevelType w:val="hybridMultilevel"/>
    <w:lvl w:ilvl="0">
      <w:lvlJc w:val="left"/>
      <w:lvlText w:val="%1."/>
      <w:numFmt w:val="decimal"/>
      <w:start w:val="14"/>
    </w:lvl>
  </w:abstractNum>
  <w:abstractNum w:abstractNumId="75">
    <w:nsid w:val="39EE015C"/>
    <w:multiLevelType w:val="hybridMultilevel"/>
    <w:lvl w:ilvl="0">
      <w:lvlJc w:val="left"/>
      <w:lvlText w:val="%1."/>
      <w:numFmt w:val="decimal"/>
      <w:start w:val="15"/>
    </w:lvl>
  </w:abstractNum>
  <w:abstractNum w:abstractNumId="76">
    <w:nsid w:val="57FC4FBB"/>
    <w:multiLevelType w:val="hybridMultilevel"/>
    <w:lvl w:ilvl="0">
      <w:lvlJc w:val="left"/>
      <w:lvlText w:val="%1."/>
      <w:numFmt w:val="decimal"/>
      <w:start w:val="16"/>
    </w:lvl>
  </w:abstractNum>
  <w:abstractNum w:abstractNumId="77">
    <w:nsid w:val="CC1016F"/>
    <w:multiLevelType w:val="hybridMultilevel"/>
    <w:lvl w:ilvl="0">
      <w:lvlJc w:val="left"/>
      <w:lvlText w:val="(%1)"/>
      <w:numFmt w:val="lowerLetter"/>
      <w:start w:val="1"/>
    </w:lvl>
  </w:abstractNum>
  <w:abstractNum w:abstractNumId="78">
    <w:nsid w:val="43F18422"/>
    <w:multiLevelType w:val="hybridMultilevel"/>
    <w:lvl w:ilvl="0">
      <w:lvlJc w:val="left"/>
      <w:lvlText w:val="(%1)"/>
      <w:numFmt w:val="lowerLetter"/>
      <w:start w:val="4"/>
    </w:lvl>
  </w:abstractNum>
  <w:abstractNum w:abstractNumId="79">
    <w:nsid w:val="60EF0119"/>
    <w:multiLevelType w:val="hybridMultilevel"/>
    <w:lvl w:ilvl="0">
      <w:lvlJc w:val="left"/>
      <w:lvlText w:val="%1."/>
      <w:numFmt w:val="decimal"/>
      <w:start w:val="3"/>
    </w:lvl>
    <w:lvl w:ilvl="1">
      <w:lvlJc w:val="left"/>
      <w:lvlText w:val="(%2)"/>
      <w:numFmt w:val="lowerLetter"/>
      <w:start w:val="1"/>
    </w:lvl>
  </w:abstractNum>
  <w:abstractNum w:abstractNumId="80">
    <w:nsid w:val="26F324BA"/>
    <w:multiLevelType w:val="hybridMultilevel"/>
    <w:lvl w:ilvl="0">
      <w:lvlJc w:val="left"/>
      <w:lvlText w:val="(%1)"/>
      <w:numFmt w:val="lowerLetter"/>
      <w:start w:val="4"/>
    </w:lvl>
  </w:abstractNum>
  <w:abstractNum w:abstractNumId="81">
    <w:nsid w:val="7F0157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2">
    <w:nsid w:val="49DA307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83">
    <w:nsid w:val="7055A5F5"/>
    <w:multiLevelType w:val="hybridMultilevel"/>
    <w:lvl w:ilvl="0">
      <w:lvlJc w:val="left"/>
      <w:lvlText w:val="%1"/>
      <w:numFmt w:val="lowerLetter"/>
      <w:start w:val="1"/>
    </w:lvl>
    <w:lvl w:ilvl="1">
      <w:lvlJc w:val="left"/>
      <w:lvlText w:val="(%2)"/>
      <w:numFmt w:val="lowerRoman"/>
      <w:start w:val="2"/>
    </w:lvl>
  </w:abstractNum>
  <w:abstractNum w:abstractNumId="84">
    <w:nsid w:val="5FB8370B"/>
    <w:multiLevelType w:val="hybridMultilevel"/>
    <w:lvl w:ilvl="0">
      <w:lvlJc w:val="left"/>
      <w:lvlText w:val="(%1)"/>
      <w:numFmt w:val="lowerLetter"/>
      <w:start w:val="4"/>
    </w:lvl>
    <w:lvl w:ilvl="1">
      <w:lvlJc w:val="left"/>
      <w:lvlText w:val="%2"/>
      <w:numFmt w:val="lowerRoman"/>
      <w:start w:val="1"/>
    </w:lvl>
  </w:abstractNum>
  <w:abstractNum w:abstractNumId="85">
    <w:nsid w:val="50801EE1"/>
    <w:multiLevelType w:val="hybridMultilevel"/>
    <w:lvl w:ilvl="0">
      <w:lvlJc w:val="left"/>
      <w:lvlText w:val="(%1)"/>
      <w:numFmt w:val="lowerLetter"/>
      <w:start w:val="1"/>
    </w:lvl>
    <w:lvl w:ilvl="1">
      <w:lvlJc w:val="left"/>
      <w:lvlText w:val="(%2)"/>
      <w:numFmt w:val="lowerRoman"/>
      <w:start w:val="1"/>
    </w:lvl>
  </w:abstractNum>
  <w:abstractNum w:abstractNumId="86">
    <w:nsid w:val="488AC1A"/>
    <w:multiLevelType w:val="hybridMultilevel"/>
    <w:lvl w:ilvl="0">
      <w:lvlJc w:val="left"/>
      <w:lvlText w:val="(%1)"/>
      <w:numFmt w:val="lowerLetter"/>
      <w:start w:val="2"/>
    </w:lvl>
    <w:lvl w:ilvl="1">
      <w:lvlJc w:val="left"/>
      <w:lvlText w:val="(%2)"/>
      <w:numFmt w:val="lowerRoman"/>
      <w:start w:val="1"/>
    </w:lvl>
  </w:abstractNum>
  <w:abstractNum w:abstractNumId="87">
    <w:nsid w:val="5FB8011C"/>
    <w:multiLevelType w:val="hybridMultilevel"/>
    <w:lvl w:ilvl="0">
      <w:lvlJc w:val="left"/>
      <w:lvlText w:val="%1"/>
      <w:numFmt w:val="lowerLetter"/>
      <w:start w:val="1"/>
    </w:lvl>
    <w:lvl w:ilvl="1">
      <w:lvlJc w:val="left"/>
      <w:lvlText w:val="(%2)"/>
      <w:numFmt w:val="lowerRoman"/>
      <w:start w:val="2"/>
    </w:lvl>
  </w:abstractNum>
  <w:abstractNum w:abstractNumId="88">
    <w:nsid w:val="6AA78F7F"/>
    <w:multiLevelType w:val="hybridMultilevel"/>
    <w:lvl w:ilvl="0">
      <w:lvlJc w:val="left"/>
      <w:lvlText w:val="(%1)"/>
      <w:numFmt w:val="lowerLetter"/>
      <w:start w:val="5"/>
    </w:lvl>
    <w:lvl w:ilvl="1">
      <w:lvlJc w:val="left"/>
      <w:lvlText w:val="(%2)"/>
      <w:numFmt w:val="lowerRoman"/>
      <w:start w:val="1"/>
    </w:lvl>
  </w:abstractNum>
  <w:abstractNum w:abstractNumId="89">
    <w:nsid w:val="7672BD23"/>
    <w:multiLevelType w:val="hybridMultilevel"/>
    <w:lvl w:ilvl="0">
      <w:lvlJc w:val="left"/>
      <w:lvlText w:val="(%1)"/>
      <w:numFmt w:val="lowerLetter"/>
      <w:start w:val="7"/>
    </w:lvl>
    <w:lvl w:ilvl="1">
      <w:lvlJc w:val="left"/>
      <w:lvlText w:val="(%2)"/>
      <w:numFmt w:val="lowerRoman"/>
      <w:start w:val="1"/>
    </w:lvl>
  </w:abstractNum>
  <w:abstractNum w:abstractNumId="90">
    <w:nsid w:val="6FC75AF8"/>
    <w:multiLevelType w:val="hybridMultilevel"/>
    <w:lvl w:ilvl="0">
      <w:lvlJc w:val="left"/>
      <w:lvlText w:val="(%1)"/>
      <w:numFmt w:val="lowerLetter"/>
      <w:start w:val="1"/>
    </w:lvl>
    <w:lvl w:ilvl="1">
      <w:lvlJc w:val="left"/>
      <w:lvlText w:val="(%2)"/>
      <w:numFmt w:val="lowerRoman"/>
      <w:start w:val="1"/>
    </w:lvl>
  </w:abstractNum>
  <w:abstractNum w:abstractNumId="91">
    <w:nsid w:val="6A5F7029"/>
    <w:multiLevelType w:val="hybridMultilevel"/>
    <w:lvl w:ilvl="0">
      <w:lvlJc w:val="left"/>
      <w:lvlText w:val="(%1)"/>
      <w:numFmt w:val="lowerRoman"/>
      <w:start w:val="3"/>
    </w:lvl>
  </w:abstractNum>
  <w:abstractNum w:abstractNumId="92">
    <w:nsid w:val="7D5E18F8"/>
    <w:multiLevelType w:val="hybridMultilevel"/>
    <w:lvl w:ilvl="0">
      <w:lvlJc w:val="left"/>
      <w:lvlText w:val="%1"/>
      <w:numFmt w:val="lowerLetter"/>
      <w:start w:val="1"/>
    </w:lvl>
    <w:lvl w:ilvl="1">
      <w:lvlJc w:val="left"/>
      <w:lvlText w:val="(%2)"/>
      <w:numFmt w:val="lowerLetter"/>
      <w:start w:val="22"/>
    </w:lvl>
  </w:abstractNum>
  <w:abstractNum w:abstractNumId="93">
    <w:nsid w:val="5F3534A4"/>
    <w:multiLevelType w:val="hybridMultilevel"/>
    <w:lvl w:ilvl="0">
      <w:lvlJc w:val="left"/>
      <w:lvlText w:val="(%1)"/>
      <w:numFmt w:val="lowerLetter"/>
      <w:start w:val="2"/>
    </w:lvl>
    <w:lvl w:ilvl="1">
      <w:lvlJc w:val="left"/>
      <w:lvlText w:val="(%2)"/>
      <w:numFmt w:val="lowerLetter"/>
      <w:start w:val="9"/>
    </w:lvl>
  </w:abstractNum>
  <w:abstractNum w:abstractNumId="94">
    <w:nsid w:val="73A1821B"/>
    <w:multiLevelType w:val="hybridMultilevel"/>
    <w:lvl w:ilvl="0">
      <w:lvlJc w:val="left"/>
      <w:lvlText w:val="(%1)"/>
      <w:numFmt w:val="lowerRoman"/>
      <w:start w:val="2"/>
    </w:lvl>
  </w:abstractNum>
  <w:abstractNum w:abstractNumId="95">
    <w:nsid w:val="7DE67713"/>
    <w:multiLevelType w:val="hybridMultilevel"/>
    <w:lvl w:ilvl="0">
      <w:lvlJc w:val="left"/>
      <w:lvlText w:val="(%1)"/>
      <w:numFmt w:val="lowerRoman"/>
      <w:start w:val="4"/>
    </w:lvl>
  </w:abstractNum>
  <w:abstractNum w:abstractNumId="96">
    <w:nsid w:val="555C55B5"/>
    <w:multiLevelType w:val="hybridMultilevel"/>
    <w:lvl w:ilvl="0">
      <w:lvlJc w:val="left"/>
      <w:lvlText w:val="(%1)"/>
      <w:numFmt w:val="lowerLetter"/>
      <w:start w:val="4"/>
    </w:lvl>
    <w:lvl w:ilvl="1">
      <w:lvlJc w:val="left"/>
      <w:lvlText w:val="(%2)"/>
      <w:numFmt w:val="lowerRoman"/>
      <w:start w:val="1"/>
    </w:lvl>
  </w:abstractNum>
  <w:abstractNum w:abstractNumId="97">
    <w:nsid w:val="3FA62ACA"/>
    <w:multiLevelType w:val="hybridMultilevel"/>
    <w:lvl w:ilvl="0">
      <w:lvlJc w:val="left"/>
      <w:lvlText w:val="%1"/>
      <w:numFmt w:val="decimal"/>
      <w:start w:val="1"/>
    </w:lvl>
    <w:lvl w:ilvl="1">
      <w:lvlJc w:val="left"/>
      <w:lvlText w:val="(%2)"/>
      <w:numFmt w:val="lowerRoman"/>
      <w:start w:val="2"/>
    </w:lvl>
  </w:abstractNum>
  <w:abstractNum w:abstractNumId="98">
    <w:nsid w:val="14FCE74E"/>
    <w:multiLevelType w:val="hybridMultilevel"/>
    <w:lvl w:ilvl="0">
      <w:lvlJc w:val="left"/>
      <w:lvlText w:val="%1."/>
      <w:numFmt w:val="decimal"/>
      <w:start w:val="8"/>
    </w:lvl>
    <w:lvl w:ilvl="1">
      <w:lvlJc w:val="left"/>
      <w:lvlText w:val="%2"/>
      <w:numFmt w:val="lowerRoman"/>
      <w:start w:val="1"/>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lowerLetter"/>
      <w:start w:val="4"/>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1."/>
      <w:numFmt w:val="decimal"/>
      <w:start w:val="10"/>
    </w:lvl>
  </w:abstractNum>
  <w:abstractNum w:abstractNumId="103">
    <w:nsid w:val="1FBFE8E0"/>
    <w:multiLevelType w:val="hybridMultilevel"/>
    <w:lvl w:ilvl="0">
      <w:lvlJc w:val="left"/>
      <w:lvlText w:val="%1."/>
      <w:numFmt w:val="decimal"/>
      <w:start w:val="17"/>
    </w:lvl>
    <w:lvl w:ilvl="1">
      <w:lvlJc w:val="left"/>
      <w:lvlText w:val="(%2)"/>
      <w:numFmt w:val="lowerLetter"/>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2019-12-20T04:07:44Z</dcterms:created>
  <dcterms:modified xsi:type="dcterms:W3CDTF">2019-12-20T04:07:44Z</dcterms:modified>
</cp:coreProperties>
</file>