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500" w:right="260" w:hanging="343"/>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3"/>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0400"/>
          </w:cols>
          <w:pgMar w:left="760" w:top="454" w:right="739" w:bottom="1440" w:gutter="0" w:footer="0" w:header="0"/>
        </w:sectPr>
      </w:pPr>
    </w:p>
    <w:p>
      <w:pPr>
        <w:spacing w:after="0" w:line="99"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Delaware</w:t>
      </w:r>
    </w:p>
    <w:p>
      <w:pPr>
        <w:ind w:left="1580"/>
        <w:spacing w:after="0" w:line="198" w:lineRule="auto"/>
        <w:rPr>
          <w:sz w:val="20"/>
          <w:szCs w:val="20"/>
          <w:color w:val="auto"/>
        </w:rPr>
      </w:pPr>
      <w:r>
        <w:rPr>
          <w:rFonts w:ascii="Arial" w:cs="Arial" w:eastAsia="Arial" w:hAnsi="Arial"/>
          <w:sz w:val="17"/>
          <w:szCs w:val="17"/>
          <w:i w:val="1"/>
          <w:iCs w:val="1"/>
          <w:color w:val="auto"/>
        </w:rPr>
        <w:t>(State or other jurisdiction of</w:t>
      </w:r>
    </w:p>
    <w:p>
      <w:pPr>
        <w:spacing w:after="0" w:line="1" w:lineRule="exact"/>
        <w:rPr>
          <w:sz w:val="24"/>
          <w:szCs w:val="24"/>
          <w:color w:val="auto"/>
        </w:rPr>
      </w:pPr>
    </w:p>
    <w:p>
      <w:pPr>
        <w:ind w:left="15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73-1309529</w:t>
      </w:r>
    </w:p>
    <w:p>
      <w:pPr>
        <w:jc w:val="center"/>
        <w:ind w:right="1900"/>
        <w:spacing w:after="0" w:line="187" w:lineRule="auto"/>
        <w:rPr>
          <w:sz w:val="20"/>
          <w:szCs w:val="20"/>
          <w:color w:val="auto"/>
        </w:rPr>
      </w:pPr>
      <w:r>
        <w:rPr>
          <w:rFonts w:ascii="Arial" w:cs="Arial" w:eastAsia="Arial" w:hAnsi="Arial"/>
          <w:sz w:val="18"/>
          <w:szCs w:val="18"/>
          <w:i w:val="1"/>
          <w:iCs w:val="1"/>
          <w:color w:val="auto"/>
        </w:rPr>
        <w:t>(I.R.S. Employer</w:t>
      </w:r>
    </w:p>
    <w:p>
      <w:pPr>
        <w:spacing w:after="0" w:line="1" w:lineRule="exact"/>
        <w:rPr>
          <w:sz w:val="24"/>
          <w:szCs w:val="24"/>
          <w:color w:val="auto"/>
        </w:rPr>
      </w:pPr>
    </w:p>
    <w:p>
      <w:pPr>
        <w:jc w:val="center"/>
        <w:ind w:right="1900"/>
        <w:spacing w:after="0"/>
        <w:rPr>
          <w:sz w:val="20"/>
          <w:szCs w:val="20"/>
          <w:color w:val="auto"/>
        </w:rPr>
      </w:pPr>
      <w:r>
        <w:rPr>
          <w:rFonts w:ascii="Arial" w:cs="Arial" w:eastAsia="Arial" w:hAnsi="Arial"/>
          <w:sz w:val="17"/>
          <w:szCs w:val="17"/>
          <w:i w:val="1"/>
          <w:iCs w:val="1"/>
          <w:color w:val="auto"/>
        </w:rPr>
        <w:t>Identification No.)</w:t>
      </w:r>
    </w:p>
    <w:p>
      <w:pPr>
        <w:spacing w:after="0" w:line="122" w:lineRule="exact"/>
        <w:rPr>
          <w:sz w:val="24"/>
          <w:szCs w:val="24"/>
          <w:color w:val="auto"/>
        </w:rPr>
      </w:pPr>
    </w:p>
    <w:p>
      <w:pPr>
        <w:sectPr>
          <w:pgSz w:w="11900" w:h="16838" w:orient="portrait"/>
          <w:cols w:equalWidth="0" w:num="2">
            <w:col w:w="6440" w:space="720"/>
            <w:col w:w="3240"/>
          </w:cols>
          <w:pgMar w:left="760" w:top="454" w:right="7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0400"/>
          </w:cols>
          <w:pgMar w:left="760" w:top="454" w:right="739" w:bottom="1440" w:gutter="0" w:footer="0" w:header="0"/>
          <w:type w:val="continuous"/>
        </w:sectPr>
      </w:pP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454" w:right="739" w:bottom="1440" w:gutter="0" w:footer="0" w:header="0"/>
          <w:type w:val="continuous"/>
        </w:sectPr>
      </w:pPr>
    </w:p>
    <w:p>
      <w:pPr>
        <w:spacing w:after="0" w:line="127"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300" w:space="720"/>
            <w:col w:w="4480" w:space="720"/>
            <w:col w:w="2180"/>
          </w:cols>
          <w:pgMar w:left="760" w:top="454" w:right="739" w:bottom="1440" w:gutter="0" w:footer="0" w:header="0"/>
          <w:type w:val="continuous"/>
        </w:sectPr>
      </w:pPr>
    </w:p>
    <w:p>
      <w:pPr>
        <w:spacing w:after="0" w:line="3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22, 2019 was 424,759,439 (excluding treasury shares of 205,523,022).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454" w:right="7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r>
      <w:tr>
        <w:trPr>
          <w:trHeight w:val="142"/>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3"/>
        </w:trPr>
        <w:tc>
          <w:tcPr>
            <w:tcW w:w="6940" w:type="dxa"/>
            <w:vAlign w:val="bottom"/>
            <w:shd w:val="clear" w:color="auto" w:fill="CCEEFF"/>
          </w:tcPr>
          <w:p>
            <w:pPr>
              <w:ind w:left="310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Accounts receivable, net of allowance for doubtful accounts of $30 and $29, 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receivables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Parts and supplies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196"/>
        </w:trPr>
        <w:tc>
          <w:tcPr>
            <w:tcW w:w="69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2,645</w:t>
            </w:r>
          </w:p>
        </w:tc>
      </w:tr>
      <w:tr>
        <w:trPr>
          <w:trHeight w:val="185"/>
        </w:trPr>
        <w:tc>
          <w:tcPr>
            <w:tcW w:w="69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Property and equipment, net of accumulated depreciation and amortization of $18,355 and $18,264,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11,942</w:t>
            </w: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6,430</w:t>
            </w: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03"/>
        </w:trPr>
        <w:tc>
          <w:tcPr>
            <w:tcW w:w="69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r>
      <w:tr>
        <w:trPr>
          <w:trHeight w:val="216"/>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22,650</w:t>
            </w:r>
          </w:p>
        </w:tc>
      </w:tr>
      <w:tr>
        <w:trPr>
          <w:trHeight w:val="190"/>
        </w:trPr>
        <w:tc>
          <w:tcPr>
            <w:tcW w:w="6940" w:type="dxa"/>
            <w:vAlign w:val="bottom"/>
          </w:tcPr>
          <w:p>
            <w:pPr>
              <w:ind w:left="2320"/>
              <w:spacing w:after="0" w:line="189" w:lineRule="exact"/>
              <w:rPr>
                <w:sz w:val="20"/>
                <w:szCs w:val="20"/>
                <w:color w:val="auto"/>
              </w:rPr>
            </w:pPr>
            <w:r>
              <w:rPr>
                <w:rFonts w:ascii="Arial" w:cs="Arial" w:eastAsia="Arial" w:hAnsi="Arial"/>
                <w:sz w:val="17"/>
                <w:szCs w:val="17"/>
                <w:b w:val="1"/>
                <w:bCs w:val="1"/>
                <w:color w:val="auto"/>
              </w:rPr>
              <w:t>LIABILITIES AND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899</w:t>
            </w:r>
          </w:p>
        </w:tc>
        <w:tc>
          <w:tcPr>
            <w:tcW w:w="100" w:type="dxa"/>
            <w:vAlign w:val="bottom"/>
          </w:tcPr>
          <w:p>
            <w:pPr>
              <w:spacing w:after="0"/>
              <w:rPr>
                <w:sz w:val="17"/>
                <w:szCs w:val="17"/>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1,037</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Deferred revenues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522</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196"/>
        </w:trPr>
        <w:tc>
          <w:tcPr>
            <w:tcW w:w="694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3,108</w:t>
            </w: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9,594</w:t>
            </w:r>
          </w:p>
        </w:tc>
      </w:tr>
      <w:tr>
        <w:trPr>
          <w:trHeight w:val="203"/>
        </w:trPr>
        <w:tc>
          <w:tcPr>
            <w:tcW w:w="69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w:t>
            </w:r>
          </w:p>
        </w:tc>
      </w:tr>
      <w:tr>
        <w:trPr>
          <w:trHeight w:val="203"/>
        </w:trPr>
        <w:tc>
          <w:tcPr>
            <w:tcW w:w="69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w:t>
            </w:r>
          </w:p>
        </w:tc>
      </w:tr>
      <w:tr>
        <w:trPr>
          <w:trHeight w:val="196"/>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16,374</w:t>
            </w:r>
          </w:p>
        </w:tc>
      </w:tr>
      <w:tr>
        <w:trPr>
          <w:trHeight w:val="196"/>
        </w:trPr>
        <w:tc>
          <w:tcPr>
            <w:tcW w:w="69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7"/>
                <w:szCs w:val="17"/>
                <w:color w:val="auto"/>
              </w:rPr>
              <w:t>Waste Management, Inc. 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Common stock, $0.01 par value; 1,500,000,000 shares authorized; 630,282,461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3"/>
        </w:trPr>
        <w:tc>
          <w:tcPr>
            <w:tcW w:w="69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4,993</w:t>
            </w: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9,797</w:t>
            </w:r>
          </w:p>
        </w:tc>
      </w:tr>
      <w:tr>
        <w:trPr>
          <w:trHeight w:val="203"/>
        </w:trPr>
        <w:tc>
          <w:tcPr>
            <w:tcW w:w="69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205,555,810 and 206,299,352 shares, respectively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(8,434)</w:t>
            </w:r>
          </w:p>
        </w:tc>
      </w:tr>
      <w:tr>
        <w:trPr>
          <w:trHeight w:val="196"/>
        </w:trPr>
        <w:tc>
          <w:tcPr>
            <w:tcW w:w="694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6,275</w:t>
            </w:r>
          </w:p>
        </w:tc>
      </w:tr>
      <w:tr>
        <w:trPr>
          <w:trHeight w:val="203"/>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6"/>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6,276</w:t>
            </w:r>
          </w:p>
        </w:tc>
      </w:tr>
      <w:tr>
        <w:trPr>
          <w:trHeight w:val="203"/>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22,650</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85"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w:t>
      </w:r>
    </w:p>
    <w:p>
      <w:pPr>
        <w:ind w:left="7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 from divestitures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3,075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0"/>
        </w:trPr>
        <w:tc>
          <w:tcPr>
            <w:tcW w:w="7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0.82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0.91</w:t>
            </w: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643"/>
        </w:trPr>
        <w:tc>
          <w:tcPr>
            <w:tcW w:w="814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7020" w:type="dxa"/>
            <w:vAlign w:val="bottom"/>
          </w:tcPr>
          <w:p>
            <w:pPr>
              <w:jc w:val="center"/>
              <w:ind w:left="197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7020" w:type="dxa"/>
            <w:vAlign w:val="bottom"/>
          </w:tcPr>
          <w:p>
            <w:pPr>
              <w:jc w:val="center"/>
              <w:ind w:left="19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5"/>
        </w:trPr>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271"/>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7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70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347</w:t>
            </w:r>
          </w:p>
        </w:tc>
        <w:tc>
          <w:tcPr>
            <w:tcW w:w="200" w:type="dxa"/>
            <w:vAlign w:val="bottom"/>
          </w:tcPr>
          <w:p>
            <w:pPr>
              <w:spacing w:after="0"/>
              <w:rPr>
                <w:sz w:val="17"/>
                <w:szCs w:val="17"/>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395</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expense (benefit)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Interest accretion on landfill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bad debts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gain on disposal of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(Gain) loss from divestitures, asset impairments and other,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in net losses of unconsolidated entities, net of dividends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revenues and other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Acquisitions of businesses, net of cash acquired</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New borrowings</w:t>
            </w:r>
          </w:p>
        </w:tc>
        <w:tc>
          <w:tcPr>
            <w:tcW w:w="2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Debt repayments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Net commercial paper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471</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repurchase program</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Cash dividends</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common stock options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(used in) financing activities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2"/>
              </w:rPr>
              <w:t>Effect of exchange rate changes on cash, cash equivalents and restricted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6"/>
        </w:trPr>
        <w:tc>
          <w:tcPr>
            <w:tcW w:w="700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r>
      <w:tr>
        <w:trPr>
          <w:trHeight w:val="203"/>
        </w:trPr>
        <w:tc>
          <w:tcPr>
            <w:tcW w:w="7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w w:val="94"/>
              </w:rPr>
              <w:t>Reconciliation of cash, cash equivalents and restricted cash and cash equivalents at end of period: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Restricted cash and cash equivalents included in other current assets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r>
    </w:tbl>
    <w:p>
      <w:pPr>
        <w:spacing w:after="0" w:line="18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3"/>
          </w:tcPr>
          <w:p>
            <w:pPr>
              <w:ind w:left="260"/>
              <w:spacing w:after="0"/>
              <w:rPr>
                <w:sz w:val="20"/>
                <w:szCs w:val="20"/>
                <w:color w:val="auto"/>
              </w:rPr>
            </w:pPr>
            <w:r>
              <w:rPr>
                <w:rFonts w:ascii="Arial" w:cs="Arial" w:eastAsia="Arial" w:hAnsi="Arial"/>
                <w:sz w:val="14"/>
                <w:szCs w:val="14"/>
                <w:b w:val="1"/>
                <w:bCs w:val="1"/>
                <w:color w:val="auto"/>
              </w:rPr>
              <w:t>Waste Management, Inc. Stockholders’ Equity</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gridSpan w:val="3"/>
            <w:vMerge w:val="continue"/>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40" w:type="dxa"/>
            <w:vAlign w:val="bottom"/>
            <w:gridSpan w:val="3"/>
            <w:vMerge w:val="continue"/>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Comprehensive</w:t>
            </w:r>
          </w:p>
        </w:tc>
        <w:tc>
          <w:tcPr>
            <w:tcW w:w="13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2019</w:t>
            </w:r>
          </w:p>
        </w:tc>
        <w:tc>
          <w:tcPr>
            <w:tcW w:w="208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Amounts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34"/>
        </w:trPr>
        <w:tc>
          <w:tcPr>
            <w:tcW w:w="300" w:type="dxa"/>
            <w:vAlign w:val="bottom"/>
            <w:tcBorders>
              <w:bottom w:val="single" w:sz="8" w:color="auto"/>
            </w:tcBorders>
            <w:vMerge w:val="continue"/>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$ 6,276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3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(87)</w:t>
            </w: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(206,299)</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(8,434)</w:t>
            </w: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of 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w w:val="95"/>
              </w:rPr>
              <w:t>Cash dividends declared of $0.5125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common share</w:t>
            </w:r>
          </w:p>
        </w:tc>
        <w:tc>
          <w:tcPr>
            <w:tcW w:w="500" w:type="dxa"/>
            <w:vAlign w:val="bottom"/>
          </w:tcPr>
          <w:p>
            <w:pPr>
              <w:jc w:val="right"/>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transactions, 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(679)</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Balance, March 31,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$ 6,417</w:t>
            </w: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4,978</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9,924</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(205,556)</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(8,440)</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9"/>
              </w:rPr>
              <w:t>2018</w:t>
            </w: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$ 6,042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3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(196,964)</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(7,516)</w:t>
            </w: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9"/>
              </w:rPr>
              <w:t>Adoption of new accounting standards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net of tax</w:t>
            </w: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Cash dividends declared of $0.465 per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Equity-based compensation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transactions, net</w:t>
            </w: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(3,031)</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March 31, 2018</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$ 6,065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(198,511)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14.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6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Condensed Consolidated Financial Statements as of March 31, 2019 and for the three months ended March 31, 2019 and 2018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Financial Accounting Standards Board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 accounting. There were further amendments, including practical expedients, with the issuance of ASU 2018-01 in January 2018, ASU 2018-11 in July 2018 and ASU 2018-20 in December 2018. On January 1, 2019, we adopted these ASUs using the optional transition method which allows entities to continue to apply historical accounting guidance in the comparative periods presented in the year of adoption. Accordingly, our financial statements for the reported periods after January 1, 2019 are presented under this amended guidance, while prior period amounts are not adjusted and continue to be reported in accordance with historical accounting guidance.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adopting the amended guidance primarily relates to the recognition of lease assets and lease liabilities on the balance sheet for all leases previously classified as operating leases. We recognized $385 million of right-of-use assets and $385 million of related lease liabilities as of January 1, 2019 for our contracts that are classified as operating leases. Leases with an initial term of 12 months or less have not been recorded on the balance sheet. Our accounting for financing leases, which were formerly referred to as capital leases, remained substantially unchanged. There were no other material impacts on our consolidated financial statements. See Note 4 for additional information and disclosures related to our adoption of this amended guidance.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 Pending Adoption</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Financial Instrument Credit Losses — </w:t>
      </w:r>
      <w:r>
        <w:rPr>
          <w:rFonts w:ascii="Arial" w:cs="Arial" w:eastAsia="Arial" w:hAnsi="Arial"/>
          <w:sz w:val="17"/>
          <w:szCs w:val="17"/>
          <w:color w:val="auto"/>
        </w:rPr>
        <w:t>In June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13 associated with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We are assessing the provisions of this amended guidance and evaluating the impact on our consolidated financial statements.</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ind w:left="320" w:hanging="317"/>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March 31, 2019</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Landfill</w:t>
            </w:r>
          </w:p>
        </w:tc>
        <w:tc>
          <w:tcPr>
            <w:tcW w:w="16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Remediation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2019 are reflected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Revisions in estimates and interest rate assumptions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2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2019</w:t>
            </w:r>
          </w:p>
        </w:tc>
        <w:tc>
          <w:tcPr>
            <w:tcW w:w="2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851"/>
        </w:trPr>
        <w:tc>
          <w:tcPr>
            <w:tcW w:w="4220" w:type="dxa"/>
            <w:vAlign w:val="bottom"/>
          </w:tcPr>
          <w:p>
            <w:pPr>
              <w:spacing w:after="0"/>
              <w:rPr>
                <w:sz w:val="24"/>
                <w:szCs w:val="24"/>
                <w:color w:val="auto"/>
              </w:rPr>
            </w:pPr>
          </w:p>
        </w:tc>
        <w:tc>
          <w:tcPr>
            <w:tcW w:w="2800" w:type="dxa"/>
            <w:vAlign w:val="bottom"/>
          </w:tcPr>
          <w:p>
            <w:pPr>
              <w:jc w:val="right"/>
              <w:ind w:right="23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2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our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March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182"/>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$2.75 billion revolving credit facility (weighted average interest rate of 3.1% as of</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Commercial paper program (weighted average interest rate of 2.8% as of March 31, 2019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2.9% as of 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Senior notes, maturing through 2045, interest rates ranging from 2.4% to 7.75% (weighted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rate of 4.3% as of March 31, 2019 and December 31, 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w w:val="92"/>
              </w:rPr>
              <w:t>1.35% to 4.3% (weighted average interest rate of 2.4% as of March 31, 2019 and 2.35% 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of 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 and other, maturing through 2040, interest rates up to 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issuance costs, discounts and other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17"/>
        </w:trPr>
        <w:tc>
          <w:tcPr>
            <w:tcW w:w="6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March 31, 2019, we had $2.2 billion of debt maturing within the next 12 months, including (i) $1.4 billion of short-term borrowings under our commercial paper program; (ii) $680 million of tax-exempt bonds with term interest rate periods that expire within the next 12 months, which is prior to their scheduled maturities and (iii) $139 million of other debt with scheduled maturities within the next 12 months, including $72 million of tax-exempt bonds. Of the $1.4 billion of short-term borrowings outstanding under our commercial paper program as of March 31, 2019 that are supported by our long-term U.S. and Canadian revolving credit facility (“$2.75 billion revolving credit facility”), we have the intent and ability to refinance or maintain approximately $450 million of these borrowings on a long-term basis and we have classified these amounts as long-term debt. As of March 31, 2019, we have classified an additional $680 million of debt maturing in the next 12 months as long-term because we have the intent and ability to refinance these borrowings on a long-term basis as supported by the forecasted available capacity under our $2.75 billion revolving credit facility, as discussed below. The remaining $1.0 billion is classified as current obligations.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31, 2019,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Condensed Consolidated Balance Sheet as of March 31,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$2.75 Billion Revolving Credit Facility — </w:t>
      </w:r>
      <w:r>
        <w:rPr>
          <w:rFonts w:ascii="Arial" w:cs="Arial" w:eastAsia="Arial" w:hAnsi="Arial"/>
          <w:sz w:val="18"/>
          <w:szCs w:val="18"/>
          <w:color w:val="auto"/>
        </w:rPr>
        <w:t>Our $2.75 billion revolving credit facility provides us with credit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As of March 31, 2019, we had no borrowings outstanding under this facility. We had $572 million of letters of credit issued and $1.4 billion of outstanding borrowings under our commercial paper program, both supported by this facility, leaving unused and available credit capacity of $824 million as of March 31, 2019. WM Holdings, a wholly-owned subsidiary of WM, guarantees all of the obligations under the $2.75 billion revolving credit facility.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 397 days</w:t>
      </w:r>
      <w:r>
        <w:rPr>
          <w:rFonts w:ascii="Arial" w:cs="Arial" w:eastAsia="Arial" w:hAnsi="Arial"/>
          <w:sz w:val="18"/>
          <w:szCs w:val="18"/>
          <w:i w:val="1"/>
          <w:iCs w:val="1"/>
          <w:color w:val="auto"/>
        </w:rPr>
        <w:t xml:space="preserve"> </w:t>
      </w:r>
      <w:r>
        <w:rPr>
          <w:rFonts w:ascii="Arial" w:cs="Arial" w:eastAsia="Arial" w:hAnsi="Arial"/>
          <w:sz w:val="18"/>
          <w:szCs w:val="18"/>
          <w:color w:val="auto"/>
        </w:rPr>
        <w:t>at competitive interest rates. The rates we pay for outstanding borrowings are based on the term of the notes. The commercial paper program is fully supported by our $2.75 billion revolving credit facility. As of March 31, 2019, we had $1.4 billion of outstanding borrowings under our commercial paper program.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March 31, 2019, we utilized $542 million of other letter of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both committed and uncommitted, with terms maturing through December 2020.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$2.75 Billion Revolving Credit Facility </w:t>
      </w:r>
      <w:r>
        <w:rPr>
          <w:rFonts w:ascii="Arial" w:cs="Arial" w:eastAsia="Arial" w:hAnsi="Arial"/>
          <w:sz w:val="18"/>
          <w:szCs w:val="18"/>
          <w:color w:val="auto"/>
        </w:rPr>
        <w:t>— During the three months ended March 31, 2019, we repaid C$15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of Canadian borrowings under our $2.75 billion revolving credit facility with available cash.</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three months ended March 31, 2019, we had net cash borrowings of</w:t>
      </w:r>
      <w:r>
        <w:rPr>
          <w:rFonts w:ascii="Arial" w:cs="Arial" w:eastAsia="Arial" w:hAnsi="Arial"/>
          <w:sz w:val="18"/>
          <w:szCs w:val="18"/>
          <w:i w:val="1"/>
          <w:iCs w:val="1"/>
          <w:color w:val="auto"/>
        </w:rPr>
        <w:t xml:space="preserve"> </w:t>
      </w:r>
      <w:r>
        <w:rPr>
          <w:rFonts w:ascii="Arial" w:cs="Arial" w:eastAsia="Arial" w:hAnsi="Arial"/>
          <w:sz w:val="18"/>
          <w:szCs w:val="18"/>
          <w:color w:val="auto"/>
        </w:rPr>
        <w:t>$357 million (net of the related discount on issuance). The proceeds from these borrowings were primarily used to support our acquisition of Petro Waste Environmental LP (“Petro Waste”), which is discussed further in Note 9, and for general corporate purposes.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three months ended March 31, 2019, we repaid $34 million of our tax-exempt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available cash.</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Financing Leases and Other </w:t>
      </w:r>
      <w:r>
        <w:rPr>
          <w:rFonts w:ascii="Arial" w:cs="Arial" w:eastAsia="Arial" w:hAnsi="Arial"/>
          <w:sz w:val="16"/>
          <w:szCs w:val="16"/>
          <w:color w:val="auto"/>
        </w:rPr>
        <w:t>— The increase during the three months ended March 31, 2019, is primarily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of non-cash financing arrangements, partially offset by $11 million of net cash repayments of debt at maturity.</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4"/>
          <w:szCs w:val="14"/>
          <w:b w:val="1"/>
          <w:bCs w:val="1"/>
          <w:color w:val="auto"/>
        </w:rPr>
        <w:t>Leases</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operating lease activities primarily consist of leases for real estate, landfills and heavy equipment. Our financing lease activities primarily consist of leases for heavy equipment. Leases with an initial term of 12 months or less are not recorded on the balance sheet and are recognized as lease expense on a straight-line basis over the lease term. Most leases include one or more options to renew, with renewal terms generally ranging from one to 10 years. The exercise of lease renewal options is at our sole discretion.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as of March 31, 2019 for our leases is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ind w:left="1040"/>
              <w:spacing w:after="0"/>
              <w:rPr>
                <w:sz w:val="20"/>
                <w:szCs w:val="20"/>
                <w:color w:val="auto"/>
              </w:rPr>
            </w:pPr>
            <w:r>
              <w:rPr>
                <w:rFonts w:ascii="Arial" w:cs="Arial" w:eastAsia="Arial" w:hAnsi="Arial"/>
                <w:sz w:val="14"/>
                <w:szCs w:val="14"/>
                <w:b w:val="1"/>
                <w:bCs w:val="1"/>
                <w:color w:val="auto"/>
              </w:rPr>
              <w:t>Leases</w:t>
            </w:r>
          </w:p>
        </w:tc>
        <w:tc>
          <w:tcPr>
            <w:tcW w:w="340" w:type="dxa"/>
            <w:vAlign w:val="bottom"/>
          </w:tcPr>
          <w:p>
            <w:pPr>
              <w:spacing w:after="0"/>
              <w:rPr>
                <w:sz w:val="14"/>
                <w:szCs w:val="14"/>
                <w:color w:val="auto"/>
              </w:rPr>
            </w:pPr>
          </w:p>
        </w:tc>
        <w:tc>
          <w:tcPr>
            <w:tcW w:w="4400" w:type="dxa"/>
            <w:vAlign w:val="bottom"/>
            <w:gridSpan w:val="2"/>
          </w:tcPr>
          <w:p>
            <w:pPr>
              <w:ind w:left="162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Long-term:</w:t>
            </w: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4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78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Financing</w:t>
            </w:r>
          </w:p>
        </w:tc>
        <w:tc>
          <w:tcPr>
            <w:tcW w:w="47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assets</w:t>
            </w:r>
          </w:p>
        </w:tc>
        <w:tc>
          <w:tcPr>
            <w:tcW w:w="34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4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78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Financing</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34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w:t>
            </w:r>
          </w:p>
        </w:tc>
        <w:tc>
          <w:tcPr>
            <w:tcW w:w="4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operating lease expense for the three months ended March 31, 2019 was $28 million and is included in operating and selling, general and administrative expenses in our Condensed Consolidated Statement of Operations. Our financing lease expense for the three months ended March 31, 2019 was $14 million and is included in depreciation and amortization expense and interest expense, net in our Condensed Consolidated Statement of Operations.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Minimum contractual obligations for our leases (undiscounted) as of March 31, 2019 are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Operating(a)</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Financing(a)</w:t>
            </w: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(excluding three months ended March 31, 2019)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17"/>
        </w:trPr>
        <w:tc>
          <w:tcPr>
            <w:tcW w:w="5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$167 million and $61 million of undiscounted future minimum obligations related to additional operating and financing leases, respectively, which have not yet commenced.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paid for our operating and financing leases was $22 million and $8 million, respectively, for the three months ended March 31, 2019. Right-of-use assets obtained in exchange for lease obligations for our operating leases were $23 million for the three months ended March 31, 2019. The amount related to our financing leases was not material to our consolidated financial statements.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2019, the weighted average remaining lease terms of our operating and financing leases were 16 years and 12 years, respectively. The weighted average discount rates used to determine the lease liabilities as of March 31, 2019 for our operating and financing leases were 3.75% and 4.33%,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effective income tax rate for the three months ended March 31, 2019 and 2018 was 24.8% and 22.7%, respectively. We evaluate our effective income tax rate at each interim period and adjust it as facts and circumstances warrant. The differences between federal income taxes computed at the federal statutory rate and reported income taxes for the three months ended March 31, 2019 and 2018 were primarily due to the unfavorable impact of state and local income taxes offset, in part, by the favorable impact of federal tax credits and excess tax benefits related to equity-based compensation. The three months ended March 31, 2019 was also unfavorably impacted by an impairment as discussed below.</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2030 under Sections 42 and 45D, and through 2019 under Section 45, respectively, of the Internal Revenue Code.</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results of operations and other reductions in the value of our investments in equity in net losses of unconsolidated entities, in our Condensed Consolidated Statements of Operations. During the three months ended March 31, 2019 and 2018, we recognized $9 million and $6 million of net losses and a reduction in our income tax expense of $15 million and $10 million, respectively, primarily because of tax credits realized from these investments. Interest expense associated with our investments in low-income housing properties was not material for the periods presented. See Note 14 for additional information related to these unconsolidated variable interest entities.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 Implications of Impairment </w:t>
      </w:r>
      <w:r>
        <w:rPr>
          <w:rFonts w:ascii="Arial" w:cs="Arial" w:eastAsia="Arial" w:hAnsi="Arial"/>
          <w:sz w:val="18"/>
          <w:szCs w:val="18"/>
          <w:color w:val="auto"/>
        </w:rPr>
        <w:t>— We recognized a $52 million impairment charge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which was not deductible for tax purposes. See Note 10 for additional information.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and diluted earnings per share for the three months ended March 31 were computed using the following common share data (shares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16"/>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6"/>
              </w:rPr>
              <w:t>Dilutive effect of equity-based compensation awards and other contingently issuable 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r>
      <w:tr>
        <w:trPr>
          <w:trHeight w:val="203"/>
        </w:trPr>
        <w:tc>
          <w:tcPr>
            <w:tcW w:w="7260" w:type="dxa"/>
            <w:vAlign w:val="bottom"/>
          </w:tcPr>
          <w:p>
            <w:pPr>
              <w:spacing w:after="0" w:line="203" w:lineRule="exact"/>
              <w:rPr>
                <w:sz w:val="20"/>
                <w:szCs w:val="20"/>
                <w:color w:val="auto"/>
              </w:rPr>
            </w:pPr>
            <w:r>
              <w:rPr>
                <w:rFonts w:ascii="Arial" w:cs="Arial" w:eastAsia="Arial" w:hAnsi="Arial"/>
                <w:sz w:val="18"/>
                <w:szCs w:val="18"/>
                <w:color w:val="auto"/>
              </w:rPr>
              <w:t>Potentially issuable shares</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3. Surety bonds and insurance policies are supported by (i) a diverse group of third-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surety and insurance companies; (ii) an entity in which we have a noncontrolling financial interest or (iii) a wholly-owned insurance captive, the sole business of which is to issue surety bonds and/or insurance policies on our behalf.</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15 for additional information.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March 31, 2019, we have guaranteed the obligations and certain performance requirements of third parties in connection with both consolidated and unconsolidated entities, including (i) guarantees to cover certain market value losses for approximately 775 homeowners’ properties adjacent to or near 18 of our landfills and (ii) guarantees totaling $73 million for performance obligations of our Wheelabrator business, divested in 2014. In February 2019, Wheelabrator was acquired by a third party, at which time we agreed to continue to provide such guarantees through July 2019.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Environmental Matters — </w:t>
      </w:r>
      <w:r>
        <w:rPr>
          <w:rFonts w:ascii="Arial" w:cs="Arial" w:eastAsia="Arial" w:hAnsi="Arial"/>
          <w:sz w:val="16"/>
          <w:szCs w:val="16"/>
          <w:color w:val="auto"/>
        </w:rPr>
        <w:t>A significant portion of our operating costs and capital expenditures could be characterized as</w:t>
      </w:r>
      <w:r>
        <w:rPr>
          <w:rFonts w:ascii="Arial" w:cs="Arial" w:eastAsia="Arial" w:hAnsi="Arial"/>
          <w:sz w:val="16"/>
          <w:szCs w:val="16"/>
          <w:i w:val="1"/>
          <w:iCs w:val="1"/>
          <w:color w:val="auto"/>
        </w:rPr>
        <w:t xml:space="preserve"> </w:t>
      </w:r>
      <w:r>
        <w:rPr>
          <w:rFonts w:ascii="Arial" w:cs="Arial" w:eastAsia="Arial" w:hAnsi="Arial"/>
          <w:sz w:val="16"/>
          <w:szCs w:val="16"/>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$233 million recorded in the Condensed Consolidated Balance Sheet as of March 31, 2019.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March 31, 2019,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March 31, 2019 and December 31, 2018, the recorded liability for MIMC’s estimated potential share of the EPA’s selected remedy and related costs was $55 million. MIMC’s ultimate liability could be materially different from current estimates.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fulfillment of its advancement of costs and indemnification obligations in connection with actions or proceedings that may be brought against its former or current officers, directors and employees.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2019 tax years and expect these audits to be completed within the next 24 months. We are also currently undergoing audits by various state and local jurisdictions for tax years that date back to 2013. Additionally, we are under audit by the Canada Revenue Agency for the 2014 tax year.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includes Southern California, Eastern Canada, Wisconsin and Minnesota. Tier 3 encompasses all the remaining operations including the Pacific Northwest and Northern California, the Mid-Atlantic region of the U.S., the Florida peninsula, Illinois and Missouri.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33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Revenues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Tier 1</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Tier 3</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Other (a)</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Corporate and Other</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Solid Waste:</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Tier 2</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280" w:type="dxa"/>
            <w:vAlign w:val="bottom"/>
          </w:tcPr>
          <w:p>
            <w:pPr>
              <w:ind w:left="320"/>
              <w:spacing w:after="0"/>
              <w:rPr>
                <w:sz w:val="20"/>
                <w:szCs w:val="20"/>
                <w:color w:val="auto"/>
              </w:rPr>
            </w:pPr>
            <w:r>
              <w:rPr>
                <w:rFonts w:ascii="Arial" w:cs="Arial" w:eastAsia="Arial" w:hAnsi="Arial"/>
                <w:sz w:val="18"/>
                <w:szCs w:val="18"/>
                <w:color w:val="auto"/>
              </w:rPr>
              <w:t>Solid Waste</w:t>
            </w: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7"/>
        </w:trPr>
        <w:tc>
          <w:tcPr>
            <w:tcW w:w="2280" w:type="dxa"/>
            <w:vAlign w:val="bottom"/>
          </w:tcPr>
          <w:p>
            <w:pPr>
              <w:ind w:left="220"/>
              <w:spacing w:after="0"/>
              <w:rPr>
                <w:sz w:val="20"/>
                <w:szCs w:val="20"/>
                <w:color w:val="auto"/>
              </w:rPr>
            </w:pPr>
            <w:r>
              <w:rPr>
                <w:rFonts w:ascii="Arial" w:cs="Arial" w:eastAsia="Arial" w:hAnsi="Arial"/>
                <w:sz w:val="18"/>
                <w:szCs w:val="18"/>
                <w:color w:val="auto"/>
              </w:rPr>
              <w:t>Total</w:t>
            </w:r>
          </w:p>
        </w:tc>
        <w:tc>
          <w:tcPr>
            <w:tcW w:w="3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73" w:lineRule="auto"/>
        <w:tabs>
          <w:tab w:leader="none" w:pos="357"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organization; (ii) those elements of our landfill gas-to-energy operations and third-party subcontract and administration revenues managed by our Energy and Environmental Services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r>
      <w:tr>
        <w:trPr>
          <w:trHeight w:val="108"/>
        </w:trPr>
        <w:tc>
          <w:tcPr>
            <w:tcW w:w="22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Petro Waste </w:t>
      </w:r>
      <w:r>
        <w:rPr>
          <w:rFonts w:ascii="Arial" w:cs="Arial" w:eastAsia="Arial" w:hAnsi="Arial"/>
          <w:sz w:val="17"/>
          <w:szCs w:val="17"/>
          <w:color w:val="auto"/>
        </w:rPr>
        <w:t>— On March 8, 2019, Waste Management Energy Services Holdings, LLC, an indirect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WM, acquired Petro Waste. The acquired business provides comprehensive oilfield environmental services and solid waste disposal facilities in the Permian Basin and The Eagle Ford Shale. The acquisition is intended to expand our offerings and enhance the quality of solid waste disposal services for oil and gas exploration and production operations in Texas. Our purchase price is expected to be primarily allocated to seven landfills, which are included in our property and equipment. The allocation of purchase price for Petro Waste is preliminary and is subject to standard post-closing adjustments. The acquisition was funded with borrowings under our commercial paper program. For the three months ended March 31, 2019, the impact of the acquisition was not material to our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Impairments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three months ended March 31, 2019, we recognized in Other, net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Available-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Post-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Currency</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8"/>
                <w:szCs w:val="18"/>
                <w:color w:val="auto"/>
              </w:rPr>
              <w:t>Balance, December 31, 2018</w:t>
            </w: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(87)</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of tax expense (benefit) of $0, $1, $0 and $0,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4920" w:type="dxa"/>
            <w:vAlign w:val="bottom"/>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w w:val="95"/>
              </w:rPr>
              <w:t>(income) loss, net of tax (expense) benefit of $1, $0, $0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$0,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active derivatives outstanding during the reported period. Amounts reclassified out of accumulated other comprehensive income (loss) associated with our previously terminated cash flow hedges were not material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Repurchase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 During the three months ended March 31, 2019, we repurchased 0.7 million shares of our common stock in open market transactions in compliance with Rule 10b5-1 and Rule 10b-18 of the Exchange Act for $64 million, inclusive of per-share commissions, for a weighted average price per share of $94.35. These repurchases were made under our prior $1.25 billion Board of Directors authorization announced in December 2017. In January 2019, we paid $4 million related to our share repurchases in December 2018.</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announced in December 2018 that the Board of Directors authorized up to $1.5 billion in future share repurchases, which superseded and replaced remaining authority under any prior Board of Directors authorization for share repurchases after the completion of our open market repurchases noted above.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cash required for future business plans, growth and acquisitions and other factors the Board of Directors may deem relevant. As a result of the pending acquisition discussed in Note 16, we expect to scale back our share repurchases in 2019 to a level sufficient to offset dilution from stock-based compensation plans.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r>
      <w:tr>
        <w:trPr>
          <w:trHeight w:val="156"/>
        </w:trPr>
        <w:tc>
          <w:tcPr>
            <w:tcW w:w="69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Fair Value Measurements Using:</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
        </w:trPr>
        <w:tc>
          <w:tcPr>
            <w:tcW w:w="2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115"/>
        </w:trPr>
        <w:tc>
          <w:tcPr>
            <w:tcW w:w="2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0"/>
        </w:trPr>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115"/>
        </w:trPr>
        <w:tc>
          <w:tcPr>
            <w:tcW w:w="2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Significant unobservable inputs (Level 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Redeemable preferred stock (a)</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115"/>
        </w:trPr>
        <w:tc>
          <w:tcPr>
            <w:tcW w:w="2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23"/>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108"/>
        </w:trPr>
        <w:tc>
          <w:tcPr>
            <w:tcW w:w="2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72"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In the first quarter of 2019, we redeemed our preferred stock received in conjunction with the 2014 sale of our Puerto Rico operations for $17 million. At the time of redemption, the value of redeemable preferred stock was $20 million, resulting in a $3 million loss on investment.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2019 and December 31, 2018, the carrying value of our debt was $10.4 billion and $10.0 billion, respectively. The estimated fair value of our debt was approximately $10.7 billion and $10.1 billion as of March 31, 2019 and December 31, 2018, respectively.</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2019 and December 31, 2018. These amounts have not been revalued since those dates, and current estimates of fair value could differ significantly from the amounts presented.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$184 million and $189 million as of March 31, 2019 and December 31, 2018, respectively. The debt balance related to our investments in low-income housing properties was $149 million and $151 million as of March 31, 2019 and December 31, 2018, respectively. Additional information related to these investments is discussed in Note 5.</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$95 million and $92 million as of March 31, 2019 and December 31, 2018, respectively.</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$105 million and $103 million as of March 31, 2019 and December 31, 2018,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Holdings</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(50,692)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(17,391)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25,289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25,593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40,711</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(68,220)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(24,389)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25,583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(24,526)</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(50,692)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(6,709)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25,114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(43,694)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17"/>
        </w:trPr>
        <w:tc>
          <w:tcPr>
            <w:tcW w:w="39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25,289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25,593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(68,220)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23,373</w:t>
            </w:r>
          </w:p>
        </w:tc>
        <w:tc>
          <w:tcPr>
            <w:tcW w:w="0" w:type="dxa"/>
            <w:vAlign w:val="bottom"/>
          </w:tcPr>
          <w:p>
            <w:pPr>
              <w:spacing w:after="0"/>
              <w:rPr>
                <w:sz w:val="1"/>
                <w:szCs w:val="1"/>
                <w:color w:val="auto"/>
              </w:rPr>
            </w:pPr>
          </w:p>
        </w:tc>
      </w:tr>
      <w:tr>
        <w:trPr>
          <w:trHeight w:val="864"/>
        </w:trPr>
        <w:tc>
          <w:tcPr>
            <w:tcW w:w="3940" w:type="dxa"/>
            <w:vAlign w:val="bottom"/>
          </w:tcPr>
          <w:p>
            <w:pPr>
              <w:spacing w:after="0"/>
              <w:rPr>
                <w:sz w:val="24"/>
                <w:szCs w:val="24"/>
                <w:color w:val="auto"/>
              </w:rPr>
            </w:pPr>
          </w:p>
        </w:tc>
        <w:tc>
          <w:tcPr>
            <w:tcW w:w="1160" w:type="dxa"/>
            <w:vAlign w:val="bottom"/>
            <w:gridSpan w:val="3"/>
          </w:tcPr>
          <w:p>
            <w:pPr>
              <w:jc w:val="right"/>
              <w:ind w:right="391"/>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Holdings</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(49,773)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(17,258)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24,686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25,133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(67,031)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(24,253)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25,120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(24,253)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24,674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(49,773)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(6,709)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(42,778)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7"/>
        </w:trPr>
        <w:tc>
          <w:tcPr>
            <w:tcW w:w="39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24,686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25,133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(67,031)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864"/>
        </w:trPr>
        <w:tc>
          <w:tcPr>
            <w:tcW w:w="3940" w:type="dxa"/>
            <w:vAlign w:val="bottom"/>
          </w:tcPr>
          <w:p>
            <w:pPr>
              <w:spacing w:after="0"/>
              <w:rPr>
                <w:sz w:val="24"/>
                <w:szCs w:val="24"/>
                <w:color w:val="auto"/>
              </w:rPr>
            </w:pPr>
          </w:p>
        </w:tc>
        <w:tc>
          <w:tcPr>
            <w:tcW w:w="1160" w:type="dxa"/>
            <w:vAlign w:val="bottom"/>
            <w:gridSpan w:val="3"/>
          </w:tcPr>
          <w:p>
            <w:pPr>
              <w:jc w:val="right"/>
              <w:ind w:right="391"/>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color w:val="auto"/>
                <w:w w:val="92"/>
              </w:rPr>
              <w:t>Less: Net loss attributable to noncontrolling interests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522"/>
        </w:trPr>
        <w:tc>
          <w:tcPr>
            <w:tcW w:w="6020" w:type="dxa"/>
            <w:vAlign w:val="bottom"/>
            <w:gridSpan w:val="12"/>
          </w:tcPr>
          <w:p>
            <w:pPr>
              <w:ind w:left="3100"/>
              <w:spacing w:after="0"/>
              <w:rPr>
                <w:sz w:val="20"/>
                <w:szCs w:val="20"/>
                <w:color w:val="auto"/>
              </w:rPr>
            </w:pPr>
            <w:r>
              <w:rPr>
                <w:rFonts w:ascii="Arial" w:cs="Arial" w:eastAsia="Arial" w:hAnsi="Arial"/>
                <w:sz w:val="18"/>
                <w:szCs w:val="18"/>
                <w:b w:val="1"/>
                <w:bCs w:val="1"/>
                <w:color w:val="auto"/>
                <w:w w:val="93"/>
              </w:rPr>
              <w:t>Three Months Ended March 31, 2018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Guarantor</w:t>
            </w:r>
          </w:p>
        </w:tc>
        <w:tc>
          <w:tcPr>
            <w:tcW w:w="160" w:type="dxa"/>
            <w:vAlign w:val="bottom"/>
          </w:tcPr>
          <w:p>
            <w:pPr>
              <w:spacing w:after="0"/>
              <w:rPr>
                <w:sz w:val="21"/>
                <w:szCs w:val="2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21"/>
                <w:szCs w:val="21"/>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Holdings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w w:val="92"/>
              </w:rPr>
              <w:t>Less: Net loss attributable to noncontrolling interests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7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$ 396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851"/>
        </w:trPr>
        <w:tc>
          <w:tcPr>
            <w:tcW w:w="4000" w:type="dxa"/>
            <w:vAlign w:val="bottom"/>
          </w:tcPr>
          <w:p>
            <w:pPr>
              <w:spacing w:after="0"/>
              <w:rPr>
                <w:sz w:val="24"/>
                <w:szCs w:val="24"/>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Holdings</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Management, Inc.</w:t>
            </w:r>
          </w:p>
        </w:tc>
        <w:tc>
          <w:tcPr>
            <w:tcW w:w="4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(974)</w:t>
            </w:r>
          </w:p>
        </w:tc>
        <w:tc>
          <w:tcPr>
            <w:tcW w:w="30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7"/>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Management, Inc.</w:t>
            </w:r>
          </w:p>
        </w:tc>
        <w:tc>
          <w:tcPr>
            <w:tcW w:w="4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Holdings(a)</w:t>
            </w:r>
          </w:p>
        </w:tc>
        <w:tc>
          <w:tcPr>
            <w:tcW w:w="1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Subsidiaries(a)</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5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82"/>
        </w:trPr>
        <w:tc>
          <w:tcPr>
            <w:tcW w:w="4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15"/>
                <w:szCs w:val="15"/>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2280" w:type="dxa"/>
            <w:vAlign w:val="bottom"/>
          </w:tcPr>
          <w:p>
            <w:pPr>
              <w:spacing w:after="0"/>
              <w:rPr>
                <w:sz w:val="24"/>
                <w:szCs w:val="24"/>
                <w:color w:val="auto"/>
              </w:rPr>
            </w:pPr>
          </w:p>
        </w:tc>
        <w:tc>
          <w:tcPr>
            <w:tcW w:w="370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w w:val="92"/>
              </w:rPr>
              <w:t>Three Months Ended March 31, 2018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282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21"/>
                <w:szCs w:val="2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Holdings(a)</w:t>
            </w:r>
          </w:p>
        </w:tc>
        <w:tc>
          <w:tcPr>
            <w:tcW w:w="1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Subsidiaries(a)</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5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2"/>
        </w:trPr>
        <w:tc>
          <w:tcPr>
            <w:tcW w:w="4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2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22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Cash receipts and payments of WM and WM Holdings are transacted by Non-Guarantor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14, 2019, we entered into an Agreement and Plan of Merger to acquire all outstanding shares of Advanced Disposal Services, Inc. (“Advanced Disposal”) for $33.15 per share in cash, representing a total enterprise value of $4.9 billion when including approximately $1.9 billion of Advanced Disposal’s net debt. Advanced Disposal’s solid waste network includes 94 collection operations, 73 transfer stations, 41 landfills and 22 owned or operated recycling facilities. The transaction is expected to close by the first quarter of 2020, subject to the satisfaction of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188"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of the risks that we believe could affect our business and financial statements for 2019 and beyond and that could cause actual results to be materially different from those that may be set forth in forward-looking statements made by the Company include the following:</w:t>
      </w:r>
    </w:p>
    <w:p>
      <w:pPr>
        <w:spacing w:after="0" w:line="181" w:lineRule="exact"/>
        <w:rPr>
          <w:sz w:val="20"/>
          <w:szCs w:val="20"/>
          <w:color w:val="auto"/>
        </w:rPr>
      </w:pPr>
    </w:p>
    <w:p>
      <w:pPr>
        <w:jc w:val="both"/>
        <w:ind w:left="6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80"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38"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which could adversely impact our growth strategy, earnings and cash flow;</w:t>
      </w:r>
    </w:p>
    <w:p>
      <w:pPr>
        <w:spacing w:after="0" w:line="7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26" w:name="page27"/>
    <w:bookmarkEnd w:id="26"/>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5" w:lineRule="exact"/>
        <w:rPr>
          <w:rFonts w:ascii="Arial" w:cs="Arial" w:eastAsia="Arial" w:hAnsi="Arial"/>
          <w:sz w:val="16"/>
          <w:szCs w:val="16"/>
          <w:color w:val="auto"/>
        </w:rPr>
      </w:pPr>
    </w:p>
    <w:p>
      <w:pPr>
        <w:jc w:val="both"/>
        <w:ind w:left="640" w:hanging="333"/>
        <w:spacing w:after="0" w:line="286"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7" w:lineRule="exact"/>
        <w:rPr>
          <w:rFonts w:ascii="Arial" w:cs="Arial" w:eastAsia="Arial" w:hAnsi="Arial"/>
          <w:sz w:val="17"/>
          <w:szCs w:val="17"/>
          <w:color w:val="auto"/>
        </w:rPr>
      </w:pPr>
    </w:p>
    <w:p>
      <w:pPr>
        <w:jc w:val="both"/>
        <w:ind w:left="640" w:hanging="33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78"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EES organization;</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regulatory framework related to renewable fuel standards could affect our financial performance as a renewable fuel producer;</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73"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8"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27" w:name="page28"/>
    <w:bookmarkEnd w:id="27"/>
    <w:p>
      <w:pPr>
        <w:ind w:left="680" w:hanging="37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62"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73" w:lineRule="exact"/>
        <w:rPr>
          <w:rFonts w:ascii="Arial" w:cs="Arial" w:eastAsia="Arial" w:hAnsi="Arial"/>
          <w:sz w:val="18"/>
          <w:szCs w:val="18"/>
          <w:color w:val="auto"/>
        </w:rPr>
      </w:pPr>
    </w:p>
    <w:p>
      <w:pPr>
        <w:jc w:val="both"/>
        <w:ind w:left="640" w:hanging="333"/>
        <w:spacing w:after="0" w:line="279"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63" w:lineRule="exact"/>
        <w:rPr>
          <w:rFonts w:ascii="Arial" w:cs="Arial" w:eastAsia="Arial" w:hAnsi="Arial"/>
          <w:sz w:val="17"/>
          <w:szCs w:val="17"/>
          <w:color w:val="auto"/>
        </w:rPr>
      </w:pPr>
    </w:p>
    <w:p>
      <w:pPr>
        <w:jc w:val="both"/>
        <w:ind w:left="640" w:hanging="333"/>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8" w:lineRule="exact"/>
        <w:rPr>
          <w:rFonts w:ascii="Arial" w:cs="Arial" w:eastAsia="Arial" w:hAnsi="Arial"/>
          <w:sz w:val="18"/>
          <w:szCs w:val="18"/>
          <w:color w:val="auto"/>
        </w:rPr>
      </w:pPr>
    </w:p>
    <w:p>
      <w:pPr>
        <w:ind w:left="640" w:hanging="33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640" w:hanging="333"/>
        <w:spacing w:after="0" w:line="30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reduce or suspend capital expenditures, growth and acquisition activity, implementation of our business strategy, dividend declarations or share repurchases if we suffer a significant reduction in cash flows;</w:t>
      </w:r>
    </w:p>
    <w:p>
      <w:pPr>
        <w:spacing w:after="0" w:line="38" w:lineRule="exact"/>
        <w:rPr>
          <w:rFonts w:ascii="Arial" w:cs="Arial" w:eastAsia="Arial" w:hAnsi="Arial"/>
          <w:sz w:val="17"/>
          <w:szCs w:val="17"/>
          <w:color w:val="auto"/>
        </w:rPr>
      </w:pPr>
    </w:p>
    <w:p>
      <w:pPr>
        <w:jc w:val="both"/>
        <w:ind w:left="640" w:hanging="333"/>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28" w:name="page29"/>
    <w:bookmarkEnd w:id="28"/>
    <w:p>
      <w:pPr>
        <w:jc w:val="both"/>
        <w:ind w:left="660"/>
        <w:spacing w:after="0" w:line="302" w:lineRule="auto"/>
        <w:rPr>
          <w:sz w:val="20"/>
          <w:szCs w:val="20"/>
          <w:color w:val="auto"/>
        </w:rPr>
      </w:pPr>
      <w:r>
        <w:rPr>
          <w:rFonts w:ascii="Arial" w:cs="Arial" w:eastAsia="Arial" w:hAnsi="Arial"/>
          <w:sz w:val="16"/>
          <w:szCs w:val="16"/>
          <w:color w:val="auto"/>
        </w:rPr>
        <w:t>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46" w:lineRule="exact"/>
        <w:rPr>
          <w:sz w:val="20"/>
          <w:szCs w:val="20"/>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29" w:name="page30"/>
    <w:bookmarkEnd w:id="29"/>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Due to this, we monitor these developments to adapt our services offerings. As companies, individuals and communities look for ways to be more sustainable, we are promoting our comprehensive services that go beyond our core business of collecting and disposing of waste in order to meet their needs.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We also encounter competition for acquisitions and growth opportunities. Our industry is directly affected by changes in general economic factors, as increases and decreases in consumer spending, business expansions and construction starts generally correlate to volumes of waste generated and our revenues. Negative economic conditions, in addition to competitor actions, can make it more challenging to negotiate, renew or expand service contracts with acceptable margins and customers may reduce their service needs.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generally favorable macro-economic environment, including steady spending by consumers and businesses and construction starts, has benefited our volume growth and gross margins in recent quarters. We are not expecting any significant shift in the near term, but there is increased market volatility and uncertainty about longer-term macro-economic indicators. Continued disruptions in the global movement of recycling commodities resulted in significantly lower average market prices in 2018 which have continued to decline in 2019. Export demand has remained stagnant driven primarily by the tariff on recovered fiber into China and its continued limit on imports, as well as slower-growing economies in Europe, China and Mexico. The recycling industry is continuing to adapt to the heightened quality standards and regulations. Despite these events, our focus on developing a sustainable business model that meets customers’ environmental needs by passing through the increasing cost of processing and the cost of higher contamination rates led to improved operating results in the first quarter of 2019. We continue to focus on developing alternative markets and educating customers to reduce contamination in the recycling stream.</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quarter of 2019, we continued to produce strong operating results from our collection and disposal business, driven by our continued focus on delivering an outstanding customer experience and continuous improvement. The Company continued its commitment to supporting both organic and inorganic growth during the first quarter of 2019, allocating $471 million of available cash to capital expenditures and $394 million to the acquisition of solid waste businesses. We also allocated $291 million to our shareholders during the first quarter of 2019 through dividends and common stock repurchases.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660" w:hanging="333"/>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of $3,696 million, compared with $3,511 million in the prior year period, an increase of $185 million, or 5.3%. The increase is primarily attributable to (i) higher volumes from favorable market conditions and strong landfill volume growth and (ii) increased yield in our collection and disposal business, partially offset by lower market prices for recycling commodities;</w:t>
      </w:r>
    </w:p>
    <w:p>
      <w:pPr>
        <w:spacing w:after="0" w:line="78"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expenses of $2,298 million, compared with $2,184 million in the prior year period, remained flat as a percentage of revenue at 62.2% in both periods. The $114 million increase is primarily attributable to higher volumes and cost inflation in the current year period and increased fuel costs primarily associated with federal natural gas fuel credits received in 2018 that did not extend into 2019, partially offset by decreased cost of goods sold primarily due to lower market prices for recycling commodities;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0" w:name="page31"/>
    <w:bookmarkEnd w:id="30"/>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expenses of $409 million, or 11.1% of revenues, compared with $373 million, or 10.6% of revenues, in the prior year period. This increase of $36 million is primarily attributable to higher incentive compensation accruals, additional litigation reserves and higher consulting fees primarily associated with investments in technology;</w:t>
      </w:r>
    </w:p>
    <w:p>
      <w:pPr>
        <w:spacing w:after="0" w:line="78"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from operations of $621 million, or 16.8% of revenues, compared with $608 million, or 17.3% of revenues, in the prior year period. The current year period is favorably impacted by strong operating results primarily in our collection and disposal business. These results were partially offset by an increase in fuel costs primarily associated with federal natural gas fuel credits received in 2018 that did not extend into 2019 and higher selling, general and administrative expenses;</w:t>
      </w:r>
    </w:p>
    <w:p>
      <w:pPr>
        <w:spacing w:after="0" w:line="8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$347 million, or $0.81 per diluted share, compared with $396 million, or $0.91 per diluted share, in the prior year period. The current year period was impacted by a $52 million impairment charge related to our minority-owned investment in a waste conversion technology business which was not deductible for tax purposes;</w:t>
      </w:r>
    </w:p>
    <w:p>
      <w:pPr>
        <w:spacing w:after="0" w:line="78"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cash provided by operating activities was $890 million compared with $809 million in the prior year period; and</w:t>
      </w:r>
    </w:p>
    <w:p>
      <w:pPr>
        <w:spacing w:after="0" w:line="140" w:lineRule="exact"/>
        <w:rPr>
          <w:rFonts w:ascii="Arial" w:cs="Arial" w:eastAsia="Arial" w:hAnsi="Arial"/>
          <w:sz w:val="16"/>
          <w:szCs w:val="16"/>
          <w:color w:val="auto"/>
        </w:rPr>
      </w:pPr>
    </w:p>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Free cash flow was $431 million compared with $423 million in the prior year period.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These operations are presented in our “Other” segment in the table below. The following table summarizes revenues for the three months ended March 31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7"/>
        </w:trPr>
        <w:tc>
          <w:tcPr>
            <w:tcW w:w="2720" w:type="dxa"/>
            <w:vAlign w:val="bottom"/>
          </w:tcPr>
          <w:p>
            <w:pPr>
              <w:ind w:left="220"/>
              <w:spacing w:after="0"/>
              <w:rPr>
                <w:sz w:val="20"/>
                <w:szCs w:val="20"/>
                <w:color w:val="auto"/>
              </w:rPr>
            </w:pPr>
            <w:r>
              <w:rPr>
                <w:rFonts w:ascii="Arial" w:cs="Arial" w:eastAsia="Arial" w:hAnsi="Arial"/>
                <w:sz w:val="18"/>
                <w:szCs w:val="18"/>
                <w:color w:val="auto"/>
              </w:rPr>
              <w:t>Total</w:t>
            </w:r>
          </w:p>
        </w:tc>
        <w:tc>
          <w:tcPr>
            <w:tcW w:w="4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w:t>
            </w:r>
          </w:p>
        </w:tc>
      </w:tr>
      <w:tr>
        <w:trPr>
          <w:trHeight w:val="864"/>
        </w:trPr>
        <w:tc>
          <w:tcPr>
            <w:tcW w:w="2720" w:type="dxa"/>
            <w:vAlign w:val="bottom"/>
          </w:tcPr>
          <w:p>
            <w:pPr>
              <w:spacing w:after="0"/>
              <w:rPr>
                <w:sz w:val="24"/>
                <w:szCs w:val="24"/>
                <w:color w:val="auto"/>
              </w:rPr>
            </w:pPr>
          </w:p>
        </w:tc>
        <w:tc>
          <w:tcPr>
            <w:tcW w:w="4460" w:type="dxa"/>
            <w:vAlign w:val="bottom"/>
          </w:tcPr>
          <w:p>
            <w:pPr>
              <w:jc w:val="right"/>
              <w:ind w:right="247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9"/>
        </w:trPr>
        <w:tc>
          <w:tcPr>
            <w:tcW w:w="27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341" w:right="1419" w:bottom="1440" w:gutter="0" w:footer="0" w:header="0"/>
        </w:sectPr>
      </w:pPr>
    </w:p>
    <w:bookmarkStart w:id="31" w:name="page32"/>
    <w:bookmarkEnd w:id="31"/>
    <w:p>
      <w:pPr>
        <w:ind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is reflected in the table below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Intercompany (b)</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17"/>
        </w:trPr>
        <w:tc>
          <w:tcPr>
            <w:tcW w:w="2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r>
      <w:tr>
        <w:trPr>
          <w:trHeight w:val="108"/>
        </w:trPr>
        <w:tc>
          <w:tcPr>
            <w:tcW w:w="22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40" w:type="dxa"/>
            <w:vAlign w:val="bottom"/>
            <w:gridSpan w:val="9"/>
          </w:tcPr>
          <w:p>
            <w:pPr>
              <w:jc w:val="center"/>
              <w:ind w:right="65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jc w:val="center"/>
              <w:ind w:left="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left="6"/>
              <w:spacing w:after="0"/>
              <w:rPr>
                <w:sz w:val="20"/>
                <w:szCs w:val="20"/>
                <w:color w:val="auto"/>
              </w:rPr>
            </w:pPr>
            <w:r>
              <w:rPr>
                <w:rFonts w:ascii="Arial" w:cs="Arial" w:eastAsia="Arial" w:hAnsi="Arial"/>
                <w:sz w:val="14"/>
                <w:szCs w:val="14"/>
                <w:b w:val="1"/>
                <w:bCs w:val="1"/>
                <w:color w:val="auto"/>
                <w:w w:val="93"/>
              </w:rPr>
              <w:t>March 31, 2019 vs. 2018</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rPr>
              <w:t>As a %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Related</w:t>
            </w:r>
          </w:p>
        </w:tc>
        <w:tc>
          <w:tcPr>
            <w:tcW w:w="8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8"/>
              </w:rPr>
              <w:t>Business(a)</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Recycling commodities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100" w:type="dxa"/>
            <w:vAlign w:val="bottom"/>
            <w:gridSpan w:val="3"/>
          </w:tcPr>
          <w:p>
            <w:pPr>
              <w:jc w:val="right"/>
              <w:ind w:right="15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Total average yield (c)</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Internal revenue growth</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Divestitures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2" w:name="page33"/>
    <w:bookmarkEnd w:id="32"/>
    <w:p>
      <w:pPr>
        <w:ind w:left="32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0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3"/>
              </w:rPr>
              <w:t>March 31, 2019 vs. 2018</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0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Industrial</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2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91"/>
              </w:rPr>
              <w:t>2.7 %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strategic pricing efforts focus on ensuring we overcome inflationary cost pressures and grow margins. This strategy has been most successful in our collection line of business. We are also experiencing solid growth in our transfer business and our landfill business, with our municipal solid waste business experiencing 3.4% average yield growth.</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market prices for recycling commodities resulted in revenue decline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for the three months ended March 31, 2019, as compared with the prior year period. Our revenue decline has been offset to a certain extent by assessing fees to cover the higher costs of handling contaminated recycling materials. Recent oversupply of recycling commodities has driven down market prices. Average market prices for recycling commodities at the Company’s facilities were 28% lower for the three months ended March 31, 2019, as compared with the prior year period. We expect slower global demand to remain through 2019, which will continue to put downward pressure on average market prices for recycling commodities.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Fuel Surcharges and Mandated Fees — </w:t>
      </w:r>
      <w:r>
        <w:rPr>
          <w:rFonts w:ascii="Arial" w:cs="Arial" w:eastAsia="Arial" w:hAnsi="Arial"/>
          <w:sz w:val="17"/>
          <w:szCs w:val="17"/>
          <w:color w:val="auto"/>
        </w:rPr>
        <w:t>These revenues, which are predominantly generated by our fuel surcharge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increased as compared with the prior year period. These revenues fluctuate in response to changes in the national average prices for diesel fuel on which our surcharge is based. The mandated fees included in this line item are primarily related to fees and taxes assessed by various state, county and municipal government agencies at our landfills and transfer stations. These fees did not have a significant impact on the comparability of the periods.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revenues from volumes increased $117 million, or 3.4%, for the three months ended March 31, 2019, as compared with the prior year period, excluding volumes from acquisitions and divestitures.</w:t>
      </w:r>
    </w:p>
    <w:p>
      <w:pPr>
        <w:spacing w:after="0" w:line="170" w:lineRule="exact"/>
        <w:rPr>
          <w:sz w:val="20"/>
          <w:szCs w:val="20"/>
          <w:color w:val="auto"/>
        </w:rPr>
      </w:pPr>
    </w:p>
    <w:p>
      <w:pPr>
        <w:jc w:val="both"/>
        <w:ind w:firstLine="259"/>
        <w:spacing w:after="0" w:line="297" w:lineRule="auto"/>
        <w:rPr>
          <w:sz w:val="20"/>
          <w:szCs w:val="20"/>
          <w:color w:val="auto"/>
        </w:rPr>
      </w:pPr>
      <w:r>
        <w:rPr>
          <w:rFonts w:ascii="Arial" w:cs="Arial" w:eastAsia="Arial" w:hAnsi="Arial"/>
          <w:sz w:val="16"/>
          <w:szCs w:val="16"/>
          <w:color w:val="auto"/>
        </w:rPr>
        <w:t>We experienced higher volumes due to our focus on customer service and disciplined growth, combined with favorable market conditions in our collection and disposal business. We have experienced significant volume growth with existing customers, particularly in our commercial collection business. The volume growth is the result of proactive efforts taken to work with our customers as their needs expand to identify service upgrade opportunities. We also experienced strong landfill volume growth primarily due to event-driven projects in our special waste business coupled with growth in our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municipal solid waste business. Additionally, a large contract executed in the second half of 2017 continues to favorably contribute to increased volume additions at our transfer stations in 2019. Furthermore, we experienced favorable volume growth from our WMSBS organization and our recycling brokerage services for the three months ended March 31, 2019, as compared with the prior year period.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major components of our operating expenses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38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Labor and related benefits</w:t>
            </w:r>
          </w:p>
        </w:tc>
        <w:tc>
          <w:tcPr>
            <w:tcW w:w="1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Transfer and disposal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Subcontractor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goods sold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Disposal and franchise fees and taxes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Landfill operating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Risk management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2,184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increase in volumes in the current year period, as discussed above in </w:t>
      </w:r>
      <w:r>
        <w:rPr>
          <w:rFonts w:ascii="Arial" w:cs="Arial" w:eastAsia="Arial" w:hAnsi="Arial"/>
          <w:sz w:val="17"/>
          <w:szCs w:val="17"/>
          <w:i w:val="1"/>
          <w:iCs w:val="1"/>
          <w:color w:val="auto"/>
        </w:rPr>
        <w:t>Operating Revenues,</w:t>
      </w:r>
      <w:r>
        <w:rPr>
          <w:rFonts w:ascii="Arial" w:cs="Arial" w:eastAsia="Arial" w:hAnsi="Arial"/>
          <w:sz w:val="17"/>
          <w:szCs w:val="17"/>
          <w:color w:val="auto"/>
        </w:rPr>
        <w:t xml:space="preserve"> affect the comparability of operating expenses primarily in transfer and disposal, subcontractor, and disposal and franchise fees and taxes for the periods presented. In addition, cost inflation affects the comparability of operating expenses.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significant items affecting the comparability of operating expenses for the reported periods include: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driven by volume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line of business as well as cost inflation noted above. These cost increases were offset, in part, by lower bonus costs related to a plan established in early 2018 targeted at improving employee retention and one less workday during the current year period.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primarily driven by cost inflation noted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which primarily impacted labor, parts, third-party services, tires and building costs.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in cost of goods sold was primarily driven by lower market prices for recycling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and lower costs associated with a divestiture in the second quarter of 2018.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in fuel costs was primarily driven by a $28 million benefit from federal natural gas fuel credits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in 2018 that did not extend into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increase in landfill operating costs is primarily driven by higher leachate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costs driven primarily by inclement weather.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is primarily the result of higher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4" w:name="page35"/>
    <w:bookmarkEnd w:id="34"/>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Professional fees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0"/>
        </w:trPr>
        <w:tc>
          <w:tcPr>
            <w:tcW w:w="408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2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The increase was primarily due to higher incentive compensation accruals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w:t>
      </w:r>
    </w:p>
    <w:p>
      <w:pPr>
        <w:spacing w:after="0" w:line="170"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was primarily due to higher consulting fees, largely due to the investments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in operating, customer facing and back-office technologies, in addition to acquisition-related costs.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increase was principally driven by additional litigation reserves.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96"/>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increase in depreciation of tangible property and equipment during the three months ended March 31, 2019, compared to the prior year period, was primarily due to increased capital expenditures to support organic growth in our business. The increase in amortization of landfill airspace during the three months ended March 31, 2019, compared to the prior year period, was primarily due to increased volumes.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341" w:right="1359" w:bottom="1440" w:gutter="0" w:footer="0" w:header="0"/>
        </w:sectPr>
      </w:pPr>
    </w:p>
    <w:bookmarkStart w:id="35" w:name="page36"/>
    <w:bookmarkEnd w:id="35"/>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Tier 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2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21.7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(194)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(147)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2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significant items affecting income from operations for our segments during the three months ended March 31, 2019, as compared with the prior year period, are summarized below:</w:t>
      </w:r>
    </w:p>
    <w:p>
      <w:pPr>
        <w:spacing w:after="0" w:line="62" w:lineRule="exact"/>
        <w:rPr>
          <w:sz w:val="20"/>
          <w:szCs w:val="20"/>
          <w:color w:val="auto"/>
        </w:rPr>
      </w:pPr>
    </w:p>
    <w:p>
      <w:pPr>
        <w:jc w:val="both"/>
        <w:ind w:left="500" w:hanging="241"/>
        <w:spacing w:after="0" w:line="31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Our collection and disposal business benefited from internal revenue growth. This increase to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operations was offset, in part, by (i) federal natural gas fuel credits received in 2018 that did not extend into 2019 and (ii) higher operating costs, driven by cost inflation, and leachate management costs primarily in Tier 3.</w:t>
      </w:r>
    </w:p>
    <w:p>
      <w:pPr>
        <w:spacing w:after="0" w:line="38" w:lineRule="exact"/>
        <w:rPr>
          <w:rFonts w:ascii="Arial" w:cs="Arial" w:eastAsia="Arial" w:hAnsi="Arial"/>
          <w:sz w:val="16"/>
          <w:szCs w:val="16"/>
          <w:color w:val="auto"/>
        </w:rPr>
      </w:pPr>
    </w:p>
    <w:p>
      <w:pPr>
        <w:jc w:val="both"/>
        <w:ind w:left="500" w:hanging="24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Increased expenses as a result of (i) higher incentive compensation accruals; (ii)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reserves and (iii) higher consulting fees, largely due to the investments we are making in operating, customer facing and back-office technologies.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three months ended March 31, 2019, we recognized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income tax expense and effective income tax rates were $115 million, or 24.8%, and $116 million, or 22.7%, for the three months ended March 31, 2019 and 2018, respectively. The current year period was impacted by a $52 million impairment charge which was not deductible for tax purposes. See </w:t>
      </w:r>
      <w:r>
        <w:rPr>
          <w:rFonts w:ascii="Arial" w:cs="Arial" w:eastAsia="Arial" w:hAnsi="Arial"/>
          <w:sz w:val="17"/>
          <w:szCs w:val="17"/>
          <w:i w:val="1"/>
          <w:iCs w:val="1"/>
          <w:color w:val="auto"/>
        </w:rPr>
        <w:t>Other, Net</w:t>
      </w:r>
      <w:r>
        <w:rPr>
          <w:rFonts w:ascii="Arial" w:cs="Arial" w:eastAsia="Arial" w:hAnsi="Arial"/>
          <w:sz w:val="17"/>
          <w:szCs w:val="17"/>
          <w:color w:val="auto"/>
        </w:rPr>
        <w:t xml:space="preserve"> above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6" w:name="page37"/>
    <w:bookmarkEnd w:id="36"/>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30"/>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3"/>
        </w:trPr>
        <w:tc>
          <w:tcPr>
            <w:tcW w:w="6260" w:type="dxa"/>
            <w:vAlign w:val="bottom"/>
            <w:gridSpan w:val="2"/>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626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6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6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17"/>
        </w:trPr>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r>
      <w:tr>
        <w:trPr>
          <w:trHeight w:val="108"/>
        </w:trPr>
        <w:tc>
          <w:tcPr>
            <w:tcW w:w="228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$97 million and $70 million as of March 31, 2019 and December 31, 2018, respectively, in other current assets in our Condensed Consolidated Balance Sheets.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March 31, 2019, we had $2.2 billion of debt maturing within the next 12 months, including (i) $1.4 billion of short-term borrowings under our commercial paper program; (ii) $680 million of tax-exempt bonds with term interest rate periods that expire within the next 12 months, which is prior to their scheduled maturities and (iii) $139 million of other debt with scheduled maturities within the next 12 months, including $72 million of tax-exempt bonds. Of the $1.4 billion of short-term borrowings outstanding under our commercial paper program as of March 31, 2019 that are supported by our long-term U.S. and Canadian revolving credit facility (“$2.75 billion revolving credit facility”), we have the intent and ability to refinance or maintain approximately $450 million of these borrowings on a long-term basis, and we have classified these amounts as long-term debt. As of March 31, 2019, we have classified an additional $680 million of debt maturing in the next 12 months as long-term because we have the intent and ability to refinance these borrowings on a long-term basis as supported by the forecasted available capacity under our $2.75 billion revolving credit facility, as discussed below. The remaining $1.0 billion is classified as current obligations.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3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0"/>
        </w:trPr>
        <w:tc>
          <w:tcPr>
            <w:tcW w:w="70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(637)</w:t>
            </w:r>
          </w:p>
        </w:tc>
      </w:tr>
      <w:tr>
        <w:trPr>
          <w:trHeight w:val="223"/>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$81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as compared with the prior year period, as a result of (i) higher earnings primarily associated with our collection and disposal business in the current year period and (ii) net favorable changes in our operating assets and liabilities, net of effects of acquisitions and divestitures.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and 2018 are summarized below:</w:t>
      </w:r>
    </w:p>
    <w:p>
      <w:pPr>
        <w:spacing w:after="0" w:line="62" w:lineRule="exact"/>
        <w:rPr>
          <w:sz w:val="20"/>
          <w:szCs w:val="20"/>
          <w:color w:val="auto"/>
        </w:rPr>
      </w:pPr>
    </w:p>
    <w:p>
      <w:pPr>
        <w:jc w:val="both"/>
        <w:ind w:left="500" w:hanging="241"/>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spent $394 million and $246 million for acquisitions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and 2018, respectively, related to our Solid Waste business. Our acquisitions in 2019 are primarily related to Petro Waste Environmental LP, which is discussed further in Note 9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7" w:name="page38"/>
    <w:bookmarkEnd w:id="37"/>
    <w:p>
      <w:pPr>
        <w:jc w:val="both"/>
        <w:ind w:left="500" w:hanging="241"/>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$471 million and $400 million for capital expenditures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and 2018, respectively. The Company continues to maintain a disciplined focus on capital management and fluctuations in our capital expenditures are a result of new business opportunities, growth in our existing business, the timing of replacement of aging assets and investment in assets that support our strategy of continuous improvement through efficiency and innovation.</w:t>
      </w:r>
    </w:p>
    <w:p>
      <w:pPr>
        <w:spacing w:after="0" w:line="188" w:lineRule="exact"/>
        <w:rPr>
          <w:rFonts w:ascii="Arial" w:cs="Arial" w:eastAsia="Arial" w:hAnsi="Arial"/>
          <w:sz w:val="18"/>
          <w:szCs w:val="18"/>
          <w:color w:val="auto"/>
        </w:rPr>
      </w:pPr>
    </w:p>
    <w:p>
      <w:pPr>
        <w:jc w:val="both"/>
        <w:ind w:left="500" w:hanging="241"/>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Cash flows from investing activities provided $53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primarily related to (i) changes in our investments portfolio associated with our wholly-owned insurance captive from available-for-sale securities to restricted cash and cash equivalents and (ii) the redemption of our preferred stock received in conjunction with the 2014 sale of our Puerto Rico operations as discussed in Note 13 to the Condensed Consolidated Financial Statements.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three months ended March 31, 2019 and 2018 are summarized below:</w:t>
      </w:r>
    </w:p>
    <w:p>
      <w:pPr>
        <w:spacing w:after="0" w:line="62" w:lineRule="exact"/>
        <w:rPr>
          <w:sz w:val="20"/>
          <w:szCs w:val="20"/>
          <w:color w:val="auto"/>
        </w:rPr>
      </w:pPr>
    </w:p>
    <w:p>
      <w:pPr>
        <w:ind w:left="500" w:hanging="241"/>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commercial paper program discussed below) for the three months ended March 31 (in millions):</w:t>
      </w:r>
    </w:p>
    <w:p>
      <w:pPr>
        <w:spacing w:after="0" w:line="44"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14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7"/>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Net cash repayments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108"/>
        </w:trPr>
        <w:tc>
          <w:tcPr>
            <w:tcW w:w="214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Our revolving credit facility was amended and restated in June 2018.</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500" w:hanging="241"/>
        <w:spacing w:after="0" w:line="31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Commercial Paper Program — </w:t>
      </w:r>
      <w:r>
        <w:rPr>
          <w:rFonts w:ascii="Arial" w:cs="Arial" w:eastAsia="Arial" w:hAnsi="Arial"/>
          <w:sz w:val="16"/>
          <w:szCs w:val="16"/>
          <w:color w:val="auto"/>
        </w:rPr>
        <w:t>During the three months ended March 31, 2019 and 2018, we had net cash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of $357 million and $471 million (net of the related discount on issuance), respectively, under our commercial paper program. Borrowings were primarily to support acquisitions and for general corporate purposes.</w:t>
      </w:r>
    </w:p>
    <w:p>
      <w:pPr>
        <w:spacing w:after="0" w:line="38" w:lineRule="exact"/>
        <w:rPr>
          <w:rFonts w:ascii="Arial" w:cs="Arial" w:eastAsia="Arial" w:hAnsi="Arial"/>
          <w:sz w:val="16"/>
          <w:szCs w:val="16"/>
          <w:color w:val="auto"/>
        </w:rPr>
      </w:pPr>
    </w:p>
    <w:p>
      <w:pPr>
        <w:jc w:val="both"/>
        <w:ind w:left="500" w:hanging="241"/>
        <w:spacing w:after="0" w:line="279"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During the three months ended March 31, 2019, we repurchased $64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stock and paid $4 million related to our December 2018 share repurchases. During the three months ended March 31, 2018, we repurchased $258 million of common stock, of which $8 million was paid in April 2018. See Note 12 to the Condensed Consolidated Financial Statements for additional information.</w:t>
      </w:r>
    </w:p>
    <w:p>
      <w:pPr>
        <w:spacing w:after="0" w:line="63" w:lineRule="exact"/>
        <w:rPr>
          <w:rFonts w:ascii="Arial" w:cs="Arial" w:eastAsia="Arial" w:hAnsi="Arial"/>
          <w:sz w:val="17"/>
          <w:szCs w:val="17"/>
          <w:color w:val="auto"/>
        </w:rPr>
      </w:pPr>
    </w:p>
    <w:p>
      <w:pPr>
        <w:ind w:left="52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As a result of the pending acquisition discussed in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below, we expect to scale back our share repurchases in 2019 to a level sufficient to offset dilution from stock-based compensation plans.</w:t>
      </w:r>
    </w:p>
    <w:p>
      <w:pPr>
        <w:spacing w:after="0" w:line="62" w:lineRule="exact"/>
        <w:rPr>
          <w:rFonts w:ascii="Arial" w:cs="Arial" w:eastAsia="Arial" w:hAnsi="Arial"/>
          <w:sz w:val="17"/>
          <w:szCs w:val="17"/>
          <w:color w:val="auto"/>
        </w:rPr>
      </w:pPr>
    </w:p>
    <w:p>
      <w:pPr>
        <w:ind w:left="500" w:hanging="241"/>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w:t>
      </w:r>
    </w:p>
    <w:p>
      <w:pPr>
        <w:spacing w:after="0" w:line="117"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We paid cash dividends of $223 million and $206 million during the three months ended March 31, 2019 and 2018, respectively. The increase in dividend payments is primarily due to our quarterly per share dividend increasing from $0.465 in 2018 to $0.5125 in 2019 offset, in part, by a reduction in our common stock outstanding during 2018 as a result of our common stock repurchase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8" w:name="page39"/>
    <w:bookmarkEnd w:id="38"/>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7060" w:type="dxa"/>
            <w:vAlign w:val="bottom"/>
          </w:tcPr>
          <w:p>
            <w:pPr>
              <w:ind w:left="1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bl>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14, 2019, we entered into an Agreement and Plan of Merger to acquire all outstanding shares of Advanced Disposal Services, Inc. (“Advanced Disposal”) for $33.15 per share in cash, representing a total enterprise value of $4.9 billion when including approximately $1.9 billion of Advanced Disposal’s net debt. Advanced Disposal’s solid waste network includes 94 collection operations, 73 transfer stations, 41 landfills and 22 owned or operated recycling facilities. The transaction is expected to close by the first quarter of 2020, subject to the satisfaction of customary closing conditions, including regulatory approvals.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Actual results could differ materially from the estimates and assumptions that we use in the preparation of our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7 to the Condensed Consolidated Financial Statements. These arrangements have not materially affected our financial position, results of operations or liquidity during the three months ended March 31, 2019, nor are they expected to have a material impact on our future financial position, results of operations or liquidity.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Information about market risks as of March 31, 2019 does not differ materially from that discussed under Item 7A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2019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2019. We determined that there were no changes in our internal control over financial reporting during the quarter ended March 31,2019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324"/>
        <w:spacing w:after="0" w:line="224" w:lineRule="exact"/>
        <w:rPr>
          <w:sz w:val="20"/>
          <w:szCs w:val="20"/>
          <w:color w:val="auto"/>
        </w:rPr>
      </w:pPr>
      <w:r>
        <w:rPr>
          <w:rFonts w:ascii="Arial" w:cs="Arial" w:eastAsia="Arial" w:hAnsi="Arial"/>
          <w:sz w:val="17"/>
          <w:szCs w:val="17"/>
          <w:color w:val="auto"/>
        </w:rPr>
        <w:t>Except as set forth below, there have been no material changes to the risk factors previously disclosed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in response to Item 1A to Part I of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2"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Our planned acquisition of Advanced Disposal may not occur at all, may not occur in the expected time frame or may involve the divestiture of certain businesses and assets, which may negatively affect the trading price of our common stock and our future business and financial results.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14, 2019, we entered into an Agreement and Plan of Merger pursuant to which, among other things and subject to the satisfaction or waiver of specified conditions, we agreed to acquire Advanced Disposal. If the acquisition is completed, Advanced Disposal will become an indirect wholly-owned subsidiary of WM. The consummation of the acquisition is not assured and is subject to certain conditions, including the affirmative vote of the holders of a majority of the outstanding shares of Advanced Disposal common stock;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planned acquisition of Advanced Disposal is subject to a number of risks and uncertainties, including general economic and capital markets conditions; the effects that the announcement or pendency of the merger may have on us, Advanced Disposal and our respective businesses; inability to obtain required regulatory or government approvals or to obtain such approvals on satisfactory conditions; inability of Advanced Disposal to obtain stockholder approval or satisfy other closing conditions; our inability to obtain financing on acceptable terms; the occurrence of any event, change or other circumstance that could give rise to the termination of the Agreement and Plan of Merger, several of which could require us to pay a termination fee of $150 million to Advanced Disposal; legal proceedings that may be instituted related to the proposed acquisition and the legal expenses and diversion of management’s attention that may be associated therewith; and unexpected costs, charges or expenses. If the planned acquisition of Advanced Disposal is not completed, if there are significant delays in completing the planned acquisition or if the planned acquisition involves an unexpected amount of required divestitures, it could negatively affect the trading price of our common stock and our future business and financial results.</w:t>
      </w:r>
    </w:p>
    <w:p>
      <w:pPr>
        <w:spacing w:after="0" w:line="18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not realize the strategic benefits and cost synergies that are anticipated from the planned acquisition of Advanced Disposal.</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benefits that are expected to result from the planned acquisition of Advanced Disposal will depend, in part, on our ability to realize anticipated cost synergies. Our success in realizing these benefits and cost synergies, and the timing of this realization, depends on the successful integration of Advanced Disposal. There is a significant degree of difficulty and management distraction inherent in the process of integrating an acquisition of this size. The process of integrating operations could cause business interruption and distraction. Some members of our management may be required to devote considerable time to this integration process, which will decrease the time they will have to manage our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8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acquisition of Advanced Disposal may not result in realization of the benefits and cost synergies that we currently expect, and we cannot guarantee that these benefits and cost synergies will be achieved within anticipated time frames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at all. Additionally, we may incur substantial expenses in connection with the integration of Advanced Disposal, which may exceed expectations and offset certain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following table summarizes common stock repurchases made during the first quarter of 2019 (shares in millions):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1.5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February 1 — 28</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97.24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rPr>
              <w:t>1.5 billion</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1.5 billion</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94.35</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was repurchased in open market transactions in compliance with Rule 10b5-1 and Rule 10b-18 of the Exchange Act for $64 million, inclusive of per-share commissions, under our prior $1.25 billion Board of Directors authorization announced in December 2017.</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announced in December 2018 that the Board of Directors authorized up to $1.5 billion in future share repurchases, which superseded and replaced remaining authority under any prior Board of Directors authorization for share repurchases after the completion of our open market repurchases noted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40" w:type="dxa"/>
            <w:vAlign w:val="bottom"/>
            <w:gridSpan w:val="6"/>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0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Agreement and Plan of Merger dated April 14, 2019 by and among WM, Everglades Merger Sub Inc.,</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48">
              <w:r>
                <w:rPr>
                  <w:rFonts w:ascii="Arial" w:cs="Arial" w:eastAsia="Arial" w:hAnsi="Arial"/>
                  <w:sz w:val="18"/>
                  <w:szCs w:val="18"/>
                  <w:color w:val="0000EE"/>
                  <w:w w:val="94"/>
                </w:rPr>
                <w:t>and Advanced Disposal Services, Inc. [incorporated by reference to Exhibit 2.1 to Form 8-K filed April</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15, 2019] (pursuant to Item 601(b)(2) of Regulation S-K, exhibits and schedules to the Agreement and</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Plan of Merger have been omitted and will be supplementally provided to the SEC upon request).</w:t>
              </w:r>
            </w:hyperlink>
          </w:p>
        </w:tc>
        <w:tc>
          <w:tcPr>
            <w:tcW w:w="580" w:type="dxa"/>
            <w:vAlign w:val="bottom"/>
            <w:gridSpan w:val="2"/>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Voting Agreement dated April 14, 2019 by and between WM and Canada Pension Plan Investment Board</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[incorporated by reference to Exhibit 2.2 to Form 8-K filed April 15, 2019].</w:t>
              </w:r>
            </w:hyperlink>
          </w:p>
        </w:tc>
        <w:tc>
          <w:tcPr>
            <w:tcW w:w="2140" w:type="dxa"/>
            <w:vAlign w:val="bottom"/>
            <w:gridSpan w:val="4"/>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Form of 2019 Senior Leadership Team Award Agreement [incorporated by reference to Exhibit 10.1 to</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Form 8-K filed February 25, 2019].</w:t>
              </w:r>
            </w:hyperlink>
          </w:p>
        </w:tc>
        <w:tc>
          <w:tcPr>
            <w:tcW w:w="5040" w:type="dxa"/>
            <w:vAlign w:val="bottom"/>
            <w:gridSpan w:val="6"/>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line="207"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amended, of James C. Fish, Jr., President and Chief Executive Officer.</w:t>
              </w:r>
            </w:hyperlink>
          </w:p>
        </w:tc>
        <w:tc>
          <w:tcPr>
            <w:tcW w:w="2540" w:type="dxa"/>
            <w:vAlign w:val="bottom"/>
            <w:gridSpan w:val="5"/>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line="207"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amended, of Devina A. Rankin, Senior Vice President and Chief Financial Officer.</w:t>
              </w:r>
            </w:hyperlink>
          </w:p>
        </w:tc>
        <w:tc>
          <w:tcPr>
            <w:tcW w:w="1660" w:type="dxa"/>
            <w:vAlign w:val="bottom"/>
            <w:gridSpan w:val="3"/>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4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Pursuant to 18 U.S.C. §1350 of James C. Fish, Jr., President and Chief Executive Officer.</w:t>
              </w:r>
            </w:hyperlink>
          </w:p>
        </w:tc>
        <w:tc>
          <w:tcPr>
            <w:tcW w:w="220" w:type="dxa"/>
            <w:vAlign w:val="bottom"/>
          </w:tcPr>
          <w:p>
            <w:pPr>
              <w:spacing w:after="0"/>
              <w:rPr>
                <w:sz w:val="24"/>
                <w:szCs w:val="24"/>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620" w:type="dxa"/>
            <w:vAlign w:val="bottom"/>
            <w:tcBorders>
              <w:bottom w:val="single" w:sz="8" w:color="0000EE"/>
            </w:tcBorders>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Pursuant to 18 U.S.C. §1350 of Devina A. Rankin, Senior Vice President and Chief</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Financial Officer.</w:t>
              </w:r>
            </w:hyperlink>
          </w:p>
        </w:tc>
        <w:tc>
          <w:tcPr>
            <w:tcW w:w="6340" w:type="dxa"/>
            <w:vAlign w:val="bottom"/>
            <w:gridSpan w:val="8"/>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762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r>
      <w:tr>
        <w:trPr>
          <w:trHeight w:val="20"/>
        </w:trPr>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6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4"/>
              </w:rPr>
              <w:t>Devina A. Rankin</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r>
    </w:tbl>
    <w:p>
      <w:pPr>
        <w:jc w:val="center"/>
        <w:ind w:left="498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2019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2019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During the quarter ended March 31, 2019,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March 31, 2019,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Roman"/>
      <w:start w:val="1"/>
    </w:lvl>
    <w:lvl w:ilvl="1">
      <w:lvlJc w:val="left"/>
      <w:lvlText w:val="%2."/>
      <w:numFmt w:val="upperLetter"/>
      <w:start w:val="1"/>
    </w:lvl>
  </w:abstractNum>
  <w:abstractNum w:abstractNumId="24">
    <w:nsid w:val="B03E0C6"/>
    <w:multiLevelType w:val="hybridMultilevel"/>
    <w:lvl w:ilvl="0">
      <w:lvlJc w:val="left"/>
      <w:lvlText w:val="%1."/>
      <w:numFmt w:val="lowerRoman"/>
      <w:start w:val="1"/>
    </w:lvl>
    <w:lvl w:ilvl="1">
      <w:lvlJc w:val="left"/>
      <w:lvlText w:val="%2."/>
      <w:numFmt w:val="upp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8" Type="http://schemas.openxmlformats.org/officeDocument/2006/relationships/hyperlink" Target="http://www.sec.gov/Archives/edgar/data/823768/000110465919021340/a19-8354_1ex2d1.htm" TargetMode="External"/><Relationship Id="rId49" Type="http://schemas.openxmlformats.org/officeDocument/2006/relationships/hyperlink" Target="http://www.sec.gov/Archives/edgar/data/823768/000110465919021340/a19-8354_1ex2d2.htm" TargetMode="External"/><Relationship Id="rId50" Type="http://schemas.openxmlformats.org/officeDocument/2006/relationships/hyperlink" Target="http://www.sec.gov/Archives/edgar/data/823768/000110465919010295/a19-528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2019-12-28T13:37:06Z</dcterms:created>
  <dcterms:modified xsi:type="dcterms:W3CDTF">2019-12-28T13:37:06Z</dcterms:modified>
</cp:coreProperties>
</file>