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RETIREMENT SAVINGS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PLAN FOR BARGAINING UNIT EMPLOYEES</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96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2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97"/>
              </w:rPr>
              <w:t>FOR BARGAINING UNIT EMPLOYEES</w:t>
            </w:r>
          </w:p>
        </w:tc>
        <w:tc>
          <w:tcPr>
            <w:tcW w:w="2620" w:type="dxa"/>
            <w:vAlign w:val="bottom"/>
            <w:gridSpan w:val="4"/>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99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Reports of Independent Registered Public Accounting Firms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5"/>
        </w:trPr>
        <w:tc>
          <w:tcPr>
            <w:tcW w:w="4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Financial Statements</w:t>
            </w:r>
          </w:p>
        </w:tc>
        <w:tc>
          <w:tcPr>
            <w:tcW w:w="5540" w:type="dxa"/>
            <w:vAlign w:val="bottom"/>
            <w:gridSpan w:val="7"/>
          </w:tcPr>
          <w:p>
            <w:pPr>
              <w:spacing w:after="0"/>
              <w:rPr>
                <w:sz w:val="24"/>
                <w:szCs w:val="24"/>
                <w:color w:val="auto"/>
              </w:rPr>
            </w:pP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2013 and 2012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2013</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4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5"/>
        </w:trPr>
        <w:tc>
          <w:tcPr>
            <w:tcW w:w="9900" w:type="dxa"/>
            <w:vAlign w:val="bottom"/>
            <w:gridSpan w:val="14"/>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48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Schedule H, Line 4(i) — Schedule of Assets (Held At End of Year)</w:t>
              </w:r>
            </w:hyperlink>
          </w:p>
        </w:tc>
        <w:tc>
          <w:tcPr>
            <w:tcW w:w="468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(the Plan) as of December 31, 2013, and the related statement of changes in net assets available for benefits for the year ended December 31, 2013. These financial statements are the responsibility of Plan management. Our responsibility is to express an opinion on these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2013, and the changes in net assets available for benefits for the year ended December 31, 2013, in conformity with accounting principles generally accepted in the United States of America.</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year end) as of December 31, 2013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statement of net assets available for benefits of the Waste Management Retirement Savings Plan for Bargaining Unit Employees (the Plan) as of December 31, 2012. This financial statement is the responsibility of Plan management. Our responsibility is to express an opinion on the financial statement based on our audit.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as of December 31, 2012,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the Master Trust (Note 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19,869,768</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15,476,658</w:t>
            </w:r>
          </w:p>
        </w:tc>
      </w:tr>
      <w:tr>
        <w:trPr>
          <w:trHeight w:val="230"/>
        </w:trPr>
        <w:tc>
          <w:tcPr>
            <w:tcW w:w="20" w:type="dxa"/>
            <w:vAlign w:val="bottom"/>
          </w:tcPr>
          <w:p>
            <w:pPr>
              <w:spacing w:after="0"/>
              <w:rPr>
                <w:sz w:val="20"/>
                <w:szCs w:val="20"/>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Total investments</w:t>
            </w: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19,869,768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15,476,658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Employee contributions</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32,751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33,839</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13,446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13,174</w:t>
            </w:r>
          </w:p>
        </w:tc>
      </w:tr>
      <w:tr>
        <w:trPr>
          <w:trHeight w:val="223"/>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910,124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receivables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956,321</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699,847</w:t>
            </w: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20,826,089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16,176,505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(46,276)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(133,086)</w:t>
            </w: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20,779,813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16,043,419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4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060" w:type="dxa"/>
            <w:vAlign w:val="bottom"/>
          </w:tcPr>
          <w:p>
            <w:pPr>
              <w:jc w:val="center"/>
              <w:ind w:right="25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Arial" w:cs="Arial" w:eastAsia="Arial" w:hAnsi="Arial"/>
                <w:sz w:val="18"/>
                <w:szCs w:val="18"/>
                <w:color w:val="auto"/>
                <w:w w:val="89"/>
              </w:rPr>
              <w:t>Year Ended December 31, 2013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ind w:left="34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1,788,560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ind w:left="700"/>
              <w:spacing w:after="0"/>
              <w:rPr>
                <w:sz w:val="20"/>
                <w:szCs w:val="20"/>
                <w:color w:val="auto"/>
              </w:rPr>
            </w:pPr>
            <w:r>
              <w:rPr>
                <w:rFonts w:ascii="Arial" w:cs="Arial" w:eastAsia="Arial" w:hAnsi="Arial"/>
                <w:sz w:val="18"/>
                <w:szCs w:val="18"/>
                <w:color w:val="auto"/>
              </w:rPr>
              <w:t>Employer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997,106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2,792,235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2,566,981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5,396,559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20" w:type="dxa"/>
            <w:vAlign w:val="bottom"/>
            <w:gridSpan w:val="3"/>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1,140,704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0" w:type="dxa"/>
            <w:vAlign w:val="bottom"/>
            <w:gridSpan w:val="2"/>
          </w:tcPr>
          <w:p>
            <w:pPr>
              <w:ind w:left="106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1,140,704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BEFORE TRANSFERS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4,255,855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TRANSFERS TO THE PLAN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4,736,394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16,043,419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ind w:left="340"/>
              <w:spacing w:after="0"/>
              <w:rPr>
                <w:sz w:val="20"/>
                <w:szCs w:val="20"/>
                <w:color w:val="auto"/>
              </w:rPr>
            </w:pP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20,779,813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6"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and its affiliates (as defined in the Plan). The Plan is subject to the provisions of the Employee Retirement Income Security Act of 1974, as amended (“ERISA”).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ING Institutional Plan Services, LLC serves as recordkeeper.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other than the Waste Management Pension Plan for Collectively Bargained Employees or such other plans as may from time to time be determined by the Administrative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In addition, participants that are age 50 or older are eligible to make pre-tax catch-up contributions not to exceed certain limits described in the Plan document. Participants may also contribute amounts representing distributions from other qualified plans (“Rollover Contributions”). The Plan provides for Employer Contributions on behalf of eligible participants under the terms of certain applicable collective bargaining agreements.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Plan, through its investments in the Master Trust, offers participants diversified investment options. During 2013, the Plan offered the following: (a) 13 common collective trust funds (including 11 target retirement-date funds); (b) five mutual funds; (c) a Company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participant invests in the Company common stock fund, the participant can elect to receive in cash any dividends paid on the common stock in the participant’s account. If a participant does not make such an election, dividends will automatically be reinvested in the Company common stock fund. Each participant who has invested in the Company common stock fund has the right to vote the shares of stock in his or her account with respect to any matter that comes before the shareholders for a vote.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Company common stock may be taken in whole shares of common stock or cash.</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2013 and 2012.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2013, Waste Management elected to pay certain audit and legal fees of the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6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2013 and 2012, the Plan’s beneficial interest in the net assets of the Master Trust was 1.05% and 0.95%, respectively.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24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Plan</w:t>
            </w:r>
          </w:p>
        </w:tc>
        <w:tc>
          <w:tcPr>
            <w:tcW w:w="80" w:type="dxa"/>
            <w:vAlign w:val="bottom"/>
          </w:tcPr>
          <w:p>
            <w:pPr>
              <w:spacing w:after="0"/>
              <w:rPr>
                <w:sz w:val="10"/>
                <w:szCs w:val="10"/>
                <w:color w:val="auto"/>
              </w:rPr>
            </w:pPr>
          </w:p>
        </w:tc>
        <w:tc>
          <w:tcPr>
            <w:tcW w:w="15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Master Trust</w:t>
            </w: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Plan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Master Trust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Interest %</w:t>
            </w:r>
          </w:p>
        </w:tc>
        <w:tc>
          <w:tcPr>
            <w:tcW w:w="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collective trust funds</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7"/>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711,493,257</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587,915,255</w:t>
            </w:r>
          </w:p>
        </w:tc>
        <w:tc>
          <w:tcPr>
            <w:tcW w:w="0" w:type="dxa"/>
            <w:vAlign w:val="bottom"/>
          </w:tcPr>
          <w:p>
            <w:pPr>
              <w:spacing w:after="0"/>
              <w:rPr>
                <w:sz w:val="1"/>
                <w:szCs w:val="1"/>
                <w:color w:val="auto"/>
              </w:rPr>
            </w:pPr>
          </w:p>
        </w:tc>
      </w:tr>
      <w:tr>
        <w:trPr>
          <w:trHeight w:val="216"/>
        </w:trPr>
        <w:tc>
          <w:tcPr>
            <w:tcW w:w="5040" w:type="dxa"/>
            <w:vAlign w:val="bottom"/>
          </w:tcPr>
          <w:p>
            <w:pPr>
              <w:ind w:left="720"/>
              <w:spacing w:after="0"/>
              <w:rPr>
                <w:sz w:val="20"/>
                <w:szCs w:val="20"/>
                <w:color w:val="auto"/>
              </w:rPr>
            </w:pPr>
            <w:r>
              <w:rPr>
                <w:rFonts w:ascii="Arial" w:cs="Arial" w:eastAsia="Arial" w:hAnsi="Arial"/>
                <w:sz w:val="18"/>
                <w:szCs w:val="18"/>
                <w:color w:val="auto"/>
              </w:rPr>
              <w:t>Stable value fund</w:t>
            </w:r>
          </w:p>
        </w:tc>
        <w:tc>
          <w:tcPr>
            <w:tcW w:w="1540" w:type="dxa"/>
            <w:vAlign w:val="bottom"/>
            <w:gridSpan w:val="3"/>
          </w:tcPr>
          <w:p>
            <w:pPr>
              <w:jc w:val="center"/>
              <w:ind w:left="17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339,126,374</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2"/>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370,384,053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WM common stock</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7"/>
              </w:rPr>
              <w:t>0.6%</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119,504,017</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98,044,955</w:t>
            </w:r>
          </w:p>
        </w:tc>
        <w:tc>
          <w:tcPr>
            <w:tcW w:w="0" w:type="dxa"/>
            <w:vAlign w:val="bottom"/>
          </w:tcPr>
          <w:p>
            <w:pPr>
              <w:spacing w:after="0"/>
              <w:rPr>
                <w:sz w:val="1"/>
                <w:szCs w:val="1"/>
                <w:color w:val="auto"/>
              </w:rPr>
            </w:pPr>
          </w:p>
        </w:tc>
      </w:tr>
      <w:tr>
        <w:trPr>
          <w:trHeight w:val="216"/>
        </w:trPr>
        <w:tc>
          <w:tcPr>
            <w:tcW w:w="5040" w:type="dxa"/>
            <w:vAlign w:val="bottom"/>
          </w:tcPr>
          <w:p>
            <w:pPr>
              <w:ind w:left="720"/>
              <w:spacing w:after="0"/>
              <w:rPr>
                <w:sz w:val="20"/>
                <w:szCs w:val="20"/>
                <w:color w:val="auto"/>
              </w:rPr>
            </w:pPr>
            <w:r>
              <w:rPr>
                <w:rFonts w:ascii="Arial" w:cs="Arial" w:eastAsia="Arial" w:hAnsi="Arial"/>
                <w:sz w:val="18"/>
                <w:szCs w:val="18"/>
                <w:color w:val="auto"/>
              </w:rPr>
              <w:t>Corporate stocks – other than WM common stock</w:t>
            </w:r>
          </w:p>
        </w:tc>
        <w:tc>
          <w:tcPr>
            <w:tcW w:w="4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22,870,460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19,063,086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Mutual funds</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7"/>
              </w:rPr>
              <w:t>0.7%</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706,220,160</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551,799,069</w:t>
            </w:r>
          </w:p>
        </w:tc>
        <w:tc>
          <w:tcPr>
            <w:tcW w:w="0" w:type="dxa"/>
            <w:vAlign w:val="bottom"/>
          </w:tcPr>
          <w:p>
            <w:pPr>
              <w:spacing w:after="0"/>
              <w:rPr>
                <w:sz w:val="1"/>
                <w:szCs w:val="1"/>
                <w:color w:val="auto"/>
              </w:rPr>
            </w:pPr>
          </w:p>
        </w:tc>
      </w:tr>
      <w:tr>
        <w:trPr>
          <w:trHeight w:val="216"/>
        </w:trPr>
        <w:tc>
          <w:tcPr>
            <w:tcW w:w="5040" w:type="dxa"/>
            <w:vAlign w:val="bottom"/>
          </w:tcPr>
          <w:p>
            <w:pPr>
              <w:ind w:left="720"/>
              <w:spacing w:after="0"/>
              <w:rPr>
                <w:sz w:val="20"/>
                <w:szCs w:val="20"/>
                <w:color w:val="auto"/>
              </w:rPr>
            </w:pPr>
            <w:r>
              <w:rPr>
                <w:rFonts w:ascii="Arial" w:cs="Arial" w:eastAsia="Arial" w:hAnsi="Arial"/>
                <w:sz w:val="18"/>
                <w:szCs w:val="18"/>
                <w:color w:val="auto"/>
              </w:rPr>
              <w:t>Publicly-traded partnership interests and other</w:t>
            </w:r>
          </w:p>
        </w:tc>
        <w:tc>
          <w:tcPr>
            <w:tcW w:w="4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964,187</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1,193,947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investments</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7"/>
              </w:rPr>
              <w:t>1.1%</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1,900,178,455</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1,628,400,365</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226,396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204,333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non-interest bearing</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143,935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Securities sold receivable, net</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1,900,548,786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1,628,799,757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payable, net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652,689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Administrative fees payable</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420,692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381,142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1,073,381</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381,142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1,899,475,405</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1,628,418,615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Adjustment from fair value to contract value for fully benefit-</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(4,570,317)</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(15,844,799)</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w w:val="93"/>
              </w:rPr>
              <w:t>Net assets, fully benefit-responsive investment contracts at contract</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value</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1,894,905,088</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1,612,573,816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4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Non-Union 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$1,879,605,637</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$1,612,941,957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19,869,768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1,899,475,405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1,628,418,615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Adjustment from fair value to contract value for fully benefit-responsive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contracts: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(4,524,041)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(15,711,713)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(133,086)</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(4,570,317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(15,844,799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assets, fully benefit-responsive investment contracts at contract value: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Non-Union 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$1,875,081,596</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$1,597,230,244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19,823,492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15,343,572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1,894,905,088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1,612,573,816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$119,504,017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$ 98,044,955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334,556,057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354,539,254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EuroPacific Growth R6 (b)</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S&amp;P Small Cap 600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122,231,647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85,023,042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317,231,916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236,975,969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98,025,550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100,390,107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168,530,063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156,592,456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205,986,669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174,388,687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Master Trust’s investment in the Stable Value Fund was $339,126,374 and $370,384,053 at December 31, 2013 and 2012,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amount represents less than 5% of the Master Trust’s net assets at December 31, 2012.</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240" w:top="459" w:right="9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2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640" w:type="dxa"/>
            <w:vAlign w:val="bottom"/>
            <w:gridSpan w:val="4"/>
          </w:tcPr>
          <w:p>
            <w:pPr>
              <w:spacing w:after="0"/>
              <w:rPr>
                <w:sz w:val="20"/>
                <w:szCs w:val="20"/>
                <w:color w:val="auto"/>
              </w:rPr>
            </w:pPr>
            <w:r>
              <w:rPr>
                <w:rFonts w:ascii="Arial" w:cs="Arial" w:eastAsia="Arial" w:hAnsi="Arial"/>
                <w:sz w:val="18"/>
                <w:szCs w:val="18"/>
                <w:color w:val="auto"/>
                <w:w w:val="98"/>
              </w:rPr>
              <w:t>Changes in net assets of the Master Trust for the year ended December 31, 2013, are as follows: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126,071,904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Stable value fund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7,603,530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31,133,814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2,985,993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117,751,570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Publicly-traded partnership interests and other</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appreciation in fair value of investments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285,620,886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12,057,006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301,941,159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Administrative fees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(3,015,128)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deductions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(3,015,128)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color w:val="auto"/>
              </w:rPr>
              <w:t>NET INCREASE BEFORE TRANSFERS</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298,926,031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TRANSFERS IN (a)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153,031,356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TRANSFERS OUT (b)</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(169,626,115)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282,331,272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1,612,573,816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End of year</w:t>
            </w:r>
          </w:p>
        </w:tc>
        <w:tc>
          <w:tcPr>
            <w:tcW w:w="7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1,894,905,088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296,359,050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298,926,031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(a)</w:t>
        <w:tab/>
        <w:t>Includes contributions, rollovers, transfers and net participant loan activity.</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benefit payments to participants.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46"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Plan’s investments that represented 5% or more of the Plan’s net assets available for benefits as of December 31, 2013 and 2012 are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8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Stable Value Fund (at contract value) (a)</w:t>
            </w:r>
          </w:p>
        </w:tc>
        <w:tc>
          <w:tcPr>
            <w:tcW w:w="1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$3,387,483</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$2,977,892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1,816,473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1,194,115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1,046,787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903,109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JPMorgan Chase Bank SmartRetirement 2010 Fund</w:t>
            </w:r>
          </w:p>
        </w:tc>
        <w:tc>
          <w:tcPr>
            <w:tcW w:w="11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1,207,751</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4,301,936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3,539,282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3,030,222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2,247,865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Income Fund (b)</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1,525,932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328,250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the Plan’s investment in the Stable Value Fund was $3,433,759 and $3,110,978 at December 31, 2013 and 2012, respectively.</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amount represents less than 5% of the Plan’s net assets available for benefits at December 31, 2012.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4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 xml:space="preserve">Guaranteed Investment Contracts </w:t>
      </w:r>
      <w:r>
        <w:rPr>
          <w:rFonts w:ascii="Arial" w:cs="Arial" w:eastAsia="Arial" w:hAnsi="Arial"/>
          <w:sz w:val="16"/>
          <w:szCs w:val="16"/>
          <w:color w:val="auto"/>
        </w:rPr>
        <w:t>— GICs are contracts that provide a specified rate of return for a specific period of time. The fair values of the GICs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Plan’s Stable Value Fund are measured by the investment manager using a discounted cash flow methodology at market rates.</w:t>
      </w:r>
    </w:p>
    <w:p>
      <w:pPr>
        <w:spacing w:after="0" w:line="12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31" w:lineRule="exact"/>
        <w:rPr>
          <w:sz w:val="20"/>
          <w:szCs w:val="20"/>
          <w:color w:val="auto"/>
        </w:rPr>
      </w:pPr>
    </w:p>
    <w:p>
      <w:pPr>
        <w:ind w:left="460" w:hanging="452"/>
        <w:spacing w:after="0" w:line="276" w:lineRule="auto"/>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460" w:right="200" w:hanging="452"/>
        <w:spacing w:after="0" w:line="286" w:lineRule="auto"/>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the income approach discounting methodology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incorporates 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stable value fund’s average yield based on actual earnings was 1.62% and 1.15% during 2013 and 2012, respectively, and its average yield based on the interest rate credited to participants was 2.06% and 2.74% during 2013 and 2012,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The Plan had no Level 3 assets at December 31, 2013 or 2012.</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by level, within the fair value hierarchy, a summary of investments of the Master Trust measured at fair value on a recurring basis: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0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WM common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119,504,017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98,044,955</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22,870,460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19,063,086</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Mutual Funds –</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EuroPacific growth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Emerging markets fund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41,692,377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48,555,638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Small cap investment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122,231,647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85,023,042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Stock market index fund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317,231,916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236,975,969</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Bond market index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98,025,550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100,390,107</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Self-directed mutual funds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18,378,134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17,238,032</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706,220,160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551,799,069</w:t>
            </w:r>
          </w:p>
        </w:tc>
        <w:tc>
          <w:tcPr>
            <w:tcW w:w="100" w:type="dxa"/>
            <w:vAlign w:val="bottom"/>
            <w:shd w:val="clear" w:color="auto" w:fill="CCEEFF"/>
          </w:tcPr>
          <w:p>
            <w:pPr>
              <w:spacing w:after="0"/>
              <w:rPr>
                <w:sz w:val="18"/>
                <w:szCs w:val="18"/>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Publicly–traded partnership interests and other</w:t>
            </w:r>
          </w:p>
        </w:tc>
        <w:tc>
          <w:tcPr>
            <w:tcW w:w="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964,187</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 Level 1</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849,558,824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670,101,057</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 –</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Short-term investment fund (a)</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1,822,199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1,629,354</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income investment fund (b)</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68,734,970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47,781,369</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Growth investment fund (c)</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82,605,485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55,473,718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Target date retirement funds (d)</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558,330,603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483,030,814</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711,493,257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587,915,255</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Stable value fund (e)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339,126,374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370,384,053</w:t>
            </w:r>
          </w:p>
        </w:tc>
        <w:tc>
          <w:tcPr>
            <w:tcW w:w="100" w:type="dxa"/>
            <w:vAlign w:val="bottom"/>
            <w:shd w:val="clear" w:color="auto" w:fill="CCEEFF"/>
          </w:tcPr>
          <w:p>
            <w:pPr>
              <w:spacing w:after="0"/>
              <w:rPr>
                <w:sz w:val="18"/>
                <w:szCs w:val="18"/>
                <w:color w:val="auto"/>
              </w:rPr>
            </w:pPr>
          </w:p>
        </w:tc>
      </w:tr>
      <w:tr>
        <w:trPr>
          <w:trHeight w:val="230"/>
        </w:trPr>
        <w:tc>
          <w:tcPr>
            <w:tcW w:w="5000" w:type="dxa"/>
            <w:vAlign w:val="bottom"/>
          </w:tcPr>
          <w:p>
            <w:pPr>
              <w:ind w:left="1080"/>
              <w:spacing w:after="0"/>
              <w:rPr>
                <w:sz w:val="20"/>
                <w:szCs w:val="20"/>
                <w:color w:val="auto"/>
              </w:rPr>
            </w:pPr>
            <w:r>
              <w:rPr>
                <w:rFonts w:ascii="Arial" w:cs="Arial" w:eastAsia="Arial" w:hAnsi="Arial"/>
                <w:sz w:val="18"/>
                <w:szCs w:val="18"/>
                <w:color w:val="auto"/>
              </w:rPr>
              <w:t>Subtotal Level 2</w:t>
            </w:r>
          </w:p>
        </w:tc>
        <w:tc>
          <w:tcPr>
            <w:tcW w:w="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1,050,619,631</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958,299,308</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Investments of the Master Trust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1,900,178,455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1,628,400,365</w:t>
            </w: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0" w:hanging="452"/>
        <w:spacing w:after="0" w:line="28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2013 and December 31, 2012, the trustee had waived the notice period.</w:t>
      </w:r>
    </w:p>
    <w:p>
      <w:pPr>
        <w:ind w:left="460" w:right="3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2013 and December 31, 2012, the trustee had waived the notice period for participants.</w:t>
      </w:r>
    </w:p>
    <w:p>
      <w:pPr>
        <w:spacing w:after="0" w:line="2"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2013 and December 31, 2012, the trustee had waived the notice period for participants.</w:t>
      </w: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2013 and December 31, 2012, there were no redemption restrictions on these funds for participants but each fund requires the Plan to provide sixty days advance notice to liquidate its entire share.</w:t>
      </w:r>
    </w:p>
    <w:p>
      <w:pPr>
        <w:spacing w:after="0" w:line="4"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2013,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2013 and 2012:</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13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$20,779,813</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$16,043,419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340"/>
              <w:spacing w:after="0" w:line="201" w:lineRule="exact"/>
              <w:rPr>
                <w:sz w:val="20"/>
                <w:szCs w:val="20"/>
                <w:color w:val="auto"/>
              </w:rPr>
            </w:pPr>
            <w:r>
              <w:rPr>
                <w:rFonts w:ascii="Arial" w:cs="Arial" w:eastAsia="Arial" w:hAnsi="Arial"/>
                <w:sz w:val="18"/>
                <w:szCs w:val="18"/>
                <w:color w:val="auto"/>
                <w:w w:val="99"/>
              </w:rPr>
              <w:t>Adjustment from fair value to contract value for fully benefit-responsive</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rPr>
              <w:t>investment contracts</w:t>
            </w:r>
          </w:p>
        </w:tc>
        <w:tc>
          <w:tcPr>
            <w:tcW w:w="3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46,276</w:t>
            </w:r>
          </w:p>
        </w:tc>
        <w:tc>
          <w:tcPr>
            <w:tcW w:w="4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20,826,089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16,176,505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$ 4,736,394</w:t>
            </w:r>
          </w:p>
        </w:tc>
        <w:tc>
          <w:tcPr>
            <w:tcW w:w="120" w:type="dxa"/>
            <w:vAlign w:val="bottom"/>
            <w:shd w:val="clear" w:color="auto" w:fill="CCEEFF"/>
          </w:tcPr>
          <w:p>
            <w:pPr>
              <w:spacing w:after="0"/>
              <w:rPr>
                <w:sz w:val="18"/>
                <w:szCs w:val="18"/>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rPr>
              <w:t>at December 31, 2012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(133,086)</w:t>
            </w: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at December 31, 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46,276</w:t>
            </w:r>
          </w:p>
        </w:tc>
        <w:tc>
          <w:tcPr>
            <w:tcW w:w="120" w:type="dxa"/>
            <w:vAlign w:val="bottom"/>
            <w:shd w:val="clear" w:color="auto" w:fill="CCEEFF"/>
          </w:tcPr>
          <w:p>
            <w:pPr>
              <w:spacing w:after="0"/>
              <w:rPr>
                <w:sz w:val="20"/>
                <w:szCs w:val="20"/>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$ 4,649,584</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Plan sponsor, has the right to terminate the Plan subject to the provisions of ERISA.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investments of the Plan are managed by State Street, which is the trustee of the Plan.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the Company’s common stock. Because the Company is the parent of the Plan sponsor, transactions involving the Company’s common stock also qualify as party-in-interest transactions. All of these transactions are exempt from the prohibited transactions rules.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Bargaining Unit Employees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EIN: 36-2660763 Plan: 007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Identity of Issue</w:t>
            </w: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960" w:type="dxa"/>
            <w:vAlign w:val="bottom"/>
            <w:tcBorders>
              <w:bottom w:val="single" w:sz="8" w:color="auto"/>
            </w:tcBorders>
          </w:tcPr>
          <w:p>
            <w:pPr>
              <w:jc w:val="right"/>
              <w:ind w:right="3108"/>
              <w:spacing w:after="0"/>
              <w:rPr>
                <w:sz w:val="20"/>
                <w:szCs w:val="20"/>
                <w:color w:val="auto"/>
              </w:rPr>
            </w:pPr>
            <w:r>
              <w:rPr>
                <w:rFonts w:ascii="Arial" w:cs="Arial" w:eastAsia="Arial" w:hAnsi="Arial"/>
                <w:sz w:val="14"/>
                <w:szCs w:val="14"/>
                <w:b w:val="1"/>
                <w:bCs w:val="1"/>
                <w:color w:val="auto"/>
              </w:rPr>
              <w:t>Description of Investment</w:t>
            </w:r>
          </w:p>
        </w:tc>
        <w:tc>
          <w:tcPr>
            <w:tcW w:w="3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Current Value</w:t>
            </w:r>
          </w:p>
        </w:tc>
      </w:tr>
      <w:tr>
        <w:trPr>
          <w:trHeight w:val="290"/>
        </w:trPr>
        <w:tc>
          <w:tcPr>
            <w:tcW w:w="1920" w:type="dxa"/>
            <w:vAlign w:val="bottom"/>
            <w:gridSpan w:val="4"/>
          </w:tcPr>
          <w:p>
            <w:pPr>
              <w:spacing w:after="0"/>
              <w:rPr>
                <w:sz w:val="20"/>
                <w:szCs w:val="20"/>
                <w:color w:val="auto"/>
              </w:rPr>
            </w:pPr>
            <w:r>
              <w:rPr>
                <w:rFonts w:ascii="Arial" w:cs="Arial" w:eastAsia="Arial" w:hAnsi="Arial"/>
                <w:sz w:val="18"/>
                <w:szCs w:val="18"/>
                <w:color w:val="auto"/>
              </w:rPr>
              <w:t>*Notes receivable from</w:t>
            </w:r>
          </w:p>
        </w:tc>
        <w:tc>
          <w:tcPr>
            <w:tcW w:w="8520" w:type="dxa"/>
            <w:vAlign w:val="bottom"/>
            <w:gridSpan w:val="3"/>
          </w:tcPr>
          <w:p>
            <w:pPr>
              <w:ind w:left="220"/>
              <w:spacing w:after="0"/>
              <w:rPr>
                <w:sz w:val="20"/>
                <w:szCs w:val="20"/>
                <w:color w:val="auto"/>
              </w:rPr>
            </w:pPr>
            <w:r>
              <w:rPr>
                <w:rFonts w:ascii="Arial" w:cs="Arial" w:eastAsia="Arial" w:hAnsi="Arial"/>
                <w:sz w:val="18"/>
                <w:szCs w:val="18"/>
                <w:color w:val="auto"/>
              </w:rPr>
              <w:t>Various maturity dates with interest rates ranging from 3.25% to 4.25%</w:t>
            </w:r>
          </w:p>
        </w:tc>
        <w:tc>
          <w:tcPr>
            <w:tcW w:w="880" w:type="dxa"/>
            <w:vAlign w:val="bottom"/>
          </w:tcPr>
          <w:p>
            <w:pPr>
              <w:jc w:val="right"/>
              <w:spacing w:after="0"/>
              <w:rPr>
                <w:sz w:val="20"/>
                <w:szCs w:val="20"/>
                <w:color w:val="auto"/>
              </w:rPr>
            </w:pPr>
            <w:r>
              <w:rPr>
                <w:rFonts w:ascii="Arial" w:cs="Arial" w:eastAsia="Arial" w:hAnsi="Arial"/>
                <w:sz w:val="18"/>
                <w:szCs w:val="18"/>
                <w:color w:val="auto"/>
              </w:rPr>
              <w:t>$910,124</w:t>
            </w:r>
          </w:p>
        </w:tc>
      </w:tr>
      <w:tr>
        <w:trPr>
          <w:trHeight w:val="230"/>
        </w:trPr>
        <w:tc>
          <w:tcPr>
            <w:tcW w:w="10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participants</w:t>
            </w:r>
          </w:p>
        </w:tc>
        <w:tc>
          <w:tcPr>
            <w:tcW w:w="2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5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rPr>
              <w:t>Party-in-interest</w:t>
            </w:r>
          </w:p>
        </w:tc>
        <w:tc>
          <w:tcPr>
            <w:tcW w:w="2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65"/>
        </w:trPr>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80" w:type="dxa"/>
            <w:vAlign w:val="bottom"/>
            <w:gridSpan w:val="2"/>
          </w:tcPr>
          <w:p>
            <w:pPr>
              <w:jc w:val="right"/>
              <w:ind w:right="4228"/>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WASTE MANAGEMENT RETIREMENT</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SAVINGS PLAN FOR BARGAINING</w:t>
            </w: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UNIT EMPLOYEES</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28, 2014</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Gordon Blasius</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Gordon Blasius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Compensation &amp; Benefits</w:t>
            </w:r>
          </w:p>
        </w:tc>
      </w:tr>
      <w:tr>
        <w:trPr>
          <w:trHeight w:val="418"/>
        </w:trPr>
        <w:tc>
          <w:tcPr>
            <w:tcW w:w="3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Management Employee Benefit Plans</w:t>
            </w:r>
          </w:p>
        </w:tc>
      </w:tr>
      <w:tr>
        <w:trPr>
          <w:trHeight w:val="365"/>
        </w:trPr>
        <w:tc>
          <w:tcPr>
            <w:tcW w:w="35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17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tcPr>
          <w:p>
            <w:pPr>
              <w:jc w:val="center"/>
              <w:ind w:left="2930"/>
              <w:spacing w:after="0"/>
              <w:rPr>
                <w:sz w:val="20"/>
                <w:szCs w:val="20"/>
                <w:color w:val="auto"/>
              </w:rPr>
            </w:pPr>
            <w:r>
              <w:rPr>
                <w:rFonts w:ascii="Arial" w:cs="Arial" w:eastAsia="Arial" w:hAnsi="Arial"/>
                <w:sz w:val="18"/>
                <w:szCs w:val="18"/>
                <w:b w:val="1"/>
                <w:bCs w:val="1"/>
                <w:color w:val="auto"/>
              </w:rPr>
              <w:t>INDEX TO EXHIBITS</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520" w:type="dxa"/>
            <w:vAlign w:val="bottom"/>
          </w:tcPr>
          <w:p>
            <w:pPr>
              <w:spacing w:after="0"/>
              <w:rPr>
                <w:sz w:val="24"/>
                <w:szCs w:val="24"/>
                <w:color w:val="auto"/>
              </w:rPr>
            </w:pPr>
          </w:p>
        </w:tc>
        <w:tc>
          <w:tcPr>
            <w:tcW w:w="6100" w:type="dxa"/>
            <w:vAlign w:val="bottom"/>
            <w:gridSpan w:val="3"/>
          </w:tcPr>
          <w:p>
            <w:pPr>
              <w:jc w:val="right"/>
              <w:ind w:right="73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219"/>
          </w:cols>
          <w:pgMar w:left="240" w:top="459"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333-184156) pertaining to the Waste Management Retirement Savings Plan for Bargaining Unit Employees of our report dated May 28, 2014, with respect to the financial statements and supplemental schedule of the Waste Management Retirement Savings Plan for Bargaining Unit Employees included in this Annual Report (Form 11-K) for the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333-184156) pertaining to the Waste Management Retirement Savings Plan for Bargaining Unit Employees of our report dated May 31, 2013, with respect to the statement of net assets available for benefits as of December 31, 2012 of the Waste Management Retirement Savings Plan for Bargaining Unit Employees included in this Annual Report (Form 11-K) for the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2019-12-06T01:12:27Z</dcterms:created>
  <dcterms:modified xsi:type="dcterms:W3CDTF">2019-12-06T01:12:27Z</dcterms:modified>
</cp:coreProperties>
</file>