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March 1, 2021</w:t>
      </w:r>
    </w:p>
    <w:p>
      <w:pPr>
        <w:spacing w:after="0" w:line="237" w:lineRule="exact"/>
        <w:rPr>
          <w:sz w:val="24"/>
          <w:szCs w:val="24"/>
          <w:color w:val="auto"/>
        </w:rPr>
      </w:pPr>
    </w:p>
    <w:p>
      <w:pPr>
        <w:ind w:left="938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472" w:right="339" w:bottom="1440" w:gutter="0" w:footer="0" w:header="0"/>
        </w:sectPr>
      </w:pPr>
    </w:p>
    <w:p>
      <w:pPr>
        <w:spacing w:after="0" w:line="20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78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280"/>
        <w:spacing w:after="0"/>
        <w:rPr>
          <w:sz w:val="20"/>
          <w:szCs w:val="20"/>
          <w:color w:val="auto"/>
        </w:rPr>
      </w:pPr>
      <w:r>
        <w:rPr>
          <w:rFonts w:ascii="Arial" w:cs="Arial" w:eastAsia="Arial" w:hAnsi="Arial"/>
          <w:sz w:val="16"/>
          <w:szCs w:val="16"/>
          <w:color w:val="auto"/>
        </w:rPr>
        <w:t>(I.R.S. Employer Identification Number)</w:t>
      </w:r>
    </w:p>
    <w:p>
      <w:pPr>
        <w:spacing w:after="0" w:line="247" w:lineRule="exact"/>
        <w:rPr>
          <w:sz w:val="24"/>
          <w:szCs w:val="24"/>
          <w:color w:val="auto"/>
        </w:rPr>
      </w:pPr>
    </w:p>
    <w:p>
      <w:pPr>
        <w:sectPr>
          <w:pgSz w:w="11900" w:h="16838" w:orient="portrait"/>
          <w:cols w:equalWidth="0" w:num="2">
            <w:col w:w="6300" w:space="720"/>
            <w:col w:w="4220"/>
          </w:cols>
          <w:pgMar w:left="320" w:top="472"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800 Capitol Street, Suite 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WASTE MANAGEMENT RETIREMENT SAVINGS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titles of the Plans)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Charles C. Boettcher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Capitol Street, Suite 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44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44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44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740" w:type="dxa"/>
            <w:vAlign w:val="bottom"/>
            <w:tcBorders>
              <w:top w:val="single" w:sz="8" w:color="auto"/>
              <w:right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spacing w:after="0"/>
              <w:rPr>
                <w:sz w:val="18"/>
                <w:szCs w:val="18"/>
                <w:color w:val="auto"/>
              </w:rPr>
            </w:pPr>
          </w:p>
        </w:tc>
        <w:tc>
          <w:tcPr>
            <w:tcW w:w="176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Proposed maximum</w:t>
            </w:r>
          </w:p>
        </w:tc>
        <w:tc>
          <w:tcPr>
            <w:tcW w:w="1660" w:type="dxa"/>
            <w:vAlign w:val="bottom"/>
            <w:tcBorders>
              <w:top w:val="single" w:sz="8" w:color="auto"/>
              <w:right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89"/>
              </w:rPr>
              <w:t>Proposed maximum</w:t>
            </w: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16"/>
        </w:trPr>
        <w:tc>
          <w:tcPr>
            <w:tcW w:w="47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Title of securities</w:t>
            </w:r>
          </w:p>
        </w:tc>
        <w:tc>
          <w:tcPr>
            <w:tcW w:w="154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Amount to be</w:t>
            </w:r>
          </w:p>
        </w:tc>
        <w:tc>
          <w:tcPr>
            <w:tcW w:w="200" w:type="dxa"/>
            <w:vAlign w:val="bottom"/>
          </w:tcPr>
          <w:p>
            <w:pPr>
              <w:spacing w:after="0"/>
              <w:rPr>
                <w:sz w:val="18"/>
                <w:szCs w:val="18"/>
                <w:color w:val="auto"/>
              </w:rPr>
            </w:pPr>
          </w:p>
        </w:tc>
        <w:tc>
          <w:tcPr>
            <w:tcW w:w="156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offering price per</w:t>
            </w:r>
          </w:p>
        </w:tc>
        <w:tc>
          <w:tcPr>
            <w:tcW w:w="1660" w:type="dxa"/>
            <w:vAlign w:val="bottom"/>
            <w:tcBorders>
              <w:right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89"/>
              </w:rPr>
              <w:t>aggregate offering</w:t>
            </w:r>
          </w:p>
        </w:tc>
        <w:tc>
          <w:tcPr>
            <w:tcW w:w="280" w:type="dxa"/>
            <w:vAlign w:val="bottom"/>
          </w:tcPr>
          <w:p>
            <w:pPr>
              <w:spacing w:after="0"/>
              <w:rPr>
                <w:sz w:val="18"/>
                <w:szCs w:val="18"/>
                <w:color w:val="auto"/>
              </w:rPr>
            </w:pPr>
          </w:p>
        </w:tc>
        <w:tc>
          <w:tcPr>
            <w:tcW w:w="126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Amount of</w:t>
            </w:r>
          </w:p>
        </w:tc>
      </w:tr>
      <w:tr>
        <w:trPr>
          <w:trHeight w:val="241"/>
        </w:trPr>
        <w:tc>
          <w:tcPr>
            <w:tcW w:w="474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to be registered</w:t>
            </w:r>
          </w:p>
        </w:tc>
        <w:tc>
          <w:tcPr>
            <w:tcW w:w="15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Registered (1)</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share (2)</w:t>
            </w: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4"/>
              </w:rPr>
              <w:t>price (2)</w:t>
            </w: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registration fee (2)</w:t>
            </w:r>
          </w:p>
        </w:tc>
      </w:tr>
      <w:tr>
        <w:trPr>
          <w:trHeight w:val="216"/>
        </w:trPr>
        <w:tc>
          <w:tcPr>
            <w:tcW w:w="474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w w:val="89"/>
              </w:rPr>
              <w:t>Common Stock, par value $0.01 per share</w:t>
            </w:r>
          </w:p>
        </w:tc>
        <w:tc>
          <w:tcPr>
            <w:tcW w:w="15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3,500,000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110.81</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387,835,000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42,312.80</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6" w:lineRule="exact"/>
        <w:rPr>
          <w:sz w:val="24"/>
          <w:szCs w:val="24"/>
          <w:color w:val="auto"/>
        </w:rPr>
      </w:pPr>
    </w:p>
    <w:p>
      <w:pPr>
        <w:ind w:left="580" w:right="280" w:hanging="572"/>
        <w:spacing w:after="0" w:line="277"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416(c) under the Securities Act of 1933, as amended (the “Securities Act”), the Registration Statement covers an indeterminate amount of interests to be offered or sold pursuant to the Waste Management Retirement Savings Plan.</w:t>
      </w:r>
    </w:p>
    <w:p>
      <w:pPr>
        <w:spacing w:after="0" w:line="170" w:lineRule="exact"/>
        <w:rPr>
          <w:rFonts w:ascii="Arial" w:cs="Arial" w:eastAsia="Arial" w:hAnsi="Arial"/>
          <w:sz w:val="18"/>
          <w:szCs w:val="18"/>
          <w:color w:val="auto"/>
        </w:rPr>
      </w:pPr>
    </w:p>
    <w:p>
      <w:pPr>
        <w:ind w:left="580" w:right="60" w:hanging="572"/>
        <w:spacing w:after="0" w:line="257"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maximum offering price per share is estimated solely for the purpose of calculating the registration fee pursuant to Rule 457(c) and Rule 457(h) under the Securities Act based on the average of the high and low sales prices of the Common Stock as reported on the New York Stock Exchange on February 23, 2021. Of this registration fee, $41,696.95 was previously paid in connection with an accidential duplicate filing on July 30, 2020 of Waste Management, Inc.'s Registration Statement on Form S-8 (Registration No. 333-240212). Such amount is being offset pursuant to Rule 457(p)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STATEMENT</w:t>
      </w:r>
    </w:p>
    <w:p>
      <w:pPr>
        <w:spacing w:after="0" w:line="229" w:lineRule="exact"/>
        <w:rPr>
          <w:sz w:val="20"/>
          <w:szCs w:val="20"/>
          <w:color w:val="auto"/>
        </w:rPr>
      </w:pPr>
    </w:p>
    <w:p>
      <w:pPr>
        <w:ind w:right="100" w:firstLine="648"/>
        <w:spacing w:after="0" w:line="273" w:lineRule="auto"/>
        <w:rPr>
          <w:rFonts w:ascii="Arial" w:cs="Arial" w:eastAsia="Arial" w:hAnsi="Arial"/>
          <w:sz w:val="17"/>
          <w:szCs w:val="17"/>
          <w:color w:val="0000EE"/>
        </w:rPr>
      </w:pPr>
      <w:r>
        <w:rPr>
          <w:rFonts w:ascii="Arial" w:cs="Arial" w:eastAsia="Arial" w:hAnsi="Arial"/>
          <w:sz w:val="17"/>
          <w:szCs w:val="17"/>
          <w:color w:val="auto"/>
        </w:rPr>
        <w:t xml:space="preserve">In accordance with General Instruction E of Form S-8 under the Securities Act, the Registrant has filed this registration statement on Form S-8 to register the issuance of an additional 3,500,000 shares of Common Stock pursuant to the Waste Management Retirement Savings Plan (the “Plan”). The </w:t>
      </w:r>
      <w:hyperlink r:id="rId13">
        <w:r>
          <w:rPr>
            <w:rFonts w:ascii="Arial" w:cs="Arial" w:eastAsia="Arial" w:hAnsi="Arial"/>
            <w:sz w:val="17"/>
            <w:szCs w:val="17"/>
            <w:color w:val="auto"/>
          </w:rPr>
          <w:t xml:space="preserve">contents of the Registration Statement on </w:t>
        </w:r>
        <w:r>
          <w:rPr>
            <w:rFonts w:ascii="Arial" w:cs="Arial" w:eastAsia="Arial" w:hAnsi="Arial"/>
            <w:sz w:val="17"/>
            <w:szCs w:val="17"/>
            <w:u w:val="single" w:color="auto"/>
            <w:color w:val="0000EE"/>
          </w:rPr>
          <w:t>Form S-8 (Registration No. 333-153363) filed by the Registrant with the Securities and Exchange Commission</w:t>
        </w:r>
      </w:hyperlink>
      <w:r>
        <w:rPr>
          <w:rFonts w:ascii="Arial" w:cs="Arial" w:eastAsia="Arial" w:hAnsi="Arial"/>
          <w:sz w:val="17"/>
          <w:szCs w:val="17"/>
          <w:color w:val="auto"/>
        </w:rPr>
        <w:t xml:space="preserve"> </w:t>
      </w:r>
      <w:hyperlink r:id="rId14">
        <w:r>
          <w:rPr>
            <w:rFonts w:ascii="Arial" w:cs="Arial" w:eastAsia="Arial" w:hAnsi="Arial"/>
            <w:sz w:val="17"/>
            <w:szCs w:val="17"/>
            <w:u w:val="single" w:color="auto"/>
            <w:color w:val="0000EE"/>
          </w:rPr>
          <w:t>(the “Commission”) on September 8, 2008</w:t>
        </w:r>
        <w:r>
          <w:rPr>
            <w:rFonts w:ascii="Arial" w:cs="Arial" w:eastAsia="Arial" w:hAnsi="Arial"/>
            <w:sz w:val="17"/>
            <w:szCs w:val="17"/>
            <w:color w:val="0000EE"/>
          </w:rPr>
          <w:t xml:space="preserve"> </w:t>
        </w:r>
        <w:r>
          <w:rPr>
            <w:rFonts w:ascii="Arial" w:cs="Arial" w:eastAsia="Arial" w:hAnsi="Arial"/>
            <w:sz w:val="17"/>
            <w:szCs w:val="17"/>
            <w:color w:val="000000"/>
          </w:rPr>
          <w:t>and the Registration Statement on</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Form S-8 (Registration No. 333-184156) filed by the Registrant with the</w:t>
        </w:r>
      </w:hyperlink>
      <w:r>
        <w:rPr>
          <w:rFonts w:ascii="Arial" w:cs="Arial" w:eastAsia="Arial" w:hAnsi="Arial"/>
          <w:sz w:val="17"/>
          <w:szCs w:val="17"/>
          <w:color w:val="0000EE"/>
        </w:rPr>
        <w:t xml:space="preserve"> </w:t>
      </w:r>
      <w:hyperlink r:id="rId14">
        <w:r>
          <w:rPr>
            <w:rFonts w:ascii="Arial" w:cs="Arial" w:eastAsia="Arial" w:hAnsi="Arial"/>
            <w:sz w:val="17"/>
            <w:szCs w:val="17"/>
            <w:u w:val="single" w:color="auto"/>
            <w:color w:val="0000EE"/>
          </w:rPr>
          <w:t>Commission on September 28, 2012</w:t>
        </w:r>
        <w:r>
          <w:rPr>
            <w:rFonts w:ascii="Arial" w:cs="Arial" w:eastAsia="Arial" w:hAnsi="Arial"/>
            <w:sz w:val="17"/>
            <w:szCs w:val="17"/>
            <w:color w:val="0000EE"/>
          </w:rPr>
          <w:t xml:space="preserve"> </w:t>
        </w:r>
        <w:r>
          <w:rPr>
            <w:rFonts w:ascii="Arial" w:cs="Arial" w:eastAsia="Arial" w:hAnsi="Arial"/>
            <w:sz w:val="17"/>
            <w:szCs w:val="17"/>
            <w:color w:val="000000"/>
          </w:rPr>
          <w:t>(as amended by</w:t>
        </w:r>
        <w:r>
          <w:rPr>
            <w:rFonts w:ascii="Arial" w:cs="Arial" w:eastAsia="Arial" w:hAnsi="Arial"/>
            <w:sz w:val="17"/>
            <w:szCs w:val="17"/>
            <w:color w:val="0000EE"/>
          </w:rPr>
          <w:t xml:space="preserve"> </w:t>
        </w:r>
      </w:hyperlink>
      <w:hyperlink r:id="rId15">
        <w:r>
          <w:rPr>
            <w:rFonts w:ascii="Arial" w:cs="Arial" w:eastAsia="Arial" w:hAnsi="Arial"/>
            <w:sz w:val="17"/>
            <w:szCs w:val="17"/>
            <w:u w:val="single" w:color="auto"/>
            <w:color w:val="0000EE"/>
          </w:rPr>
          <w:t>post-effective amendment on June 2, 2016</w:t>
        </w:r>
      </w:hyperlink>
      <w:hyperlink r:id="rId14">
        <w:r>
          <w:rPr>
            <w:rFonts w:ascii="Arial" w:cs="Arial" w:eastAsia="Arial" w:hAnsi="Arial"/>
            <w:sz w:val="17"/>
            <w:szCs w:val="17"/>
            <w:color w:val="000000"/>
          </w:rPr>
          <w:t xml:space="preserve">) are incorporated herein by reference except to the </w:t>
        </w:r>
      </w:hyperlink>
      <w:r>
        <w:rPr>
          <w:rFonts w:ascii="Arial" w:cs="Arial" w:eastAsia="Arial" w:hAnsi="Arial"/>
          <w:sz w:val="17"/>
          <w:szCs w:val="17"/>
          <w:color w:val="0000EE"/>
        </w:rPr>
        <w:t xml:space="preserve">extent </w:t>
      </w:r>
      <w:r>
        <w:rPr>
          <w:rFonts w:ascii="Arial" w:cs="Arial" w:eastAsia="Arial" w:hAnsi="Arial"/>
          <w:sz w:val="17"/>
          <w:szCs w:val="17"/>
          <w:color w:val="000000"/>
        </w:rPr>
        <w:t>otherwise updated or modified by this Registration Statement.</w:t>
      </w:r>
    </w:p>
    <w:p>
      <w:pPr>
        <w:spacing w:after="0" w:line="174" w:lineRule="exact"/>
        <w:rPr>
          <w:rFonts w:ascii="Arial" w:cs="Arial" w:eastAsia="Arial" w:hAnsi="Arial"/>
          <w:sz w:val="17"/>
          <w:szCs w:val="17"/>
          <w:color w:val="0000EE"/>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rFonts w:ascii="Arial" w:cs="Arial" w:eastAsia="Arial" w:hAnsi="Arial"/>
          <w:sz w:val="17"/>
          <w:szCs w:val="17"/>
          <w:color w:val="0000EE"/>
        </w:rPr>
      </w:pPr>
    </w:p>
    <w:p>
      <w:pPr>
        <w:ind w:left="28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rFonts w:ascii="Arial" w:cs="Arial" w:eastAsia="Arial" w:hAnsi="Arial"/>
          <w:sz w:val="17"/>
          <w:szCs w:val="17"/>
          <w:color w:val="0000EE"/>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rFonts w:ascii="Arial" w:cs="Arial" w:eastAsia="Arial" w:hAnsi="Arial"/>
          <w:sz w:val="17"/>
          <w:szCs w:val="17"/>
          <w:color w:val="0000EE"/>
        </w:rPr>
      </w:pPr>
    </w:p>
    <w:p>
      <w:pPr>
        <w:ind w:left="660"/>
        <w:spacing w:after="0"/>
        <w:rPr>
          <w:sz w:val="20"/>
          <w:szCs w:val="20"/>
          <w:color w:val="auto"/>
        </w:rPr>
      </w:pPr>
      <w:r>
        <w:rPr>
          <w:rFonts w:ascii="Arial" w:cs="Arial" w:eastAsia="Arial" w:hAnsi="Arial"/>
          <w:sz w:val="17"/>
          <w:szCs w:val="17"/>
          <w:color w:val="auto"/>
        </w:rPr>
        <w:t>The following documents filed with the Commission by the Registrant are hereby incorporated by reference into this Registration Statement:</w:t>
      </w:r>
    </w:p>
    <w:p>
      <w:pPr>
        <w:spacing w:after="0" w:line="237" w:lineRule="exact"/>
        <w:rPr>
          <w:rFonts w:ascii="Arial" w:cs="Arial" w:eastAsia="Arial" w:hAnsi="Arial"/>
          <w:sz w:val="17"/>
          <w:szCs w:val="17"/>
          <w:color w:val="0000EE"/>
        </w:rPr>
      </w:pPr>
    </w:p>
    <w:p>
      <w:pPr>
        <w:ind w:left="660" w:hanging="436"/>
        <w:spacing w:after="0"/>
        <w:tabs>
          <w:tab w:leader="none" w:pos="660" w:val="left"/>
        </w:tabs>
        <w:numPr>
          <w:ilvl w:val="0"/>
          <w:numId w:val="2"/>
        </w:numPr>
        <w:rPr>
          <w:rFonts w:ascii="Arial" w:cs="Arial" w:eastAsia="Arial" w:hAnsi="Arial"/>
          <w:sz w:val="18"/>
          <w:szCs w:val="18"/>
          <w:u w:val="single" w:color="auto"/>
          <w:color w:val="0000EE"/>
        </w:rPr>
      </w:pPr>
      <w:hyperlink r:id="rId16">
        <w:r>
          <w:rPr>
            <w:rFonts w:ascii="Arial" w:cs="Arial" w:eastAsia="Arial" w:hAnsi="Arial"/>
            <w:sz w:val="18"/>
            <w:szCs w:val="18"/>
            <w:u w:val="single" w:color="auto"/>
            <w:color w:val="0000EE"/>
          </w:rPr>
          <w:t>Annual Report on Form 10-K for the fiscal year ended December 31, 2020 filed on February 22, 2021.</w:t>
        </w:r>
      </w:hyperlink>
    </w:p>
    <w:p>
      <w:pPr>
        <w:spacing w:after="0" w:line="225" w:lineRule="exact"/>
        <w:rPr>
          <w:rFonts w:ascii="Arial" w:cs="Arial" w:eastAsia="Arial" w:hAnsi="Arial"/>
          <w:sz w:val="18"/>
          <w:szCs w:val="18"/>
          <w:u w:val="single" w:color="auto"/>
          <w:color w:val="0000EE"/>
        </w:rPr>
      </w:pPr>
    </w:p>
    <w:p>
      <w:pPr>
        <w:ind w:left="660" w:hanging="436"/>
        <w:spacing w:after="0"/>
        <w:tabs>
          <w:tab w:leader="none" w:pos="660" w:val="left"/>
        </w:tabs>
        <w:numPr>
          <w:ilvl w:val="0"/>
          <w:numId w:val="2"/>
        </w:numPr>
        <w:rPr>
          <w:rFonts w:ascii="Arial" w:cs="Arial" w:eastAsia="Arial" w:hAnsi="Arial"/>
          <w:sz w:val="18"/>
          <w:szCs w:val="18"/>
          <w:color w:val="0000EE"/>
        </w:rPr>
      </w:pPr>
      <w:hyperlink r:id="rId17">
        <w:r>
          <w:rPr>
            <w:rFonts w:ascii="Arial" w:cs="Arial" w:eastAsia="Arial" w:hAnsi="Arial"/>
            <w:sz w:val="18"/>
            <w:szCs w:val="18"/>
            <w:u w:val="single" w:color="auto"/>
            <w:color w:val="0000EE"/>
          </w:rPr>
          <w:t>Current Report on Form 8-K filed on March 1, 2021</w:t>
        </w:r>
        <w:r>
          <w:rPr>
            <w:rFonts w:ascii="Arial" w:cs="Arial" w:eastAsia="Arial" w:hAnsi="Arial"/>
            <w:sz w:val="18"/>
            <w:szCs w:val="18"/>
            <w:color w:val="0000EE"/>
          </w:rPr>
          <w:t>.</w:t>
        </w:r>
      </w:hyperlink>
    </w:p>
    <w:p>
      <w:pPr>
        <w:spacing w:after="0" w:line="225"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0000EE"/>
        </w:rPr>
      </w:pPr>
      <w:hyperlink r:id="rId18">
        <w:r>
          <w:rPr>
            <w:rFonts w:ascii="Arial" w:cs="Arial" w:eastAsia="Arial" w:hAnsi="Arial"/>
            <w:sz w:val="18"/>
            <w:szCs w:val="18"/>
            <w:u w:val="single" w:color="auto"/>
            <w:color w:val="0000EE"/>
          </w:rPr>
          <w:t>The description of the Registrant’s Common Stock on Form 8-B filed on July 13, 1995</w:t>
        </w:r>
        <w:r>
          <w:rPr>
            <w:rFonts w:ascii="Arial" w:cs="Arial" w:eastAsia="Arial" w:hAnsi="Arial"/>
            <w:sz w:val="18"/>
            <w:szCs w:val="18"/>
            <w:color w:val="0000EE"/>
          </w:rPr>
          <w:t>.</w:t>
        </w:r>
      </w:hyperlink>
    </w:p>
    <w:p>
      <w:pPr>
        <w:spacing w:after="0" w:line="225" w:lineRule="exact"/>
        <w:rPr>
          <w:rFonts w:ascii="Arial" w:cs="Arial" w:eastAsia="Arial" w:hAnsi="Arial"/>
          <w:sz w:val="18"/>
          <w:szCs w:val="18"/>
          <w:color w:val="0000EE"/>
        </w:rPr>
      </w:pPr>
    </w:p>
    <w:p>
      <w:pPr>
        <w:ind w:left="660" w:hanging="436"/>
        <w:spacing w:after="0"/>
        <w:tabs>
          <w:tab w:leader="none" w:pos="660" w:val="left"/>
        </w:tabs>
        <w:numPr>
          <w:ilvl w:val="0"/>
          <w:numId w:val="3"/>
        </w:numPr>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The Plan’s Annual Report on Form 11-K for the fiscal year ended December 31, 2019 filed on June 18, 2020.</w:t>
        </w:r>
      </w:hyperlink>
    </w:p>
    <w:p>
      <w:pPr>
        <w:spacing w:after="0" w:line="225" w:lineRule="exact"/>
        <w:rPr>
          <w:rFonts w:ascii="Arial" w:cs="Arial" w:eastAsia="Arial" w:hAnsi="Arial"/>
          <w:sz w:val="18"/>
          <w:szCs w:val="18"/>
          <w:color w:val="auto"/>
        </w:rPr>
      </w:pPr>
    </w:p>
    <w:p>
      <w:pPr>
        <w:ind w:right="60" w:firstLine="648"/>
        <w:spacing w:after="0" w:line="257" w:lineRule="auto"/>
        <w:rPr>
          <w:sz w:val="20"/>
          <w:szCs w:val="20"/>
          <w:color w:val="auto"/>
        </w:rPr>
      </w:pPr>
      <w:r>
        <w:rPr>
          <w:rFonts w:ascii="Arial" w:cs="Arial" w:eastAsia="Arial" w:hAnsi="Arial"/>
          <w:sz w:val="18"/>
          <w:szCs w:val="18"/>
          <w:color w:val="auto"/>
        </w:rPr>
        <w:t>All documents subsequently filed by the Registrant and the Plan pursuant to Sections 13(a), 13(c), 14 and 15(d) of the Securities Exchange Act of 1934, prior to the filing of a post-effective amendment which indicates that all of the securities offered hereby have been sold or which deregisters all securities then remaining unsold, shall be deemed to be incorporated by reference in this Registration Statement and to be a part hereof from the date of filing of such documents. The Registrant is not, however, incorporating, in each case, any documents or information that the Registrant is deemed to furnish and not file in accordance with Commission rules.</w:t>
      </w:r>
    </w:p>
    <w:p>
      <w:pPr>
        <w:spacing w:after="0" w:line="18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rFonts w:ascii="Arial" w:cs="Arial" w:eastAsia="Arial" w:hAnsi="Arial"/>
          <w:sz w:val="18"/>
          <w:szCs w:val="18"/>
          <w:color w:val="auto"/>
        </w:rPr>
      </w:pPr>
    </w:p>
    <w:p>
      <w:pPr>
        <w:ind w:firstLine="648"/>
        <w:spacing w:after="0" w:line="271" w:lineRule="auto"/>
        <w:rPr>
          <w:sz w:val="20"/>
          <w:szCs w:val="20"/>
          <w:color w:val="auto"/>
        </w:rPr>
      </w:pPr>
      <w:r>
        <w:rPr>
          <w:rFonts w:ascii="Arial" w:cs="Arial" w:eastAsia="Arial" w:hAnsi="Arial"/>
          <w:sz w:val="17"/>
          <w:szCs w:val="17"/>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in connection with specified actions, suits or proceedings, whether civil, criminal, administrative or investigative (other than an action by or in the right of the corporation—a “derivative action”), if they acted in good faith and in a manner they reasonably believed to be in or not opposed to the best interests of the corporation and, with respect to any criminal actions or proceedings, had no reasonable cause to believe their conduct was unlawful. A similar standard is applicable in the case of derivative actions, except that indemnification only extends to expenses (including attorneys’ fees) actually and reasonably incurred in connection with the defense or settlement of such action, and the DGCL requires court approval before there can be any indemnification where the person seeking indemnification has been found liable to the corporation.</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ind w:right="80" w:firstLine="648"/>
        <w:spacing w:after="0" w:line="286" w:lineRule="auto"/>
        <w:rPr>
          <w:sz w:val="20"/>
          <w:szCs w:val="20"/>
          <w:color w:val="auto"/>
        </w:rPr>
      </w:pPr>
      <w:r>
        <w:rPr>
          <w:rFonts w:ascii="Arial" w:cs="Arial" w:eastAsia="Arial" w:hAnsi="Arial"/>
          <w:sz w:val="16"/>
          <w:szCs w:val="16"/>
          <w:color w:val="auto"/>
        </w:rPr>
        <w:t>The Registrant’s Certificate of Incorporation and By-laws require that it provide indemnification to the maximum extent permitted from time to time under DCGL,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the Registrant or any of its direct or indirect subsidiaries or while such a director or officer is or was serving at the request of the Registrant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Registrant is not required to indemnify or advance expenses to any person in connection with any action, suit, proceeding, claim or counterclaim initiated by or on behalf of such person. Such indemnification is not be exclusive of other indemnification rights arising under any By-laws, agreement, vote of directors or stockholders or otherwise and shall inure to the benefit of the heirs and legal representatives of such person. Additionally, the Registrant has direct contractual obligations to provide indemnification to each of the members of its Board of Directors and each of its executive officers. These agreements provide directors and executive officers with the same indemnification by the Registrant as described above and assure directors and executive officers that indemnification will continue to be provided despite future changes in the By-laws of the Registrant.</w:t>
      </w:r>
    </w:p>
    <w:p>
      <w:pPr>
        <w:spacing w:after="0" w:line="17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payments of unlawful dividends or unlawful stock repurchases, redemptions or other distributions, or (iv) for any transaction from which the director derived an improper personal benefit. The Registrant’s Certificate of Incorporation provides that no director will be liable to the Registrant or its stockholders for any breach of fiduciary duty, except as limited under DGCL.</w:t>
      </w:r>
    </w:p>
    <w:p>
      <w:pPr>
        <w:spacing w:after="0" w:line="17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Registrant’s directors and officers are covered by insurance policies indemnifying against certain liabilities, including certain liabilities arising under the Securities Act that might be incurred by them in such capacities and against which the Registrant may not indemnify them.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25" w:lineRule="exact"/>
        <w:rPr>
          <w:sz w:val="20"/>
          <w:szCs w:val="20"/>
          <w:color w:val="auto"/>
        </w:rPr>
      </w:pPr>
    </w:p>
    <w:p>
      <w:pPr>
        <w:ind w:left="580" w:right="120" w:hanging="903"/>
        <w:spacing w:after="0" w:line="277" w:lineRule="auto"/>
        <w:tabs>
          <w:tab w:leader="none" w:pos="560" w:val="left"/>
        </w:tabs>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r:id="rId21">
        <w:r>
          <w:rPr>
            <w:rFonts w:ascii="Arial" w:cs="Arial" w:eastAsia="Arial" w:hAnsi="Arial"/>
            <w:sz w:val="18"/>
            <w:szCs w:val="18"/>
            <w:u w:val="single" w:color="auto"/>
            <w:color w:val="0000EE"/>
          </w:rPr>
          <w:t>— Third Restated Certificate of Incorporation of Waste Management, Inc. (incorporated by reference to Exhibit 3.1 to the Registrant’s Quarterly</w:t>
        </w:r>
      </w:hyperlink>
      <w:r>
        <w:rPr>
          <w:rFonts w:ascii="Arial" w:cs="Arial" w:eastAsia="Arial" w:hAnsi="Arial"/>
          <w:sz w:val="18"/>
          <w:szCs w:val="18"/>
          <w:u w:val="single" w:color="auto"/>
          <w:color w:val="0000EE"/>
        </w:rPr>
        <w:t xml:space="preserve"> </w:t>
      </w:r>
      <w:hyperlink r:id="rId21">
        <w:r>
          <w:rPr>
            <w:rFonts w:ascii="Arial" w:cs="Arial" w:eastAsia="Arial" w:hAnsi="Arial"/>
            <w:sz w:val="18"/>
            <w:szCs w:val="18"/>
            <w:u w:val="single" w:color="auto"/>
            <w:color w:val="0000EE"/>
          </w:rPr>
          <w:t>Report on Form 10-Q for the quarter ended June 30, 2010).</w:t>
        </w:r>
      </w:hyperlink>
    </w:p>
    <w:p>
      <w:pPr>
        <w:spacing w:after="0" w:line="170" w:lineRule="exact"/>
        <w:rPr>
          <w:rFonts w:ascii="Arial" w:cs="Arial" w:eastAsia="Arial" w:hAnsi="Arial"/>
          <w:sz w:val="18"/>
          <w:szCs w:val="18"/>
          <w:u w:val="single" w:color="auto"/>
          <w:color w:val="0000EE"/>
        </w:rPr>
      </w:pPr>
    </w:p>
    <w:p>
      <w:pPr>
        <w:ind w:left="580" w:right="280" w:hanging="903"/>
        <w:spacing w:after="0" w:line="277" w:lineRule="auto"/>
        <w:tabs>
          <w:tab w:leader="none" w:pos="560" w:val="left"/>
        </w:tabs>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4.2</w:t>
        </w:r>
      </w:hyperlink>
      <w:r>
        <w:rPr>
          <w:rFonts w:ascii="Arial" w:cs="Arial" w:eastAsia="Arial" w:hAnsi="Arial"/>
          <w:sz w:val="18"/>
          <w:szCs w:val="18"/>
          <w:u w:val="single" w:color="auto"/>
          <w:color w:val="0000EE"/>
        </w:rPr>
        <w:tab/>
      </w:r>
      <w:hyperlink r:id="rId22">
        <w:r>
          <w:rPr>
            <w:rFonts w:ascii="Arial" w:cs="Arial" w:eastAsia="Arial" w:hAnsi="Arial"/>
            <w:sz w:val="18"/>
            <w:szCs w:val="18"/>
            <w:u w:val="single" w:color="auto"/>
            <w:color w:val="0000EE"/>
          </w:rPr>
          <w:t>— Amended and Restated By-laws of Waste Management, Inc. (incorporated by reference to Exhibit 3.2 to the Registrant’s Current Report on</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Form 8-K filed November 18, 2020).</w:t>
        </w:r>
      </w:hyperlink>
    </w:p>
    <w:p>
      <w:pPr>
        <w:spacing w:after="0" w:line="170" w:lineRule="exact"/>
        <w:rPr>
          <w:rFonts w:ascii="Arial" w:cs="Arial" w:eastAsia="Arial" w:hAnsi="Arial"/>
          <w:sz w:val="18"/>
          <w:szCs w:val="18"/>
          <w:u w:val="single" w:color="auto"/>
          <w:color w:val="0000EE"/>
        </w:rPr>
      </w:pPr>
    </w:p>
    <w:p>
      <w:pPr>
        <w:spacing w:after="0"/>
        <w:tabs>
          <w:tab w:leader="none" w:pos="560" w:val="left"/>
          <w:tab w:leader="none" w:pos="90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23.1</w:t>
        </w:r>
      </w:hyperlink>
      <w:r>
        <w:rPr>
          <w:rFonts w:ascii="Arial" w:cs="Arial" w:eastAsia="Arial" w:hAnsi="Arial"/>
          <w:sz w:val="18"/>
          <w:szCs w:val="18"/>
          <w:color w:val="0000EE"/>
        </w:rPr>
        <w:tab/>
      </w:r>
      <w:r>
        <w:rPr>
          <w:rFonts w:ascii="Arial" w:cs="Arial" w:eastAsia="Arial" w:hAnsi="Arial"/>
          <w:sz w:val="18"/>
          <w:szCs w:val="18"/>
          <w:u w:val="single" w:color="auto"/>
          <w:color w:val="0000EE"/>
        </w:rPr>
        <w:t>—</w:t>
      </w:r>
      <w:r>
        <w:rPr>
          <w:rFonts w:ascii="Arial" w:cs="Arial" w:eastAsia="Arial" w:hAnsi="Arial"/>
          <w:sz w:val="18"/>
          <w:szCs w:val="18"/>
          <w:color w:val="0000EE"/>
        </w:rPr>
        <w:tab/>
      </w:r>
      <w:hyperlink w:anchor="page7">
        <w:r>
          <w:rPr>
            <w:rFonts w:ascii="Arial" w:cs="Arial" w:eastAsia="Arial" w:hAnsi="Arial"/>
            <w:sz w:val="16"/>
            <w:szCs w:val="16"/>
            <w:u w:val="single" w:color="auto"/>
            <w:color w:val="0000EE"/>
          </w:rPr>
          <w:t>Consent of Ernst &amp; Young LLP</w:t>
        </w:r>
        <w:r>
          <w:rPr>
            <w:rFonts w:ascii="Arial" w:cs="Arial" w:eastAsia="Arial" w:hAnsi="Arial"/>
            <w:sz w:val="16"/>
            <w:szCs w:val="16"/>
            <w:color w:val="0000EE"/>
          </w:rPr>
          <w:t>.</w:t>
        </w:r>
      </w:hyperlink>
    </w:p>
    <w:p>
      <w:pPr>
        <w:spacing w:after="0" w:line="225" w:lineRule="exact"/>
        <w:rPr>
          <w:sz w:val="20"/>
          <w:szCs w:val="20"/>
          <w:color w:val="auto"/>
        </w:rPr>
      </w:pPr>
    </w:p>
    <w:p>
      <w:pPr>
        <w:spacing w:after="0"/>
        <w:tabs>
          <w:tab w:leader="none" w:pos="560" w:val="left"/>
          <w:tab w:leader="none" w:pos="900" w:val="left"/>
        </w:tabs>
        <w:rPr>
          <w:rFonts w:ascii="Arial" w:cs="Arial" w:eastAsia="Arial" w:hAnsi="Arial"/>
          <w:sz w:val="16"/>
          <w:szCs w:val="16"/>
          <w:u w:val="single" w:color="auto"/>
          <w:color w:val="0000EE"/>
        </w:rPr>
      </w:pPr>
      <w:hyperlink w:anchor="page8">
        <w:r>
          <w:rPr>
            <w:rFonts w:ascii="Arial" w:cs="Arial" w:eastAsia="Arial" w:hAnsi="Arial"/>
            <w:sz w:val="18"/>
            <w:szCs w:val="18"/>
            <w:u w:val="single" w:color="auto"/>
            <w:color w:val="0000EE"/>
          </w:rPr>
          <w:t>23.2</w:t>
        </w:r>
      </w:hyperlink>
      <w:r>
        <w:rPr>
          <w:rFonts w:ascii="Arial" w:cs="Arial" w:eastAsia="Arial" w:hAnsi="Arial"/>
          <w:sz w:val="18"/>
          <w:szCs w:val="18"/>
          <w:u w:val="single" w:color="auto"/>
          <w:color w:val="0000EE"/>
        </w:rPr>
        <w:tab/>
        <w:t>—</w:t>
        <w:tab/>
      </w:r>
      <w:hyperlink w:anchor="page8">
        <w:r>
          <w:rPr>
            <w:rFonts w:ascii="Arial" w:cs="Arial" w:eastAsia="Arial" w:hAnsi="Arial"/>
            <w:sz w:val="16"/>
            <w:szCs w:val="16"/>
            <w:u w:val="single" w:color="auto"/>
            <w:color w:val="0000EE"/>
          </w:rPr>
          <w:t>Consent of Weaver &amp; Tidwell, L.L.P.</w:t>
        </w:r>
      </w:hyperlink>
    </w:p>
    <w:p>
      <w:pPr>
        <w:spacing w:after="0" w:line="225" w:lineRule="exact"/>
        <w:rPr>
          <w:sz w:val="20"/>
          <w:szCs w:val="20"/>
          <w:color w:val="auto"/>
        </w:rPr>
      </w:pPr>
    </w:p>
    <w:p>
      <w:pPr>
        <w:spacing w:after="0"/>
        <w:tabs>
          <w:tab w:leader="none" w:pos="560" w:val="left"/>
          <w:tab w:leader="none" w:pos="90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24.1</w:t>
        </w:r>
      </w:hyperlink>
      <w:r>
        <w:rPr>
          <w:rFonts w:ascii="Arial" w:cs="Arial" w:eastAsia="Arial" w:hAnsi="Arial"/>
          <w:sz w:val="18"/>
          <w:szCs w:val="18"/>
          <w:u w:val="single" w:color="auto"/>
          <w:color w:val="0000EE"/>
        </w:rPr>
        <w:tab/>
        <w:t>—</w:t>
        <w:tab/>
      </w:r>
      <w:hyperlink w:anchor="page5">
        <w:r>
          <w:rPr>
            <w:rFonts w:ascii="Arial" w:cs="Arial" w:eastAsia="Arial" w:hAnsi="Arial"/>
            <w:sz w:val="16"/>
            <w:szCs w:val="16"/>
            <w:u w:val="single" w:color="auto"/>
            <w:color w:val="0000EE"/>
          </w:rPr>
          <w:t>Powers of Attorney (included on the signature page of this Registration Statement).</w:t>
        </w:r>
      </w:hyperlink>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Registrant hereby undertakes that it will submit or has submitted the Plan and any amendment thereto to the Internal Revenue Service (the “IRS”) in a timely manner and has made or will make all changes required by the IRS in order to qualify the Plan.</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securities being registered hereby for the Plan are not original issuance securities. Pursuant to Form S-8, Part II, Item 8(a), an opinion of counsel as to the legality of the shares purchased under the Plan is not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The Registrant. </w:t>
      </w:r>
      <w:r>
        <w:rPr>
          <w:rFonts w:ascii="Arial" w:cs="Arial" w:eastAsia="Arial" w:hAnsi="Arial"/>
          <w:sz w:val="18"/>
          <w:szCs w:val="18"/>
          <w:color w:val="auto"/>
        </w:rPr>
        <w:t>Pursuant to the requirements of the Securities Act of 1933, the Registrant certifies that it has reasonable grounds to believe that it</w:t>
      </w:r>
      <w:r>
        <w:rPr>
          <w:rFonts w:ascii="Arial" w:cs="Arial" w:eastAsia="Arial" w:hAnsi="Arial"/>
          <w:sz w:val="18"/>
          <w:szCs w:val="18"/>
          <w:b w:val="1"/>
          <w:bCs w:val="1"/>
          <w:color w:val="auto"/>
        </w:rPr>
        <w:t xml:space="preserve"> </w:t>
      </w:r>
      <w:r>
        <w:rPr>
          <w:rFonts w:ascii="Arial" w:cs="Arial" w:eastAsia="Arial" w:hAnsi="Arial"/>
          <w:sz w:val="18"/>
          <w:szCs w:val="18"/>
          <w:color w:val="auto"/>
        </w:rPr>
        <w:t>meets all requirements for filing on Form S-8 and has duly caused this registration statement to be signed on its behalf by the undersigned, thereunto duly authorized, in the City of Houston, State of Texas on the 1st day of March 2021.</w:t>
      </w:r>
    </w:p>
    <w:p>
      <w:pPr>
        <w:spacing w:after="0" w:line="17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WASTE MANAGEMENT,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James C. Fish, Jr.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Each person whose signature appears below constitutes and appoints James C. Fish Jr., Devina A. Rankin and Charles C. Boettcher, and each of them severally, his or her true and lawful attorney-in-fact, with the power of substitution, for him or her in any and all capacities, to sign any amendments (including post-effective amendments) to this registration statement, and to file the same, with exhibits thereto and other documents in connection therewith, with the Securities and Exchange Commission, hereby ratifying and confirming all that said attorneys-in-fact, or their substitute or substitutes, may do or cause to be done by virtue hereof.</w:t>
      </w:r>
    </w:p>
    <w:p>
      <w:pPr>
        <w:spacing w:after="0" w:line="18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240" w:type="dxa"/>
            <w:vAlign w:val="bottom"/>
          </w:tcPr>
          <w:p>
            <w:pPr>
              <w:spacing w:after="0"/>
              <w:rPr>
                <w:sz w:val="20"/>
                <w:szCs w:val="20"/>
                <w:color w:val="auto"/>
              </w:rPr>
            </w:pP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2"/>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/s/ James C. Fish Jr.</w:t>
            </w:r>
          </w:p>
        </w:tc>
        <w:tc>
          <w:tcPr>
            <w:tcW w:w="240" w:type="dxa"/>
            <w:vAlign w:val="bottom"/>
          </w:tcPr>
          <w:p>
            <w:pPr>
              <w:spacing w:after="0"/>
              <w:rPr>
                <w:sz w:val="24"/>
                <w:szCs w:val="24"/>
                <w:color w:val="auto"/>
              </w:rPr>
            </w:pPr>
          </w:p>
        </w:tc>
        <w:tc>
          <w:tcPr>
            <w:tcW w:w="4380" w:type="dxa"/>
            <w:vAlign w:val="bottom"/>
            <w:gridSpan w:val="2"/>
          </w:tcPr>
          <w:p>
            <w:pPr>
              <w:ind w:left="320"/>
              <w:spacing w:after="0"/>
              <w:rPr>
                <w:sz w:val="20"/>
                <w:szCs w:val="20"/>
                <w:color w:val="auto"/>
              </w:rPr>
            </w:pPr>
            <w:r>
              <w:rPr>
                <w:rFonts w:ascii="Arial" w:cs="Arial" w:eastAsia="Arial" w:hAnsi="Arial"/>
                <w:sz w:val="18"/>
                <w:szCs w:val="18"/>
                <w:color w:val="auto"/>
              </w:rPr>
              <w:t>President, Chief Executive Officer and 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March 1, 2021</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86"/>
              </w:rPr>
              <w:t>James C. Fish, Jr.</w:t>
            </w:r>
          </w:p>
        </w:tc>
        <w:tc>
          <w:tcPr>
            <w:tcW w:w="240" w:type="dxa"/>
            <w:vAlign w:val="bottom"/>
          </w:tcPr>
          <w:p>
            <w:pPr>
              <w:spacing w:after="0"/>
              <w:rPr>
                <w:sz w:val="19"/>
                <w:szCs w:val="19"/>
                <w:color w:val="auto"/>
              </w:rPr>
            </w:pPr>
          </w:p>
        </w:tc>
        <w:tc>
          <w:tcPr>
            <w:tcW w:w="43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(Principal Executive Officer)</w:t>
            </w:r>
          </w:p>
        </w:tc>
        <w:tc>
          <w:tcPr>
            <w:tcW w:w="280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Devina A. Rankin</w:t>
            </w:r>
          </w:p>
        </w:tc>
        <w:tc>
          <w:tcPr>
            <w:tcW w:w="240" w:type="dxa"/>
            <w:vAlign w:val="bottom"/>
          </w:tcPr>
          <w:p>
            <w:pPr>
              <w:spacing w:after="0"/>
              <w:rPr>
                <w:sz w:val="24"/>
                <w:szCs w:val="24"/>
                <w:color w:val="auto"/>
              </w:rPr>
            </w:pPr>
          </w:p>
        </w:tc>
        <w:tc>
          <w:tcPr>
            <w:tcW w:w="43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Executive Vice President and Chief Financial Officer</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March 1, 2021</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4"/>
              </w:rPr>
              <w:t>Devina A. Rankin</w:t>
            </w:r>
          </w:p>
        </w:tc>
        <w:tc>
          <w:tcPr>
            <w:tcW w:w="240" w:type="dxa"/>
            <w:vAlign w:val="bottom"/>
          </w:tcPr>
          <w:p>
            <w:pPr>
              <w:spacing w:after="0"/>
              <w:rPr>
                <w:sz w:val="19"/>
                <w:szCs w:val="19"/>
                <w:color w:val="auto"/>
              </w:rPr>
            </w:pPr>
          </w:p>
        </w:tc>
        <w:tc>
          <w:tcPr>
            <w:tcW w:w="4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Financial Officer)</w:t>
            </w:r>
          </w:p>
        </w:tc>
        <w:tc>
          <w:tcPr>
            <w:tcW w:w="280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Leslie K. Nagy</w:t>
            </w:r>
          </w:p>
        </w:tc>
        <w:tc>
          <w:tcPr>
            <w:tcW w:w="240" w:type="dxa"/>
            <w:vAlign w:val="bottom"/>
          </w:tcPr>
          <w:p>
            <w:pPr>
              <w:spacing w:after="0"/>
              <w:rPr>
                <w:sz w:val="24"/>
                <w:szCs w:val="24"/>
                <w:color w:val="auto"/>
              </w:rPr>
            </w:pPr>
          </w:p>
        </w:tc>
        <w:tc>
          <w:tcPr>
            <w:tcW w:w="43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Vice President and Chief Accounting Officer</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March 1, 2021</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3"/>
              </w:rPr>
              <w:t>Leslie K. Nagy</w:t>
            </w:r>
          </w:p>
        </w:tc>
        <w:tc>
          <w:tcPr>
            <w:tcW w:w="240" w:type="dxa"/>
            <w:vAlign w:val="bottom"/>
          </w:tcPr>
          <w:p>
            <w:pPr>
              <w:spacing w:after="0"/>
              <w:rPr>
                <w:sz w:val="19"/>
                <w:szCs w:val="19"/>
                <w:color w:val="auto"/>
              </w:rPr>
            </w:pPr>
          </w:p>
        </w:tc>
        <w:tc>
          <w:tcPr>
            <w:tcW w:w="43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(Principal Accounting Officer)</w:t>
            </w:r>
          </w:p>
        </w:tc>
        <w:tc>
          <w:tcPr>
            <w:tcW w:w="280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Frank M. Clark, Jr.</w:t>
            </w:r>
          </w:p>
        </w:tc>
        <w:tc>
          <w:tcPr>
            <w:tcW w:w="240" w:type="dxa"/>
            <w:vAlign w:val="bottom"/>
          </w:tcPr>
          <w:p>
            <w:pPr>
              <w:spacing w:after="0"/>
              <w:rPr>
                <w:sz w:val="24"/>
                <w:szCs w:val="24"/>
                <w:color w:val="auto"/>
              </w:rPr>
            </w:pPr>
          </w:p>
        </w:tc>
        <w:tc>
          <w:tcPr>
            <w:tcW w:w="43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March 1, 2021</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1"/>
              </w:rPr>
              <w:t>Frank M. Clark, Jr.</w:t>
            </w:r>
          </w:p>
        </w:tc>
        <w:tc>
          <w:tcPr>
            <w:tcW w:w="2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Andrés R. Gluski</w:t>
            </w:r>
          </w:p>
        </w:tc>
        <w:tc>
          <w:tcPr>
            <w:tcW w:w="240" w:type="dxa"/>
            <w:vAlign w:val="bottom"/>
          </w:tcPr>
          <w:p>
            <w:pPr>
              <w:spacing w:after="0"/>
              <w:rPr>
                <w:sz w:val="24"/>
                <w:szCs w:val="24"/>
                <w:color w:val="auto"/>
              </w:rPr>
            </w:pPr>
          </w:p>
        </w:tc>
        <w:tc>
          <w:tcPr>
            <w:tcW w:w="43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March 1, 2021</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1"/>
              </w:rPr>
              <w:t>Andrés R. Gluski</w:t>
            </w:r>
          </w:p>
        </w:tc>
        <w:tc>
          <w:tcPr>
            <w:tcW w:w="2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5"/>
              </w:rPr>
              <w:t>/s/ Victoria M. Holt</w:t>
            </w:r>
          </w:p>
        </w:tc>
        <w:tc>
          <w:tcPr>
            <w:tcW w:w="240" w:type="dxa"/>
            <w:vAlign w:val="bottom"/>
          </w:tcPr>
          <w:p>
            <w:pPr>
              <w:spacing w:after="0"/>
              <w:rPr>
                <w:sz w:val="24"/>
                <w:szCs w:val="24"/>
                <w:color w:val="auto"/>
              </w:rPr>
            </w:pPr>
          </w:p>
        </w:tc>
        <w:tc>
          <w:tcPr>
            <w:tcW w:w="43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March 1, 2021</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8"/>
              </w:rPr>
              <w:t>Victoria M. Holt</w:t>
            </w:r>
          </w:p>
        </w:tc>
        <w:tc>
          <w:tcPr>
            <w:tcW w:w="2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Kathleen M. Mazzarella</w:t>
            </w:r>
          </w:p>
        </w:tc>
        <w:tc>
          <w:tcPr>
            <w:tcW w:w="240" w:type="dxa"/>
            <w:vAlign w:val="bottom"/>
          </w:tcPr>
          <w:p>
            <w:pPr>
              <w:spacing w:after="0"/>
              <w:rPr>
                <w:sz w:val="24"/>
                <w:szCs w:val="24"/>
                <w:color w:val="auto"/>
              </w:rPr>
            </w:pPr>
          </w:p>
        </w:tc>
        <w:tc>
          <w:tcPr>
            <w:tcW w:w="43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March 1, 2021</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3"/>
              </w:rPr>
              <w:t>Kathleen M. Mazzarella</w:t>
            </w:r>
          </w:p>
        </w:tc>
        <w:tc>
          <w:tcPr>
            <w:tcW w:w="2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William B. Plummer</w:t>
            </w:r>
          </w:p>
        </w:tc>
        <w:tc>
          <w:tcPr>
            <w:tcW w:w="240" w:type="dxa"/>
            <w:vAlign w:val="bottom"/>
          </w:tcPr>
          <w:p>
            <w:pPr>
              <w:spacing w:after="0"/>
              <w:rPr>
                <w:sz w:val="24"/>
                <w:szCs w:val="24"/>
                <w:color w:val="auto"/>
              </w:rPr>
            </w:pPr>
          </w:p>
        </w:tc>
        <w:tc>
          <w:tcPr>
            <w:tcW w:w="43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March 1, 2021</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5"/>
              </w:rPr>
              <w:t>William B. Plummer</w:t>
            </w:r>
          </w:p>
        </w:tc>
        <w:tc>
          <w:tcPr>
            <w:tcW w:w="2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John C. Pope</w:t>
            </w:r>
          </w:p>
        </w:tc>
        <w:tc>
          <w:tcPr>
            <w:tcW w:w="240" w:type="dxa"/>
            <w:vAlign w:val="bottom"/>
          </w:tcPr>
          <w:p>
            <w:pPr>
              <w:spacing w:after="0"/>
              <w:rPr>
                <w:sz w:val="24"/>
                <w:szCs w:val="24"/>
                <w:color w:val="auto"/>
              </w:rPr>
            </w:pPr>
          </w:p>
        </w:tc>
        <w:tc>
          <w:tcPr>
            <w:tcW w:w="43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March 1, 2021</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87"/>
              </w:rPr>
              <w:t>John C. Pope</w:t>
            </w:r>
          </w:p>
        </w:tc>
        <w:tc>
          <w:tcPr>
            <w:tcW w:w="2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/s/ Thomas H. Weidemeyer</w:t>
            </w:r>
          </w:p>
        </w:tc>
        <w:tc>
          <w:tcPr>
            <w:tcW w:w="240" w:type="dxa"/>
            <w:vAlign w:val="bottom"/>
          </w:tcPr>
          <w:p>
            <w:pPr>
              <w:spacing w:after="0"/>
              <w:rPr>
                <w:sz w:val="24"/>
                <w:szCs w:val="24"/>
                <w:color w:val="auto"/>
              </w:rPr>
            </w:pPr>
          </w:p>
        </w:tc>
        <w:tc>
          <w:tcPr>
            <w:tcW w:w="43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Chairman of the Board and 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March 1, 2021</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0"/>
              </w:rPr>
              <w:t>Thomas H. Weidemeyer</w:t>
            </w:r>
          </w:p>
        </w:tc>
        <w:tc>
          <w:tcPr>
            <w:tcW w:w="2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661"/>
        </w:trPr>
        <w:tc>
          <w:tcPr>
            <w:tcW w:w="3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ind w:firstLine="648"/>
        <w:spacing w:after="0" w:line="266" w:lineRule="auto"/>
        <w:rPr>
          <w:sz w:val="20"/>
          <w:szCs w:val="20"/>
          <w:color w:val="auto"/>
        </w:rPr>
      </w:pPr>
      <w:r>
        <w:rPr>
          <w:rFonts w:ascii="Arial" w:cs="Arial" w:eastAsia="Arial" w:hAnsi="Arial"/>
          <w:sz w:val="18"/>
          <w:szCs w:val="18"/>
          <w:b w:val="1"/>
          <w:bCs w:val="1"/>
          <w:color w:val="auto"/>
        </w:rPr>
        <w:t xml:space="preserve">The Plan. </w:t>
      </w:r>
      <w:r>
        <w:rPr>
          <w:rFonts w:ascii="Arial" w:cs="Arial" w:eastAsia="Arial" w:hAnsi="Arial"/>
          <w:sz w:val="18"/>
          <w:szCs w:val="18"/>
          <w:color w:val="auto"/>
        </w:rPr>
        <w:t>Pursuant to the requirements of the Securities Act of 1933, the Administrative Committee of the Waste Management Employee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Plans has duly caused this registration statement to be signed on its behalf by the undersigned, thereunto duly authorized, in the City of Houston, State of Texas on the 1st day of March, 2021.</w:t>
      </w:r>
    </w:p>
    <w:p>
      <w:pPr>
        <w:spacing w:after="0" w:line="17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WASTE MANAGEMENT RETIREMENT SAVINGS PLAN</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Administrative Committee of the Waste Management Employee Benefit</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Plans</w:t>
      </w:r>
    </w:p>
    <w:p>
      <w:pPr>
        <w:spacing w:after="0" w:line="238"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/s/ Gordon Blasius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Gordon Blasius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Vice President – Total Rewards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Waste Management, Inc.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Member—Administrative Committee of the Waste Management Employee</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333333"/>
        </w:rPr>
        <w:t>We consent to the incorporation by reference in the Registration Statement on Form S-8 pertaining to the Waste Management Retirement Savings Plan of our reports dated February 22, 2021, with respect to the consolidated financial statements of Waste Management, Inc. and the effectiveness of internal control over financial reporting of Waste Management, Inc. included in its Annual Report (Form 10-K) for the year ended December 31, 2020, filed with the Securities and Exchange Commission.</w:t>
      </w:r>
    </w:p>
    <w:p>
      <w:pPr>
        <w:spacing w:after="0" w:line="18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Waste Management Retirement Savings Plan of our report dated June 18, 2020, with respect to the financial statements and supplemental schedule of the Waste Management Retirement Savings Plan included in the Annual Report (Form 11-K) for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WEAVER AND TIDWELL,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0"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13" Type="http://schemas.openxmlformats.org/officeDocument/2006/relationships/hyperlink" Target="https://www.sec.gov/Archives/edgar/data/823768/000095012908004768/h60196sv8.htm" TargetMode="External"/><Relationship Id="rId14" Type="http://schemas.openxmlformats.org/officeDocument/2006/relationships/hyperlink" Target="https://www.sec.gov/Archives/edgar/data/823768/000119312512408286/d415901ds8.htm" TargetMode="External"/><Relationship Id="rId15" Type="http://schemas.openxmlformats.org/officeDocument/2006/relationships/hyperlink" Target="https://www.sec.gov/Archives/edgar/data/823768/000119312516610941/d187561ds8pos.htm" TargetMode="External"/><Relationship Id="rId16" Type="http://schemas.openxmlformats.org/officeDocument/2006/relationships/hyperlink" Target="https://www.sec.gov/ix?doc=/Archives/edgar/data/823768/000155837021001348/wm-20201231x10k.htm" TargetMode="External"/><Relationship Id="rId17" Type="http://schemas.openxmlformats.org/officeDocument/2006/relationships/hyperlink" Target="http://www.sec.gov/ix?doc=/Archives/edgar/data/823768/000110465921029723/tm216945d2_8k.htm" TargetMode="External"/><Relationship Id="rId18" Type="http://schemas.openxmlformats.org/officeDocument/2006/relationships/hyperlink" Target="http://www.sec.gov/Archives/edgar/data/823768/0000950134-95-001585-index.html" TargetMode="External"/><Relationship Id="rId19" Type="http://schemas.openxmlformats.org/officeDocument/2006/relationships/hyperlink" Target="https://www.sec.gov/Archives/edgar/data/823768/000155837020007594/wm-20191231x11k.htm" TargetMode="External"/><Relationship Id="rId21" Type="http://schemas.openxmlformats.org/officeDocument/2006/relationships/hyperlink" Target="https://www.sec.gov/Archives/edgar/data/823768/000095012310070947/h74168exv3w1.htm" TargetMode="External"/><Relationship Id="rId22" Type="http://schemas.openxmlformats.org/officeDocument/2006/relationships/hyperlink" Target="https://www.sec.gov/Archives/edgar/data/823768/000110465920126928/tm2036284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2021-03-01T11:33:10Z</dcterms:created>
  <dcterms:modified xsi:type="dcterms:W3CDTF">2021-03-01T11:33:10Z</dcterms:modified>
</cp:coreProperties>
</file>