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5700" w:right="1779" w:hanging="5687"/>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September 7, 1995 Registration No. 33-43619</w:t>
      </w:r>
    </w:p>
    <w:p>
      <w:pPr>
        <w:spacing w:after="0" w:line="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160"/>
        <w:spacing w:after="0"/>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5000 QUORUM DRIVE, SUITE 300</w:t>
      </w:r>
    </w:p>
    <w:p>
      <w:pPr>
        <w:spacing w:after="0" w:line="16" w:lineRule="exact"/>
        <w:rPr>
          <w:sz w:val="24"/>
          <w:szCs w:val="24"/>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DALLAS, TEXAS</w:t>
        <w:tab/>
        <w:t>75240</w:t>
      </w:r>
    </w:p>
    <w:p>
      <w:pPr>
        <w:sectPr>
          <w:pgSz w:w="11900" w:h="16838" w:orient="portrait"/>
          <w:cols w:equalWidth="0" w:num="1">
            <w:col w:w="10219"/>
          </w:cols>
          <w:pgMar w:left="240" w:top="244" w:right="1440" w:bottom="1440" w:gutter="0" w:footer="0" w:header="0"/>
          <w:type w:val="continuous"/>
        </w:sectPr>
      </w:pP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1990 STOCK OPTION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GREGORY T. SANGALIS</w:t>
      </w:r>
    </w:p>
    <w:p>
      <w:pPr>
        <w:ind w:left="2960"/>
        <w:spacing w:after="0" w:line="238" w:lineRule="auto"/>
        <w:rPr>
          <w:sz w:val="20"/>
          <w:szCs w:val="20"/>
          <w:color w:val="auto"/>
        </w:rPr>
      </w:pPr>
      <w:r>
        <w:rPr>
          <w:rFonts w:ascii="Courier New" w:cs="Courier New" w:eastAsia="Courier New" w:hAnsi="Courier New"/>
          <w:sz w:val="18"/>
          <w:szCs w:val="18"/>
          <w:color w:val="auto"/>
        </w:rPr>
        <w:t>USA WASTE SERVICES, INC.</w:t>
      </w:r>
    </w:p>
    <w:p>
      <w:pPr>
        <w:ind w:left="2740"/>
        <w:spacing w:after="0"/>
        <w:rPr>
          <w:sz w:val="20"/>
          <w:szCs w:val="20"/>
          <w:color w:val="auto"/>
        </w:rPr>
      </w:pPr>
      <w:r>
        <w:rPr>
          <w:rFonts w:ascii="Courier New" w:cs="Courier New" w:eastAsia="Courier New" w:hAnsi="Courier New"/>
          <w:sz w:val="18"/>
          <w:szCs w:val="18"/>
          <w:color w:val="auto"/>
        </w:rPr>
        <w:t>5000 QUORUM DRIVE, SUITE 300</w:t>
      </w:r>
    </w:p>
    <w:p>
      <w:pPr>
        <w:ind w:left="3160"/>
        <w:spacing w:after="0" w:line="237" w:lineRule="auto"/>
        <w:tabs>
          <w:tab w:leader="none" w:pos="4720" w:val="left"/>
        </w:tabs>
        <w:rPr>
          <w:sz w:val="20"/>
          <w:szCs w:val="20"/>
          <w:color w:val="auto"/>
        </w:rPr>
      </w:pPr>
      <w:r>
        <w:rPr>
          <w:rFonts w:ascii="Courier New" w:cs="Courier New" w:eastAsia="Courier New" w:hAnsi="Courier New"/>
          <w:sz w:val="18"/>
          <w:szCs w:val="18"/>
          <w:color w:val="auto"/>
        </w:rPr>
        <w:t>DALLAS, TEXAS</w:t>
        <w:tab/>
        <w:t>75240</w:t>
      </w:r>
    </w:p>
    <w:p>
      <w:pPr>
        <w:ind w:left="3480"/>
        <w:spacing w:after="0" w:line="238" w:lineRule="auto"/>
        <w:rPr>
          <w:sz w:val="20"/>
          <w:szCs w:val="20"/>
          <w:color w:val="auto"/>
        </w:rPr>
      </w:pPr>
      <w:r>
        <w:rPr>
          <w:rFonts w:ascii="Courier New" w:cs="Courier New" w:eastAsia="Courier New" w:hAnsi="Courier New"/>
          <w:sz w:val="18"/>
          <w:szCs w:val="18"/>
          <w:color w:val="auto"/>
        </w:rPr>
        <w:t>(214) 233-4212</w:t>
      </w:r>
    </w:p>
    <w:p>
      <w:pPr>
        <w:ind w:left="116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JOHN T. UNGER</w:t>
      </w:r>
    </w:p>
    <w:p>
      <w:pPr>
        <w:ind w:left="2000"/>
        <w:spacing w:after="0" w:line="238" w:lineRule="auto"/>
        <w:rPr>
          <w:sz w:val="20"/>
          <w:szCs w:val="20"/>
          <w:color w:val="auto"/>
        </w:rPr>
      </w:pPr>
      <w:r>
        <w:rPr>
          <w:rFonts w:ascii="Courier New" w:cs="Courier New" w:eastAsia="Courier New" w:hAnsi="Courier New"/>
          <w:sz w:val="18"/>
          <w:szCs w:val="18"/>
          <w:color w:val="auto"/>
        </w:rPr>
        <w:t>SNELL &amp; SMITH, A PROFESSIONAL CORPORATION</w:t>
      </w:r>
    </w:p>
    <w:p>
      <w:pPr>
        <w:ind w:left="2860"/>
        <w:spacing w:after="0"/>
        <w:rPr>
          <w:sz w:val="20"/>
          <w:szCs w:val="20"/>
          <w:color w:val="auto"/>
        </w:rPr>
      </w:pPr>
      <w:r>
        <w:rPr>
          <w:rFonts w:ascii="Courier New" w:cs="Courier New" w:eastAsia="Courier New" w:hAnsi="Courier New"/>
          <w:sz w:val="18"/>
          <w:szCs w:val="18"/>
          <w:color w:val="auto"/>
        </w:rPr>
        <w:t>1000 LOUISIANA, SUITE 3650</w:t>
      </w:r>
    </w:p>
    <w:p>
      <w:pPr>
        <w:ind w:left="3060"/>
        <w:spacing w:after="0" w:line="237" w:lineRule="auto"/>
        <w:tabs>
          <w:tab w:leader="none" w:pos="4720" w:val="left"/>
        </w:tabs>
        <w:rPr>
          <w:sz w:val="20"/>
          <w:szCs w:val="20"/>
          <w:color w:val="auto"/>
        </w:rPr>
      </w:pPr>
      <w:r>
        <w:rPr>
          <w:rFonts w:ascii="Courier New" w:cs="Courier New" w:eastAsia="Courier New" w:hAnsi="Courier New"/>
          <w:sz w:val="18"/>
          <w:szCs w:val="18"/>
          <w:color w:val="auto"/>
        </w:rPr>
        <w:t>HOUSTON, TEXAS</w:t>
        <w:tab/>
        <w:t>77002</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S-8 (FILE NO. 33-43619) AS ITS OWN REGISTRATION STATEMENT FOR ALL PURPOSES OF THE ACT AND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879"/>
        <w:spacing w:after="0" w:line="238" w:lineRule="auto"/>
        <w:rPr>
          <w:sz w:val="20"/>
          <w:szCs w:val="20"/>
          <w:color w:val="auto"/>
        </w:rPr>
      </w:pPr>
      <w:r>
        <w:rPr>
          <w:rFonts w:ascii="Courier New" w:cs="Courier New" w:eastAsia="Courier New" w:hAnsi="Courier New"/>
          <w:sz w:val="18"/>
          <w:szCs w:val="18"/>
          <w:color w:val="auto"/>
        </w:rPr>
        <w:t>PART II</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following documents are incorporated by reference in the registration statement:</w:t>
      </w:r>
    </w:p>
    <w:p>
      <w:pPr>
        <w:spacing w:after="0" w:line="208" w:lineRule="exact"/>
        <w:rPr>
          <w:sz w:val="20"/>
          <w:szCs w:val="20"/>
          <w:color w:val="auto"/>
        </w:rPr>
      </w:pPr>
    </w:p>
    <w:p>
      <w:pPr>
        <w:ind w:right="1999" w:firstLine="640"/>
        <w:spacing w:after="0" w:line="237"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208" w:lineRule="exact"/>
        <w:rPr>
          <w:rFonts w:ascii="Courier New" w:cs="Courier New" w:eastAsia="Courier New" w:hAnsi="Courier New"/>
          <w:sz w:val="18"/>
          <w:szCs w:val="18"/>
          <w:color w:val="auto"/>
        </w:rPr>
      </w:pPr>
    </w:p>
    <w:p>
      <w:pPr>
        <w:jc w:val="both"/>
        <w:ind w:right="2099" w:firstLine="640"/>
        <w:spacing w:after="0" w:line="237"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the registrant pursuant to Sections 13(a) or 15(d) of the Securities Exchange Act of 1934 since the end of the fiscal year covered by the annual report or the prospectus referred to in (a) above.</w:t>
      </w:r>
    </w:p>
    <w:p>
      <w:pPr>
        <w:spacing w:after="0" w:line="207"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391"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Certificate of Incorporation of the registrant includes the following provisions: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8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Seventh:</w:t>
        <w:tab/>
        <w:t>No director of the Corporation shall be personally liable</w:t>
      </w:r>
    </w:p>
    <w:p>
      <w:pPr>
        <w:spacing w:after="0" w:line="5" w:lineRule="exact"/>
        <w:rPr>
          <w:sz w:val="20"/>
          <w:szCs w:val="20"/>
          <w:color w:val="auto"/>
        </w:rPr>
      </w:pPr>
    </w:p>
    <w:p>
      <w:pPr>
        <w:ind w:left="640" w:right="1879"/>
        <w:spacing w:after="0" w:line="269" w:lineRule="auto"/>
        <w:rPr>
          <w:sz w:val="20"/>
          <w:szCs w:val="20"/>
          <w:color w:val="auto"/>
        </w:rPr>
      </w:pPr>
      <w:r>
        <w:rPr>
          <w:rFonts w:ascii="Courier New" w:cs="Courier New" w:eastAsia="Courier New" w:hAnsi="Courier New"/>
          <w:sz w:val="16"/>
          <w:szCs w:val="16"/>
          <w:color w:val="auto"/>
        </w:rPr>
        <w:t>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Section 145 of the Delaware General Corporation Law provides as follows:</w:t>
      </w:r>
    </w:p>
    <w:p>
      <w:pPr>
        <w:spacing w:after="0" w:line="224" w:lineRule="exact"/>
        <w:rPr>
          <w:sz w:val="20"/>
          <w:szCs w:val="20"/>
          <w:color w:val="auto"/>
        </w:rPr>
      </w:pPr>
    </w:p>
    <w:p>
      <w:pPr>
        <w:ind w:right="1879" w:firstLine="640"/>
        <w:spacing w:after="0" w:line="270" w:lineRule="auto"/>
        <w:tabs>
          <w:tab w:leader="none" w:pos="12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85" w:lineRule="exact"/>
        <w:rPr>
          <w:rFonts w:ascii="Courier New" w:cs="Courier New" w:eastAsia="Courier New" w:hAnsi="Courier New"/>
          <w:sz w:val="16"/>
          <w:szCs w:val="16"/>
          <w:color w:val="auto"/>
        </w:rPr>
      </w:pPr>
    </w:p>
    <w:p>
      <w:pPr>
        <w:ind w:right="18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86" w:lineRule="exact"/>
        <w:rPr>
          <w:sz w:val="20"/>
          <w:szCs w:val="20"/>
          <w:color w:val="auto"/>
        </w:rPr>
      </w:pPr>
    </w:p>
    <w:p>
      <w:pPr>
        <w:ind w:right="1879" w:firstLine="640"/>
        <w:spacing w:after="0" w:line="238"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ectPr>
          <w:pgSz w:w="11900" w:h="16838" w:orient="portrait"/>
          <w:cols w:equalWidth="0" w:num="1">
            <w:col w:w="10219"/>
          </w:cols>
          <w:pgMar w:left="240" w:top="312" w:right="1440" w:bottom="567"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019"/>
          </w:cols>
          <w:pgMar w:left="1440" w:top="34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320" w:right="2199" w:firstLine="640"/>
        <w:spacing w:after="0" w:line="237" w:lineRule="auto"/>
        <w:tabs>
          <w:tab w:leader="none" w:pos="9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209" w:lineRule="exact"/>
        <w:rPr>
          <w:rFonts w:ascii="Courier New" w:cs="Courier New" w:eastAsia="Courier New" w:hAnsi="Courier New"/>
          <w:sz w:val="18"/>
          <w:szCs w:val="18"/>
          <w:color w:val="auto"/>
        </w:rPr>
      </w:pPr>
    </w:p>
    <w:p>
      <w:pPr>
        <w:ind w:left="-320" w:right="1879" w:firstLine="640"/>
        <w:spacing w:after="0" w:line="237" w:lineRule="auto"/>
        <w:tabs>
          <w:tab w:leader="none" w:pos="9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214" w:lineRule="exact"/>
        <w:rPr>
          <w:rFonts w:ascii="Courier New" w:cs="Courier New" w:eastAsia="Courier New" w:hAnsi="Courier New"/>
          <w:sz w:val="18"/>
          <w:szCs w:val="18"/>
          <w:color w:val="auto"/>
        </w:rPr>
      </w:pPr>
    </w:p>
    <w:p>
      <w:pPr>
        <w:ind w:left="-320" w:right="1879" w:firstLine="640"/>
        <w:spacing w:after="0" w:line="237" w:lineRule="auto"/>
        <w:tabs>
          <w:tab w:leader="none" w:pos="9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214" w:lineRule="exact"/>
        <w:rPr>
          <w:rFonts w:ascii="Courier New" w:cs="Courier New" w:eastAsia="Courier New" w:hAnsi="Courier New"/>
          <w:sz w:val="18"/>
          <w:szCs w:val="18"/>
          <w:color w:val="auto"/>
        </w:rPr>
      </w:pPr>
    </w:p>
    <w:p>
      <w:pPr>
        <w:ind w:left="-320" w:right="1999" w:firstLine="640"/>
        <w:spacing w:after="0" w:line="237" w:lineRule="auto"/>
        <w:tabs>
          <w:tab w:leader="none" w:pos="9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211" w:lineRule="exact"/>
        <w:rPr>
          <w:rFonts w:ascii="Courier New" w:cs="Courier New" w:eastAsia="Courier New" w:hAnsi="Courier New"/>
          <w:sz w:val="18"/>
          <w:szCs w:val="18"/>
          <w:color w:val="auto"/>
        </w:rPr>
      </w:pPr>
    </w:p>
    <w:p>
      <w:pPr>
        <w:ind w:left="-320" w:right="1879" w:firstLine="640"/>
        <w:spacing w:after="0" w:line="237" w:lineRule="auto"/>
        <w:tabs>
          <w:tab w:leader="none" w:pos="9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12" w:lineRule="exact"/>
        <w:rPr>
          <w:rFonts w:ascii="Courier New" w:cs="Courier New" w:eastAsia="Courier New" w:hAnsi="Courier New"/>
          <w:sz w:val="18"/>
          <w:szCs w:val="18"/>
          <w:color w:val="auto"/>
        </w:rPr>
      </w:pPr>
    </w:p>
    <w:p>
      <w:pPr>
        <w:ind w:left="-320" w:right="1879" w:firstLine="640"/>
        <w:spacing w:after="0" w:line="270" w:lineRule="auto"/>
        <w:tabs>
          <w:tab w:leader="none" w:pos="9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390" w:lineRule="exact"/>
        <w:rPr>
          <w:rFonts w:ascii="Courier New" w:cs="Courier New" w:eastAsia="Courier New" w:hAnsi="Courier New"/>
          <w:sz w:val="16"/>
          <w:szCs w:val="16"/>
          <w:color w:val="auto"/>
        </w:rPr>
      </w:pPr>
    </w:p>
    <w:p>
      <w:pPr>
        <w:ind w:left="-320" w:right="1879" w:firstLine="640"/>
        <w:spacing w:after="0" w:line="238" w:lineRule="auto"/>
        <w:tabs>
          <w:tab w:leader="none" w:pos="9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ectPr>
          <w:pgSz w:w="11900" w:h="16838" w:orient="portrait"/>
          <w:cols w:equalWidth="0" w:num="1">
            <w:col w:w="9899"/>
          </w:cols>
          <w:pgMar w:left="56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899"/>
          </w:cols>
          <w:pgMar w:left="560" w:top="312" w:right="1440" w:bottom="176"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firstLine="640"/>
        <w:spacing w:after="0" w:line="237"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210"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Certificate of Incorporation of the registrant includes the following provision:</w:t>
      </w:r>
    </w:p>
    <w:p>
      <w:pPr>
        <w:spacing w:after="0" w:line="208" w:lineRule="exact"/>
        <w:rPr>
          <w:sz w:val="20"/>
          <w:szCs w:val="20"/>
          <w:color w:val="auto"/>
        </w:rPr>
      </w:pPr>
    </w:p>
    <w:p>
      <w:pPr>
        <w:ind w:left="640" w:right="1879" w:firstLine="211"/>
        <w:spacing w:after="0" w:line="269" w:lineRule="auto"/>
        <w:rPr>
          <w:sz w:val="20"/>
          <w:szCs w:val="20"/>
          <w:color w:val="auto"/>
        </w:rPr>
      </w:pPr>
      <w:r>
        <w:rPr>
          <w:rFonts w:ascii="Courier New" w:cs="Courier New" w:eastAsia="Courier New" w:hAnsi="Courier New"/>
          <w:sz w:val="16"/>
          <w:szCs w:val="16"/>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00" w:lineRule="exact"/>
        <w:rPr>
          <w:sz w:val="20"/>
          <w:szCs w:val="20"/>
          <w:color w:val="auto"/>
        </w:rPr>
      </w:pPr>
    </w:p>
    <w:p>
      <w:pPr>
        <w:spacing w:after="0" w:line="395"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209"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8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800" w:right="2419" w:hanging="631"/>
        <w:spacing w:after="0" w:line="236" w:lineRule="auto"/>
        <w:tabs>
          <w:tab w:leader="none" w:pos="17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Restated Certificate of Incorporation [Incorporated by reference to Exhibit 3.1 to the Registrant's Registration Statement on Form S-4, file No. 33-60103].</w:t>
      </w:r>
    </w:p>
    <w:p>
      <w:pPr>
        <w:spacing w:after="0" w:line="6" w:lineRule="exact"/>
        <w:rPr>
          <w:sz w:val="20"/>
          <w:szCs w:val="20"/>
          <w:color w:val="auto"/>
        </w:rPr>
      </w:pPr>
    </w:p>
    <w:p>
      <w:pPr>
        <w:ind w:left="1800" w:right="2319" w:hanging="631"/>
        <w:spacing w:after="0" w:line="268" w:lineRule="auto"/>
        <w:tabs>
          <w:tab w:leader="none" w:pos="17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Bylaws [Incorporated by reference to Exhibit 3.2 of the Registrant's Registration Statement on Form S- 4, File No.</w:t>
      </w:r>
    </w:p>
    <w:p>
      <w:pPr>
        <w:ind w:left="1800"/>
        <w:spacing w:after="0" w:line="233" w:lineRule="auto"/>
        <w:rPr>
          <w:sz w:val="20"/>
          <w:szCs w:val="20"/>
          <w:color w:val="auto"/>
        </w:rPr>
      </w:pPr>
      <w:r>
        <w:rPr>
          <w:rFonts w:ascii="Courier New" w:cs="Courier New" w:eastAsia="Courier New" w:hAnsi="Courier New"/>
          <w:sz w:val="18"/>
          <w:szCs w:val="18"/>
          <w:color w:val="auto"/>
        </w:rPr>
        <w:t>33-60103].</w:t>
      </w:r>
    </w:p>
    <w:p>
      <w:pPr>
        <w:spacing w:after="0" w:line="5" w:lineRule="exact"/>
        <w:rPr>
          <w:sz w:val="20"/>
          <w:szCs w:val="20"/>
          <w:color w:val="auto"/>
        </w:rPr>
      </w:pPr>
    </w:p>
    <w:p>
      <w:pPr>
        <w:ind w:left="1800" w:right="1879" w:hanging="631"/>
        <w:spacing w:after="0" w:line="236" w:lineRule="auto"/>
        <w:tabs>
          <w:tab w:leader="none" w:pos="178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Specimen Stock Certificate [Incorporated by reference to Exhibit 3.2 of the Registrant's Registration Statement on Form 8-A, File No. 0-17034, Reference No. 88-15-2847].</w:t>
      </w:r>
    </w:p>
    <w:p>
      <w:pPr>
        <w:spacing w:after="0" w:line="6" w:lineRule="exact"/>
        <w:rPr>
          <w:sz w:val="20"/>
          <w:szCs w:val="20"/>
          <w:color w:val="auto"/>
        </w:rPr>
      </w:pPr>
    </w:p>
    <w:p>
      <w:pPr>
        <w:jc w:val="both"/>
        <w:ind w:left="1800" w:right="1999" w:hanging="736"/>
        <w:spacing w:after="0" w:line="268" w:lineRule="auto"/>
        <w:tabs>
          <w:tab w:leader="none" w:pos="178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USA Waste Services, Inc. 1990 Stock Option Plan [Incorporated by reference to Exhibit 10.1 to Registrant's Annual Report on Form 10-K for the year ended December 31, 1990].</w:t>
      </w: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Butler &amp; Binion.</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Consent of Butler &amp; Binion (Contained in Exhibit 5.1).</w:t>
      </w:r>
    </w:p>
    <w:p>
      <w:pPr>
        <w:spacing w:after="0" w:line="4" w:lineRule="exact"/>
        <w:rPr>
          <w:sz w:val="20"/>
          <w:szCs w:val="20"/>
          <w:color w:val="auto"/>
        </w:rPr>
      </w:pPr>
    </w:p>
    <w:p>
      <w:pPr>
        <w:ind w:left="1800" w:right="1879" w:hanging="736"/>
        <w:spacing w:after="0" w:line="268" w:lineRule="auto"/>
        <w:tabs>
          <w:tab w:leader="none" w:pos="178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6"/>
          <w:szCs w:val="16"/>
          <w:color w:val="auto"/>
        </w:rPr>
        <w:t>Consent of Coopers &amp; Lybrand L.L.P. [Incorporated by reference to Exhibit 23.1 to the Registrant's Annual Report on Form 10-K for the year ended December 31, 1994 and Exhibit 23.2 to the Registrant's Current Report on Form 8-K dated June 30, 1995].</w:t>
      </w:r>
    </w:p>
    <w:p>
      <w:pPr>
        <w:spacing w:after="0" w:line="1" w:lineRule="exact"/>
        <w:rPr>
          <w:sz w:val="20"/>
          <w:szCs w:val="20"/>
          <w:color w:val="auto"/>
        </w:rPr>
      </w:pPr>
    </w:p>
    <w:p>
      <w:pPr>
        <w:ind w:left="1800" w:right="1879" w:hanging="736"/>
        <w:spacing w:after="0" w:line="268" w:lineRule="auto"/>
        <w:tabs>
          <w:tab w:leader="none" w:pos="1780" w:val="left"/>
        </w:tabs>
        <w:rPr>
          <w:sz w:val="20"/>
          <w:szCs w:val="20"/>
          <w:color w:val="auto"/>
        </w:rPr>
      </w:pPr>
      <w:r>
        <w:rPr>
          <w:rFonts w:ascii="Courier New" w:cs="Courier New" w:eastAsia="Courier New" w:hAnsi="Courier New"/>
          <w:sz w:val="18"/>
          <w:szCs w:val="18"/>
          <w:color w:val="auto"/>
        </w:rPr>
        <w:t>24.3</w:t>
      </w:r>
      <w:r>
        <w:rPr>
          <w:sz w:val="20"/>
          <w:szCs w:val="20"/>
          <w:color w:val="auto"/>
        </w:rPr>
        <w:tab/>
      </w:r>
      <w:r>
        <w:rPr>
          <w:rFonts w:ascii="Courier New" w:cs="Courier New" w:eastAsia="Courier New" w:hAnsi="Courier New"/>
          <w:sz w:val="16"/>
          <w:szCs w:val="16"/>
          <w:color w:val="auto"/>
        </w:rPr>
        <w:t>Consent of Deloitte &amp; Touche LLP [Incorporated by reference to Exhibit 23.2 to the Registrant's Registration Statement on Form S-4 (File No. 33-59259) and Exhibit 23.1 to the Registrant's Current Report on Form 8-K dated June 30, 1995].</w:t>
      </w:r>
    </w:p>
    <w:p>
      <w:pPr>
        <w:ind w:left="1800" w:hanging="739"/>
        <w:spacing w:after="0" w:line="234" w:lineRule="auto"/>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(Included on Page II-7).</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800" w:hanging="844"/>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960" w:right="2099" w:firstLine="839"/>
        <w:spacing w:after="0" w:line="236" w:lineRule="auto"/>
        <w:tabs>
          <w:tab w:leader="none" w:pos="275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800" w:right="1879" w:firstLine="947"/>
        <w:spacing w:after="0" w:line="235" w:lineRule="auto"/>
        <w:tabs>
          <w:tab w:leader="none" w:pos="359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800" w:right="1999" w:firstLine="947"/>
        <w:spacing w:after="0" w:line="237" w:lineRule="auto"/>
        <w:tabs>
          <w:tab w:leader="none" w:pos="359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9" w:lineRule="exact"/>
        <w:rPr>
          <w:rFonts w:ascii="Courier New" w:cs="Courier New" w:eastAsia="Courier New" w:hAnsi="Courier New"/>
          <w:sz w:val="18"/>
          <w:szCs w:val="18"/>
          <w:color w:val="auto"/>
        </w:rPr>
      </w:pPr>
    </w:p>
    <w:p>
      <w:pPr>
        <w:ind w:left="1800" w:right="2099" w:firstLine="947"/>
        <w:spacing w:after="0" w:line="237" w:lineRule="auto"/>
        <w:tabs>
          <w:tab w:leader="none" w:pos="359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1800" w:right="1879"/>
        <w:spacing w:after="0" w:line="237" w:lineRule="auto"/>
        <w:rPr>
          <w:sz w:val="20"/>
          <w:szCs w:val="20"/>
          <w:color w:val="auto"/>
        </w:rPr>
      </w:pPr>
      <w:r>
        <w:rPr>
          <w:rFonts w:ascii="Courier New" w:cs="Courier New" w:eastAsia="Courier New" w:hAnsi="Courier New"/>
          <w:sz w:val="18"/>
          <w:szCs w:val="18"/>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ind w:left="960" w:right="2099" w:firstLine="839"/>
        <w:spacing w:after="0" w:line="237" w:lineRule="auto"/>
        <w:tabs>
          <w:tab w:leader="none" w:pos="275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960" w:right="2419"/>
        <w:spacing w:after="0" w:line="290" w:lineRule="auto"/>
        <w:rPr>
          <w:sz w:val="20"/>
          <w:szCs w:val="20"/>
          <w:color w:val="auto"/>
        </w:rPr>
      </w:pPr>
      <w:r>
        <w:rPr>
          <w:rFonts w:ascii="Courier New" w:cs="Courier New" w:eastAsia="Courier New" w:hAnsi="Courier New"/>
          <w:sz w:val="16"/>
          <w:szCs w:val="16"/>
          <w:color w:val="auto"/>
        </w:rPr>
        <w:t>offered therein, and the offering of such securities at that time shall be deemed to be the initial bona fide offering thereof.</w:t>
      </w:r>
    </w:p>
    <w:p>
      <w:pPr>
        <w:spacing w:after="0" w:line="164" w:lineRule="exact"/>
        <w:rPr>
          <w:sz w:val="20"/>
          <w:szCs w:val="20"/>
          <w:color w:val="auto"/>
        </w:rPr>
      </w:pPr>
    </w:p>
    <w:p>
      <w:pPr>
        <w:ind w:left="2740" w:hanging="941"/>
        <w:spacing w:after="0"/>
        <w:tabs>
          <w:tab w:leader="none" w:pos="2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w:t>
      </w:r>
    </w:p>
    <w:p>
      <w:pPr>
        <w:spacing w:after="0" w:line="4"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post-effective amendment any of the securities being registered which remain unsold at the termination of the offering.</w:t>
      </w:r>
    </w:p>
    <w:p>
      <w:pPr>
        <w:spacing w:after="0" w:line="208" w:lineRule="exact"/>
        <w:rPr>
          <w:sz w:val="20"/>
          <w:szCs w:val="20"/>
          <w:color w:val="auto"/>
        </w:rPr>
      </w:pPr>
    </w:p>
    <w:p>
      <w:pPr>
        <w:ind w:right="1879" w:firstLine="956"/>
        <w:spacing w:after="0" w:line="271" w:lineRule="auto"/>
        <w:tabs>
          <w:tab w:leader="none" w:pos="179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4" w:lineRule="exact"/>
        <w:rPr>
          <w:sz w:val="20"/>
          <w:szCs w:val="20"/>
          <w:color w:val="auto"/>
        </w:rPr>
      </w:pPr>
    </w:p>
    <w:p>
      <w:pPr>
        <w:ind w:right="1999" w:firstLine="956"/>
        <w:spacing w:after="0" w:line="270" w:lineRule="auto"/>
        <w:tabs>
          <w:tab w:leader="none" w:pos="179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9" w:lineRule="exact"/>
        <w:rPr>
          <w:rFonts w:ascii="Courier New" w:cs="Courier New" w:eastAsia="Courier New" w:hAnsi="Courier New"/>
          <w:sz w:val="16"/>
          <w:szCs w:val="16"/>
          <w:color w:val="auto"/>
        </w:rPr>
      </w:pPr>
    </w:p>
    <w:p>
      <w:pPr>
        <w:ind w:right="1879" w:firstLine="956"/>
        <w:spacing w:after="0" w:line="238" w:lineRule="auto"/>
        <w:tabs>
          <w:tab w:leader="none" w:pos="179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Dallas, State of Texas on September 7, 1995.</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5140" w:val="left"/>
          <w:tab w:leader="none" w:pos="5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Earl E. DeFrates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Earl E. DeFrates, Vice President -</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Finance and Chief Financial Officer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We, the undersigned officers and director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S-8 (File No.33-43619)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Witness our hands on the date set forth below.</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or amendment thereto has been signed by the following persons in the capacities on September 7, 1995</w:t>
      </w:r>
    </w:p>
    <w:p>
      <w:pPr>
        <w:sectPr>
          <w:pgSz w:w="11900" w:h="16838" w:orient="portrait"/>
          <w:cols w:equalWidth="0" w:num="1">
            <w:col w:w="10219"/>
          </w:cols>
          <w:pgMar w:left="240" w:top="312"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312" w:right="1440" w:bottom="97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E. Drury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6"/>
          <w:szCs w:val="16"/>
          <w:color w:val="auto"/>
        </w:rPr>
        <w:t>Chairman of the Board and</w:t>
      </w:r>
    </w:p>
    <w:p>
      <w:pPr>
        <w:spacing w:after="0" w:line="1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Chief Executive Officer</w:t>
      </w:r>
    </w:p>
    <w:p>
      <w:pPr>
        <w:spacing w:after="0" w:line="40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F. Moorehead,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F. Moorehead,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Chairman of the Board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Chief Development Officer</w:t>
      </w:r>
    </w:p>
    <w:p>
      <w:pPr>
        <w:spacing w:after="0" w:line="40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G. Rangos, Sr.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Sr.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w:t>
      </w:r>
    </w:p>
    <w:p>
      <w:pPr>
        <w:spacing w:after="0" w:line="62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Sutherland-Yoest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Sutherland-Yoest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 and Director</w:t>
      </w:r>
    </w:p>
    <w:p>
      <w:pPr>
        <w:spacing w:after="0" w:line="40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 E. DeFrates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Chief Financial Officer</w:t>
      </w:r>
    </w:p>
    <w:p>
      <w:pPr>
        <w:spacing w:after="0" w:line="40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 Corporate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Controller (Chief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Alexander W. Rangos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Alexander W. Rangos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6"/>
          <w:szCs w:val="16"/>
          <w:color w:val="auto"/>
        </w:rPr>
        <w:t>Executive Vice President -</w:t>
      </w:r>
    </w:p>
    <w:p>
      <w:pPr>
        <w:spacing w:after="0" w:line="1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8"/>
          <w:szCs w:val="18"/>
          <w:color w:val="auto"/>
        </w:rPr>
        <w:t>Development and Director</w:t>
      </w:r>
    </w:p>
    <w:p>
      <w:pPr>
        <w:spacing w:after="0" w:line="40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L.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L. Ball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500" w:space="720"/>
            <w:col w:w="5999"/>
          </w:cols>
          <w:pgMar w:left="240" w:top="312" w:right="1440" w:bottom="970" w:gutter="0" w:footer="0" w:header="0"/>
          <w:type w:val="continuous"/>
        </w:sectPr>
      </w:pPr>
    </w:p>
    <w:p>
      <w:pPr>
        <w:spacing w:after="0" w:line="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 Richard J. Heckmann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Heckmann</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 William E. Moffett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E. Moffett</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 Peter J. Gibbons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J. Gibbons</w:t>
      </w:r>
    </w:p>
    <w:p>
      <w:pPr>
        <w:sectPr>
          <w:pgSz w:w="11900" w:h="16838" w:orient="portrait"/>
          <w:cols w:equalWidth="0" w:num="1">
            <w:col w:w="10219"/>
          </w:cols>
          <w:pgMar w:left="240" w:top="312" w:right="1440" w:bottom="970" w:gutter="0" w:footer="0" w:header="0"/>
          <w:type w:val="continuous"/>
        </w:sectPr>
      </w:pPr>
    </w:p>
    <w:bookmarkStart w:id="9" w:name="page10"/>
    <w:bookmarkEnd w:id="9"/>
    <w:p>
      <w:pPr>
        <w:ind w:left="2820"/>
        <w:spacing w:after="0"/>
        <w:rPr>
          <w:sz w:val="20"/>
          <w:szCs w:val="20"/>
          <w:color w:val="auto"/>
        </w:rPr>
      </w:pPr>
      <w:r>
        <w:rPr>
          <w:rFonts w:ascii="Courier New" w:cs="Courier New" w:eastAsia="Courier New" w:hAnsi="Courier New"/>
          <w:sz w:val="16"/>
          <w:szCs w:val="16"/>
          <w:color w:val="auto"/>
        </w:rPr>
        <w:t>II-7</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1."/>
      <w:numFmt w:val="decimal"/>
      <w:start w:val="145"/>
    </w:lvl>
  </w:abstractNum>
  <w:abstractNum w:abstractNumId="2">
    <w:nsid w:val="5BD062C2"/>
    <w:multiLevelType w:val="hybridMultilevel"/>
    <w:lvl w:ilvl="0">
      <w:lvlJc w:val="left"/>
      <w:lvlText w:val="(%1)"/>
      <w:numFmt w:val="lowerLetter"/>
      <w:start w:val="2"/>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Letter"/>
      <w:start w:val="10"/>
    </w:lvl>
  </w:abstractNum>
  <w:abstractNum w:abstractNumId="5">
    <w:nsid w:val="216231B"/>
    <w:multiLevelType w:val="hybridMultilevel"/>
    <w:lvl w:ilvl="0">
      <w:lvlJc w:val="left"/>
      <w:lvlText w:val="-"/>
      <w:numFmt w:val="bullet"/>
      <w:start w:val="1"/>
    </w:lvl>
    <w:lvl w:ilvl="1">
      <w:lvlJc w:val="left"/>
      <w:lvlText w:val="%2"/>
      <w:numFmt w:val="decimal"/>
      <w:start w:val="25"/>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2019-12-20T05:07:09Z</dcterms:created>
  <dcterms:modified xsi:type="dcterms:W3CDTF">2019-12-20T05:07:09Z</dcterms:modified>
</cp:coreProperties>
</file>