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575945</wp:posOffset>
            </wp:positionH>
            <wp:positionV relativeFrom="page">
              <wp:posOffset>326390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t>SECURITIES AND EXCHANGE COMMISSION</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(Mark One)</w:t>
      </w:r>
    </w:p>
    <w:p>
      <w:pPr>
        <w:spacing w:after="0" w:line="11" w:lineRule="exact"/>
        <w:rPr>
          <w:sz w:val="20"/>
          <w:szCs w:val="20"/>
          <w:color w:val="auto"/>
        </w:rPr>
      </w:pPr>
    </w:p>
    <w:p>
      <w:pPr>
        <w:ind w:left="1200" w:hanging="710"/>
        <w:spacing w:after="0"/>
        <w:tabs>
          <w:tab w:leader="none" w:pos="1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w:t>
      </w:r>
    </w:p>
    <w:p>
      <w:pPr>
        <w:ind w:left="1200"/>
        <w:spacing w:after="0" w:line="235" w:lineRule="auto"/>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ind w:left="1200"/>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2008</w:t>
      </w:r>
    </w:p>
    <w:p>
      <w:pPr>
        <w:spacing w:after="0" w:line="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3" w:lineRule="exact"/>
        <w:rPr>
          <w:sz w:val="20"/>
          <w:szCs w:val="20"/>
          <w:color w:val="auto"/>
        </w:rPr>
      </w:pPr>
    </w:p>
    <w:p>
      <w:pPr>
        <w:ind w:left="1200" w:hanging="681"/>
        <w:spacing w:after="0"/>
        <w:tabs>
          <w:tab w:leader="none" w:pos="12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TRANSITION REPORT PURSUANT TO SECTION 13 OR 15(d)</w:t>
      </w:r>
    </w:p>
    <w:p>
      <w:pPr>
        <w:ind w:left="1200"/>
        <w:spacing w:after="0" w:line="235" w:lineRule="auto"/>
        <w:rPr>
          <w:sz w:val="20"/>
          <w:szCs w:val="20"/>
          <w:color w:val="auto"/>
        </w:rPr>
      </w:pPr>
      <w:r>
        <w:rPr>
          <w:rFonts w:ascii="Times New Roman" w:cs="Times New Roman" w:eastAsia="Times New Roman" w:hAnsi="Times New Roman"/>
          <w:sz w:val="16"/>
          <w:szCs w:val="16"/>
          <w:b w:val="1"/>
          <w:bCs w:val="1"/>
          <w:color w:val="auto"/>
        </w:rPr>
        <w:t>OF THE SECURITIES EXCHANGE ACT OF 1934</w:t>
      </w:r>
    </w:p>
    <w:tbl>
      <w:tblPr>
        <w:tblLayout w:type="fixed"/>
        <w:tblInd w:w="1200" w:type="dxa"/>
        <w:tblCellMar>
          <w:top w:w="0" w:type="dxa"/>
          <w:left w:w="0" w:type="dxa"/>
          <w:bottom w:w="0" w:type="dxa"/>
          <w:right w:w="0" w:type="dxa"/>
        </w:tblCellMar>
      </w:tblPr>
      <w:tr>
        <w:trPr>
          <w:trHeight w:val="173"/>
        </w:trPr>
        <w:tc>
          <w:tcPr>
            <w:tcW w:w="1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48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249"/>
        </w:trPr>
        <w:tc>
          <w:tcPr>
            <w:tcW w:w="1980" w:type="dxa"/>
            <w:vAlign w:val="bottom"/>
          </w:tcPr>
          <w:p>
            <w:pPr>
              <w:spacing w:after="0"/>
              <w:rPr>
                <w:sz w:val="21"/>
                <w:szCs w:val="21"/>
                <w:color w:val="auto"/>
              </w:rPr>
            </w:pPr>
          </w:p>
        </w:tc>
        <w:tc>
          <w:tcPr>
            <w:tcW w:w="4800" w:type="dxa"/>
            <w:vAlign w:val="bottom"/>
          </w:tcPr>
          <w:p>
            <w:pPr>
              <w:jc w:val="center"/>
              <w:ind w:right="1092"/>
              <w:spacing w:after="0"/>
              <w:rPr>
                <w:sz w:val="20"/>
                <w:szCs w:val="20"/>
                <w:color w:val="auto"/>
              </w:rPr>
            </w:pPr>
            <w:r>
              <w:rPr>
                <w:rFonts w:ascii="Times New Roman" w:cs="Times New Roman" w:eastAsia="Times New Roman" w:hAnsi="Times New Roman"/>
                <w:sz w:val="13"/>
                <w:szCs w:val="13"/>
                <w:b w:val="1"/>
                <w:bCs w:val="1"/>
                <w:color w:val="auto"/>
              </w:rPr>
              <w:t>Commission file number 1-12154</w:t>
            </w:r>
          </w:p>
        </w:tc>
      </w:tr>
      <w:tr>
        <w:trPr>
          <w:trHeight w:val="395"/>
        </w:trPr>
        <w:tc>
          <w:tcPr>
            <w:tcW w:w="1980" w:type="dxa"/>
            <w:vAlign w:val="bottom"/>
          </w:tcPr>
          <w:p>
            <w:pPr>
              <w:spacing w:after="0"/>
              <w:rPr>
                <w:sz w:val="24"/>
                <w:szCs w:val="24"/>
                <w:color w:val="auto"/>
              </w:rPr>
            </w:pPr>
          </w:p>
        </w:tc>
        <w:tc>
          <w:tcPr>
            <w:tcW w:w="4800" w:type="dxa"/>
            <w:vAlign w:val="bottom"/>
          </w:tcPr>
          <w:p>
            <w:pPr>
              <w:jc w:val="center"/>
              <w:ind w:right="1112"/>
              <w:spacing w:after="0"/>
              <w:rPr>
                <w:sz w:val="20"/>
                <w:szCs w:val="20"/>
                <w:color w:val="auto"/>
              </w:rPr>
            </w:pPr>
            <w:r>
              <w:rPr>
                <w:rFonts w:ascii="Times New Roman" w:cs="Times New Roman" w:eastAsia="Times New Roman" w:hAnsi="Times New Roman"/>
                <w:sz w:val="31"/>
                <w:szCs w:val="31"/>
                <w:b w:val="1"/>
                <w:bCs w:val="1"/>
                <w:color w:val="auto"/>
              </w:rPr>
              <w:t>Waste Management, Inc.</w:t>
            </w:r>
          </w:p>
        </w:tc>
      </w:tr>
      <w:tr>
        <w:trPr>
          <w:trHeight w:val="137"/>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Times New Roman" w:cs="Times New Roman" w:eastAsia="Times New Roman" w:hAnsi="Times New Roman"/>
                <w:sz w:val="10"/>
                <w:szCs w:val="10"/>
                <w:i w:val="1"/>
                <w:iCs w:val="1"/>
                <w:color w:val="auto"/>
              </w:rPr>
              <w:t>(Exact name of registrant as specified in its charter)</w:t>
            </w:r>
          </w:p>
        </w:tc>
      </w:tr>
      <w:tr>
        <w:trPr>
          <w:trHeight w:val="275"/>
        </w:trPr>
        <w:tc>
          <w:tcPr>
            <w:tcW w:w="1980" w:type="dxa"/>
            <w:vAlign w:val="bottom"/>
          </w:tcPr>
          <w:p>
            <w:pPr>
              <w:jc w:val="center"/>
              <w:ind w:left="561"/>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800" w:type="dxa"/>
            <w:vAlign w:val="bottom"/>
          </w:tcPr>
          <w:p>
            <w:pPr>
              <w:jc w:val="center"/>
              <w:ind w:left="3952"/>
              <w:spacing w:after="0"/>
              <w:rPr>
                <w:sz w:val="20"/>
                <w:szCs w:val="20"/>
                <w:color w:val="auto"/>
              </w:rPr>
            </w:pPr>
            <w:r>
              <w:rPr>
                <w:rFonts w:ascii="Times New Roman" w:cs="Times New Roman" w:eastAsia="Times New Roman" w:hAnsi="Times New Roman"/>
                <w:sz w:val="13"/>
                <w:szCs w:val="13"/>
                <w:b w:val="1"/>
                <w:bCs w:val="1"/>
                <w:color w:val="auto"/>
                <w:w w:val="98"/>
              </w:rPr>
              <w:t>73-1309529</w:t>
            </w:r>
          </w:p>
        </w:tc>
      </w:tr>
      <w:tr>
        <w:trPr>
          <w:trHeight w:val="108"/>
        </w:trPr>
        <w:tc>
          <w:tcPr>
            <w:tcW w:w="1980" w:type="dxa"/>
            <w:vAlign w:val="bottom"/>
          </w:tcPr>
          <w:p>
            <w:pPr>
              <w:jc w:val="center"/>
              <w:ind w:left="581"/>
              <w:spacing w:after="0" w:line="108" w:lineRule="exact"/>
              <w:rPr>
                <w:sz w:val="20"/>
                <w:szCs w:val="20"/>
                <w:color w:val="auto"/>
              </w:rPr>
            </w:pPr>
            <w:r>
              <w:rPr>
                <w:rFonts w:ascii="Times New Roman" w:cs="Times New Roman" w:eastAsia="Times New Roman" w:hAnsi="Times New Roman"/>
                <w:sz w:val="10"/>
                <w:szCs w:val="10"/>
                <w:i w:val="1"/>
                <w:iCs w:val="1"/>
                <w:color w:val="auto"/>
              </w:rPr>
              <w:t>(State or other jurisdiction of</w:t>
            </w:r>
          </w:p>
        </w:tc>
        <w:tc>
          <w:tcPr>
            <w:tcW w:w="4800" w:type="dxa"/>
            <w:vAlign w:val="bottom"/>
          </w:tcPr>
          <w:p>
            <w:pPr>
              <w:jc w:val="center"/>
              <w:ind w:left="3952"/>
              <w:spacing w:after="0" w:line="108" w:lineRule="exact"/>
              <w:rPr>
                <w:sz w:val="20"/>
                <w:szCs w:val="20"/>
                <w:color w:val="auto"/>
              </w:rPr>
            </w:pPr>
            <w:r>
              <w:rPr>
                <w:rFonts w:ascii="Times New Roman" w:cs="Times New Roman" w:eastAsia="Times New Roman" w:hAnsi="Times New Roman"/>
                <w:sz w:val="10"/>
                <w:szCs w:val="10"/>
                <w:i w:val="1"/>
                <w:iCs w:val="1"/>
                <w:color w:val="auto"/>
              </w:rPr>
              <w:t>(I.R.S. Employer</w:t>
            </w:r>
          </w:p>
        </w:tc>
      </w:tr>
      <w:tr>
        <w:trPr>
          <w:trHeight w:val="137"/>
        </w:trPr>
        <w:tc>
          <w:tcPr>
            <w:tcW w:w="1980" w:type="dxa"/>
            <w:vAlign w:val="bottom"/>
          </w:tcPr>
          <w:p>
            <w:pPr>
              <w:jc w:val="center"/>
              <w:ind w:left="581"/>
              <w:spacing w:after="0"/>
              <w:rPr>
                <w:sz w:val="20"/>
                <w:szCs w:val="20"/>
                <w:color w:val="auto"/>
              </w:rPr>
            </w:pPr>
            <w:r>
              <w:rPr>
                <w:rFonts w:ascii="Times New Roman" w:cs="Times New Roman" w:eastAsia="Times New Roman" w:hAnsi="Times New Roman"/>
                <w:sz w:val="10"/>
                <w:szCs w:val="10"/>
                <w:i w:val="1"/>
                <w:iCs w:val="1"/>
                <w:color w:val="auto"/>
              </w:rPr>
              <w:t>incorporation or organization)</w:t>
            </w:r>
          </w:p>
        </w:tc>
        <w:tc>
          <w:tcPr>
            <w:tcW w:w="4800" w:type="dxa"/>
            <w:vAlign w:val="bottom"/>
          </w:tcPr>
          <w:p>
            <w:pPr>
              <w:jc w:val="center"/>
              <w:ind w:left="3952"/>
              <w:spacing w:after="0"/>
              <w:rPr>
                <w:sz w:val="20"/>
                <w:szCs w:val="20"/>
                <w:color w:val="auto"/>
              </w:rPr>
            </w:pPr>
            <w:r>
              <w:rPr>
                <w:rFonts w:ascii="Times New Roman" w:cs="Times New Roman" w:eastAsia="Times New Roman" w:hAnsi="Times New Roman"/>
                <w:sz w:val="10"/>
                <w:szCs w:val="10"/>
                <w:i w:val="1"/>
                <w:iCs w:val="1"/>
                <w:color w:val="auto"/>
              </w:rPr>
              <w:t>Identification No.)</w:t>
            </w:r>
          </w:p>
        </w:tc>
      </w:tr>
      <w:tr>
        <w:trPr>
          <w:trHeight w:val="179"/>
        </w:trPr>
        <w:tc>
          <w:tcPr>
            <w:tcW w:w="1980" w:type="dxa"/>
            <w:vAlign w:val="bottom"/>
          </w:tcPr>
          <w:p>
            <w:pPr>
              <w:spacing w:after="0"/>
              <w:rPr>
                <w:sz w:val="15"/>
                <w:szCs w:val="15"/>
                <w:color w:val="auto"/>
              </w:rPr>
            </w:pPr>
          </w:p>
        </w:tc>
        <w:tc>
          <w:tcPr>
            <w:tcW w:w="4800" w:type="dxa"/>
            <w:vAlign w:val="bottom"/>
          </w:tcPr>
          <w:p>
            <w:pPr>
              <w:jc w:val="center"/>
              <w:ind w:right="1112"/>
              <w:spacing w:after="0"/>
              <w:rPr>
                <w:sz w:val="20"/>
                <w:szCs w:val="20"/>
                <w:color w:val="auto"/>
              </w:rPr>
            </w:pPr>
            <w:r>
              <w:rPr>
                <w:rFonts w:ascii="Times New Roman" w:cs="Times New Roman" w:eastAsia="Times New Roman" w:hAnsi="Times New Roman"/>
                <w:sz w:val="13"/>
                <w:szCs w:val="13"/>
                <w:b w:val="1"/>
                <w:bCs w:val="1"/>
                <w:color w:val="auto"/>
              </w:rPr>
              <w:t>1001 Fannin</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Times New Roman" w:cs="Times New Roman" w:eastAsia="Times New Roman" w:hAnsi="Times New Roman"/>
                <w:sz w:val="13"/>
                <w:szCs w:val="13"/>
                <w:b w:val="1"/>
                <w:bCs w:val="1"/>
                <w:color w:val="auto"/>
              </w:rPr>
              <w:t>Suite 4000</w:t>
            </w:r>
          </w:p>
        </w:tc>
      </w:tr>
      <w:tr>
        <w:trPr>
          <w:trHeight w:val="155"/>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Times New Roman" w:cs="Times New Roman" w:eastAsia="Times New Roman" w:hAnsi="Times New Roman"/>
                <w:sz w:val="13"/>
                <w:szCs w:val="13"/>
                <w:b w:val="1"/>
                <w:bCs w:val="1"/>
                <w:color w:val="auto"/>
              </w:rPr>
              <w:t>Houston, Texas 77002</w:t>
            </w:r>
          </w:p>
        </w:tc>
      </w:tr>
      <w:tr>
        <w:trPr>
          <w:trHeight w:val="137"/>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Times New Roman" w:cs="Times New Roman" w:eastAsia="Times New Roman" w:hAnsi="Times New Roman"/>
                <w:sz w:val="10"/>
                <w:szCs w:val="10"/>
                <w:i w:val="1"/>
                <w:iCs w:val="1"/>
                <w:color w:val="auto"/>
              </w:rPr>
              <w:t>(Address of principal executive offices)</w:t>
            </w:r>
          </w:p>
        </w:tc>
      </w:tr>
      <w:tr>
        <w:trPr>
          <w:trHeight w:val="177"/>
        </w:trPr>
        <w:tc>
          <w:tcPr>
            <w:tcW w:w="1980" w:type="dxa"/>
            <w:vAlign w:val="bottom"/>
          </w:tcPr>
          <w:p>
            <w:pPr>
              <w:spacing w:after="0"/>
              <w:rPr>
                <w:sz w:val="15"/>
                <w:szCs w:val="15"/>
                <w:color w:val="auto"/>
              </w:rPr>
            </w:pPr>
          </w:p>
        </w:tc>
        <w:tc>
          <w:tcPr>
            <w:tcW w:w="4800" w:type="dxa"/>
            <w:vAlign w:val="bottom"/>
          </w:tcPr>
          <w:p>
            <w:pPr>
              <w:jc w:val="center"/>
              <w:ind w:right="1112"/>
              <w:spacing w:after="0"/>
              <w:rPr>
                <w:sz w:val="20"/>
                <w:szCs w:val="20"/>
                <w:color w:val="auto"/>
              </w:rPr>
            </w:pPr>
            <w:r>
              <w:rPr>
                <w:rFonts w:ascii="Times New Roman" w:cs="Times New Roman" w:eastAsia="Times New Roman" w:hAnsi="Times New Roman"/>
                <w:sz w:val="13"/>
                <w:szCs w:val="13"/>
                <w:b w:val="1"/>
                <w:bCs w:val="1"/>
                <w:color w:val="auto"/>
              </w:rPr>
              <w:t>(713) 512-6200</w:t>
            </w:r>
          </w:p>
        </w:tc>
      </w:tr>
      <w:tr>
        <w:trPr>
          <w:trHeight w:val="137"/>
        </w:trPr>
        <w:tc>
          <w:tcPr>
            <w:tcW w:w="1980" w:type="dxa"/>
            <w:vAlign w:val="bottom"/>
          </w:tcPr>
          <w:p>
            <w:pPr>
              <w:spacing w:after="0"/>
              <w:rPr>
                <w:sz w:val="11"/>
                <w:szCs w:val="11"/>
                <w:color w:val="auto"/>
              </w:rPr>
            </w:pPr>
          </w:p>
        </w:tc>
        <w:tc>
          <w:tcPr>
            <w:tcW w:w="4800" w:type="dxa"/>
            <w:vAlign w:val="bottom"/>
          </w:tcPr>
          <w:p>
            <w:pPr>
              <w:jc w:val="center"/>
              <w:ind w:right="1112"/>
              <w:spacing w:after="0"/>
              <w:rPr>
                <w:sz w:val="20"/>
                <w:szCs w:val="20"/>
                <w:color w:val="auto"/>
              </w:rPr>
            </w:pPr>
            <w:r>
              <w:rPr>
                <w:rFonts w:ascii="Times New Roman" w:cs="Times New Roman" w:eastAsia="Times New Roman" w:hAnsi="Times New Roman"/>
                <w:sz w:val="10"/>
                <w:szCs w:val="10"/>
                <w:i w:val="1"/>
                <w:iCs w:val="1"/>
                <w:color w:val="auto"/>
              </w:rPr>
              <w:t>(Registrant’s telephone number, including area code)</w:t>
            </w:r>
          </w:p>
        </w:tc>
      </w:tr>
    </w:tbl>
    <w:p>
      <w:pPr>
        <w:spacing w:after="0" w:line="191" w:lineRule="exact"/>
        <w:rPr>
          <w:sz w:val="20"/>
          <w:szCs w:val="20"/>
          <w:color w:val="auto"/>
        </w:rPr>
      </w:pPr>
    </w:p>
    <w:p>
      <w:pPr>
        <w:ind w:right="220" w:firstLine="399"/>
        <w:spacing w:after="0" w:line="17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o</w:t>
      </w:r>
    </w:p>
    <w:p>
      <w:pPr>
        <w:spacing w:after="0" w:line="140" w:lineRule="exact"/>
        <w:rPr>
          <w:sz w:val="20"/>
          <w:szCs w:val="20"/>
          <w:color w:val="auto"/>
        </w:rPr>
      </w:pPr>
    </w:p>
    <w:p>
      <w:pPr>
        <w:ind w:firstLine="399"/>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6" w:lineRule="exact"/>
        <w:rPr>
          <w:sz w:val="20"/>
          <w:szCs w:val="20"/>
          <w:color w:val="auto"/>
        </w:rPr>
      </w:pPr>
    </w:p>
    <w:p>
      <w:pPr>
        <w:ind w:left="3400" w:right="300" w:hanging="4373"/>
        <w:spacing w:after="0" w:line="164" w:lineRule="exact"/>
        <w:tabs>
          <w:tab w:leader="none" w:pos="338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Accelerated filer o Non-accelerated filer o Smaller reporting company o (Do not check if a smaller reporting company)</w:t>
      </w:r>
    </w:p>
    <w:p>
      <w:pPr>
        <w:spacing w:after="0" w:line="154" w:lineRule="exact"/>
        <w:rPr>
          <w:sz w:val="20"/>
          <w:szCs w:val="20"/>
          <w:color w:val="auto"/>
        </w:rPr>
      </w:pPr>
    </w:p>
    <w:p>
      <w:pPr>
        <w:ind w:left="400"/>
        <w:spacing w:after="0" w:line="150" w:lineRule="exact"/>
        <w:tabs>
          <w:tab w:leader="none" w:pos="630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 Yes o</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number of shares of Common Stock, $0.01 par value, of the registrant outstanding at April 23, 2008 was 490,677,993 (excluding treasury shares of 139,604,468).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209550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00"/>
          </w:cols>
          <w:pgMar w:left="900" w:top="591" w:right="1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7000" w:type="dxa"/>
            <w:vAlign w:val="bottom"/>
          </w:tcPr>
          <w:p>
            <w:pPr>
              <w:jc w:val="center"/>
              <w:ind w:left="1314"/>
              <w:spacing w:after="0"/>
              <w:rPr>
                <w:sz w:val="20"/>
                <w:szCs w:val="20"/>
                <w:color w:val="auto"/>
              </w:rPr>
            </w:pPr>
            <w:r>
              <w:rPr>
                <w:rFonts w:ascii="Times New Roman" w:cs="Times New Roman" w:eastAsia="Times New Roman" w:hAnsi="Times New Roman"/>
                <w:sz w:val="13"/>
                <w:szCs w:val="13"/>
                <w:b w:val="1"/>
                <w:bCs w:val="1"/>
                <w:color w:val="auto"/>
                <w:w w:val="97"/>
              </w:rPr>
              <w:t>PART I.</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w:t>
            </w:r>
          </w:p>
        </w:tc>
        <w:tc>
          <w:tcPr>
            <w:tcW w:w="7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800" w:type="dxa"/>
            <w:vAlign w:val="bottom"/>
          </w:tcPr>
          <w:p>
            <w:pPr>
              <w:spacing w:after="0"/>
              <w:rPr>
                <w:sz w:val="24"/>
                <w:szCs w:val="24"/>
                <w:color w:val="auto"/>
              </w:rPr>
            </w:pPr>
          </w:p>
        </w:tc>
        <w:tc>
          <w:tcPr>
            <w:tcW w:w="7000" w:type="dxa"/>
            <w:vAlign w:val="bottom"/>
          </w:tcPr>
          <w:p>
            <w:pPr>
              <w:jc w:val="center"/>
              <w:ind w:left="1334"/>
              <w:spacing w:after="0"/>
              <w:rPr>
                <w:sz w:val="20"/>
                <w:szCs w:val="20"/>
                <w:color w:val="auto"/>
              </w:rPr>
            </w:pPr>
            <w:r>
              <w:rPr>
                <w:rFonts w:ascii="Times New Roman" w:cs="Times New Roman" w:eastAsia="Times New Roman" w:hAnsi="Times New Roman"/>
                <w:sz w:val="13"/>
                <w:szCs w:val="13"/>
                <w:b w:val="1"/>
                <w:bCs w:val="1"/>
                <w:color w:val="auto"/>
                <w:w w:val="98"/>
              </w:rPr>
              <w:t>WASTE MANAGEMENT,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7000" w:type="dxa"/>
            <w:vAlign w:val="bottom"/>
          </w:tcPr>
          <w:p>
            <w:pPr>
              <w:jc w:val="center"/>
              <w:ind w:left="1334"/>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3"/>
        </w:trPr>
        <w:tc>
          <w:tcPr>
            <w:tcW w:w="800" w:type="dxa"/>
            <w:vAlign w:val="bottom"/>
          </w:tcPr>
          <w:p>
            <w:pPr>
              <w:spacing w:after="0"/>
              <w:rPr>
                <w:sz w:val="15"/>
                <w:szCs w:val="15"/>
                <w:color w:val="auto"/>
              </w:rPr>
            </w:pPr>
          </w:p>
        </w:tc>
        <w:tc>
          <w:tcPr>
            <w:tcW w:w="7000" w:type="dxa"/>
            <w:vAlign w:val="bottom"/>
          </w:tcPr>
          <w:p>
            <w:pPr>
              <w:jc w:val="center"/>
              <w:ind w:left="1334"/>
              <w:spacing w:after="0"/>
              <w:rPr>
                <w:sz w:val="20"/>
                <w:szCs w:val="20"/>
                <w:color w:val="auto"/>
              </w:rPr>
            </w:pPr>
            <w:r>
              <w:rPr>
                <w:rFonts w:ascii="Times New Roman" w:cs="Times New Roman" w:eastAsia="Times New Roman" w:hAnsi="Times New Roman"/>
                <w:sz w:val="13"/>
                <w:szCs w:val="13"/>
                <w:b w:val="1"/>
                <w:bCs w:val="1"/>
                <w:color w:val="auto"/>
              </w:rPr>
              <w:t>(In Millions, Except Share and Par Value Amounts)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80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8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0"/>
                <w:szCs w:val="10"/>
                <w:b w:val="1"/>
                <w:bCs w:val="1"/>
                <w:color w:val="auto"/>
                <w:w w:val="99"/>
              </w:rPr>
              <w:t>2008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0"/>
                <w:szCs w:val="10"/>
                <w:b w:val="1"/>
                <w:bCs w:val="1"/>
                <w:color w:val="auto"/>
              </w:rPr>
              <w:t>2007</w:t>
            </w:r>
          </w:p>
        </w:tc>
        <w:tc>
          <w:tcPr>
            <w:tcW w:w="100" w:type="dxa"/>
            <w:vAlign w:val="bottom"/>
          </w:tcPr>
          <w:p>
            <w:pPr>
              <w:spacing w:after="0"/>
              <w:rPr>
                <w:sz w:val="11"/>
                <w:szCs w:val="11"/>
                <w:color w:val="auto"/>
              </w:rPr>
            </w:pPr>
          </w:p>
        </w:tc>
      </w:tr>
      <w:tr>
        <w:trPr>
          <w:trHeight w:val="133"/>
        </w:trPr>
        <w:tc>
          <w:tcPr>
            <w:tcW w:w="8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6"/>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800" w:type="dxa"/>
            <w:vAlign w:val="bottom"/>
            <w:shd w:val="clear" w:color="auto" w:fill="CCEEFF"/>
          </w:tcPr>
          <w:p>
            <w:pPr>
              <w:spacing w:after="0"/>
              <w:rPr>
                <w:sz w:val="14"/>
                <w:szCs w:val="14"/>
                <w:color w:val="auto"/>
              </w:rPr>
            </w:pPr>
          </w:p>
        </w:tc>
        <w:tc>
          <w:tcPr>
            <w:tcW w:w="7000" w:type="dxa"/>
            <w:vAlign w:val="bottom"/>
            <w:shd w:val="clear" w:color="auto" w:fill="CCEEFF"/>
          </w:tcPr>
          <w:p>
            <w:pPr>
              <w:jc w:val="center"/>
              <w:ind w:left="1334"/>
              <w:spacing w:after="0"/>
              <w:rPr>
                <w:sz w:val="20"/>
                <w:szCs w:val="20"/>
                <w:color w:val="auto"/>
              </w:rPr>
            </w:pPr>
            <w:r>
              <w:rPr>
                <w:rFonts w:ascii="Times New Roman" w:cs="Times New Roman" w:eastAsia="Times New Roman" w:hAnsi="Times New Roman"/>
                <w:sz w:val="13"/>
                <w:szCs w:val="13"/>
                <w:b w:val="1"/>
                <w:bCs w:val="1"/>
                <w:color w:val="auto"/>
                <w:w w:val="99"/>
              </w:rPr>
              <w:t>ASSETS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466</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348</w:t>
            </w:r>
          </w:p>
        </w:tc>
      </w:tr>
      <w:tr>
        <w:trPr>
          <w:trHeight w:val="157"/>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Accounts receivable, net of allowance for doubtful accounts of $46 at both dates</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1,605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1,674</w:t>
            </w:r>
          </w:p>
        </w:tc>
      </w:tr>
      <w:tr>
        <w:trPr>
          <w:trHeight w:val="157"/>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receivables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211</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218</w:t>
            </w:r>
          </w:p>
        </w:tc>
      </w:tr>
      <w:tr>
        <w:trPr>
          <w:trHeight w:val="157"/>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Parts and supplies</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103</w:t>
            </w:r>
          </w:p>
        </w:tc>
      </w:tr>
      <w:tr>
        <w:trPr>
          <w:trHeight w:val="157"/>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46</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w:t>
            </w:r>
          </w:p>
        </w:tc>
      </w:tr>
      <w:tr>
        <w:trPr>
          <w:trHeight w:val="157"/>
        </w:trPr>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assets</w:t>
            </w:r>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86</w:t>
            </w: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2,565</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2,480</w:t>
            </w:r>
          </w:p>
        </w:tc>
      </w:tr>
      <w:tr>
        <w:trPr>
          <w:trHeight w:val="157"/>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Property and equipment, net of accumulated depreciation and amortization of $12,976 and $12,844, respectively</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11,297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11,351</w:t>
            </w:r>
          </w:p>
        </w:tc>
      </w:tr>
      <w:tr>
        <w:trPr>
          <w:trHeight w:val="157"/>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7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5,411</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5,406</w:t>
            </w:r>
          </w:p>
        </w:tc>
      </w:tr>
      <w:tr>
        <w:trPr>
          <w:trHeight w:val="157"/>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124</w:t>
            </w:r>
          </w:p>
        </w:tc>
      </w:tr>
      <w:tr>
        <w:trPr>
          <w:trHeight w:val="157"/>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7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786</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814</w:t>
            </w:r>
          </w:p>
        </w:tc>
      </w:tr>
      <w:tr>
        <w:trPr>
          <w:trHeight w:val="166"/>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20,184</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20,175</w:t>
            </w:r>
          </w:p>
        </w:tc>
        <w:tc>
          <w:tcPr>
            <w:tcW w:w="100" w:type="dxa"/>
            <w:vAlign w:val="bottom"/>
          </w:tcPr>
          <w:p>
            <w:pPr>
              <w:spacing w:after="0"/>
              <w:rPr>
                <w:sz w:val="14"/>
                <w:szCs w:val="14"/>
                <w:color w:val="auto"/>
              </w:rPr>
            </w:pPr>
          </w:p>
        </w:tc>
      </w:tr>
      <w:tr>
        <w:trPr>
          <w:trHeight w:val="128"/>
        </w:trPr>
        <w:tc>
          <w:tcPr>
            <w:tcW w:w="8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7"/>
        </w:trPr>
        <w:tc>
          <w:tcPr>
            <w:tcW w:w="800" w:type="dxa"/>
            <w:vAlign w:val="bottom"/>
            <w:shd w:val="clear" w:color="auto" w:fill="CCEEFF"/>
          </w:tcPr>
          <w:p>
            <w:pPr>
              <w:spacing w:after="0"/>
              <w:rPr>
                <w:sz w:val="13"/>
                <w:szCs w:val="13"/>
                <w:color w:val="auto"/>
              </w:rPr>
            </w:pPr>
          </w:p>
        </w:tc>
        <w:tc>
          <w:tcPr>
            <w:tcW w:w="7000" w:type="dxa"/>
            <w:vAlign w:val="bottom"/>
            <w:shd w:val="clear" w:color="auto" w:fill="CCEEFF"/>
          </w:tcPr>
          <w:p>
            <w:pPr>
              <w:jc w:val="center"/>
              <w:ind w:left="1334"/>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525</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656</w:t>
            </w:r>
          </w:p>
        </w:tc>
      </w:tr>
      <w:tr>
        <w:trPr>
          <w:trHeight w:val="157"/>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Accrued liabilities</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1,126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1,151</w:t>
            </w:r>
          </w:p>
        </w:tc>
      </w:tr>
      <w:tr>
        <w:trPr>
          <w:trHeight w:val="157"/>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revenues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453</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462</w:t>
            </w:r>
          </w:p>
        </w:tc>
      </w:tr>
      <w:tr>
        <w:trPr>
          <w:trHeight w:val="157"/>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329</w:t>
            </w: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2,598</w:t>
            </w:r>
          </w:p>
        </w:tc>
      </w:tr>
      <w:tr>
        <w:trPr>
          <w:trHeight w:val="157"/>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Long-term debt, less current portion</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8,229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8,008</w:t>
            </w:r>
          </w:p>
        </w:tc>
      </w:tr>
      <w:tr>
        <w:trPr>
          <w:trHeight w:val="157"/>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1,422</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1,411</w:t>
            </w:r>
          </w:p>
        </w:tc>
      </w:tr>
      <w:tr>
        <w:trPr>
          <w:trHeight w:val="157"/>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Landfill and environmental remediation liabilities</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1,324</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1,312</w:t>
            </w:r>
          </w:p>
        </w:tc>
      </w:tr>
      <w:tr>
        <w:trPr>
          <w:trHeight w:val="157"/>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697</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744</w:t>
            </w:r>
          </w:p>
        </w:tc>
      </w:tr>
      <w:tr>
        <w:trPr>
          <w:trHeight w:val="157"/>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14,266</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14,073</w:t>
            </w:r>
          </w:p>
        </w:tc>
        <w:tc>
          <w:tcPr>
            <w:tcW w:w="100" w:type="dxa"/>
            <w:vAlign w:val="bottom"/>
          </w:tcPr>
          <w:p>
            <w:pPr>
              <w:spacing w:after="0"/>
              <w:rPr>
                <w:sz w:val="13"/>
                <w:szCs w:val="13"/>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Minority interest in subsidiaries and variable interest entities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307</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310</w:t>
            </w:r>
          </w:p>
        </w:tc>
      </w:tr>
      <w:tr>
        <w:trPr>
          <w:trHeight w:val="157"/>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Common stock, $0.01 par value; 1,500,000,000 shares authorized; 630,282,461 shares issued</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w:t>
            </w:r>
          </w:p>
        </w:tc>
      </w:tr>
      <w:tr>
        <w:trPr>
          <w:trHeight w:val="157"/>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4,527</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4,542</w:t>
            </w:r>
          </w:p>
        </w:tc>
      </w:tr>
      <w:tr>
        <w:trPr>
          <w:trHeight w:val="157"/>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5,187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5,080</w:t>
            </w:r>
          </w:p>
        </w:tc>
      </w:tr>
      <w:tr>
        <w:trPr>
          <w:trHeight w:val="157"/>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207</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229</w:t>
            </w:r>
          </w:p>
        </w:tc>
      </w:tr>
      <w:tr>
        <w:trPr>
          <w:trHeight w:val="157"/>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Treasury stock at cost, 137,892,025 and 130,163,692 shares, respectively</w:t>
            </w:r>
          </w:p>
        </w:tc>
        <w:tc>
          <w:tcPr>
            <w:tcW w:w="100" w:type="dxa"/>
            <w:vAlign w:val="bottom"/>
          </w:tcPr>
          <w:p>
            <w:pPr>
              <w:spacing w:after="0"/>
              <w:rPr>
                <w:sz w:val="13"/>
                <w:szCs w:val="13"/>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(4,316)</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(4,065)</w:t>
            </w: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5,792</w:t>
            </w:r>
          </w:p>
        </w:tc>
      </w:tr>
      <w:tr>
        <w:trPr>
          <w:trHeight w:val="166"/>
        </w:trPr>
        <w:tc>
          <w:tcPr>
            <w:tcW w:w="7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20,184</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20,175</w:t>
            </w:r>
          </w:p>
        </w:tc>
        <w:tc>
          <w:tcPr>
            <w:tcW w:w="100" w:type="dxa"/>
            <w:vAlign w:val="bottom"/>
          </w:tcPr>
          <w:p>
            <w:pPr>
              <w:spacing w:after="0"/>
              <w:rPr>
                <w:sz w:val="14"/>
                <w:szCs w:val="14"/>
                <w:color w:val="auto"/>
              </w:rPr>
            </w:pPr>
          </w:p>
        </w:tc>
      </w:tr>
    </w:tbl>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sectPr>
      </w:pPr>
    </w:p>
    <w:bookmarkStart w:id="3" w:name="page4"/>
    <w:bookmarkEnd w:id="3"/>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1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6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2008</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5"/>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3,266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5"/>
              </w:rPr>
              <w:t>3,188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2,092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5"/>
              </w:rPr>
              <w:t>2,034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Restructuring</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expense from divestitures, asset impairments and unusual items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2,755</w:t>
            </w: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2,707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511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net losses of unconsolidated entities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Minority interest</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net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(150)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385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238</w:t>
            </w:r>
          </w:p>
        </w:tc>
        <w:tc>
          <w:tcPr>
            <w:tcW w:w="800" w:type="dxa"/>
            <w:vAlign w:val="bottom"/>
          </w:tcPr>
          <w:p>
            <w:pPr>
              <w:spacing w:after="0"/>
              <w:rPr>
                <w:sz w:val="14"/>
                <w:szCs w:val="14"/>
                <w:color w:val="auto"/>
              </w:rPr>
            </w:pPr>
          </w:p>
        </w:tc>
      </w:tr>
      <w:tr>
        <w:trPr>
          <w:trHeight w:val="182"/>
        </w:trPr>
        <w:tc>
          <w:tcPr>
            <w:tcW w:w="680" w:type="dxa"/>
            <w:vAlign w:val="bottom"/>
          </w:tcPr>
          <w:p>
            <w:pPr>
              <w:spacing w:after="0"/>
              <w:rPr>
                <w:sz w:val="15"/>
                <w:szCs w:val="15"/>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Basic earnings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0.49</w:t>
            </w:r>
          </w:p>
        </w:tc>
        <w:tc>
          <w:tcPr>
            <w:tcW w:w="4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2"/>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0.48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0.45</w:t>
            </w:r>
          </w:p>
        </w:tc>
        <w:tc>
          <w:tcPr>
            <w:tcW w:w="800" w:type="dxa"/>
            <w:vAlign w:val="bottom"/>
          </w:tcPr>
          <w:p>
            <w:pPr>
              <w:spacing w:after="0"/>
              <w:rPr>
                <w:sz w:val="14"/>
                <w:szCs w:val="14"/>
                <w:color w:val="auto"/>
              </w:rPr>
            </w:pPr>
          </w:p>
        </w:tc>
      </w:tr>
      <w:tr>
        <w:trPr>
          <w:trHeight w:val="177"/>
        </w:trPr>
        <w:tc>
          <w:tcPr>
            <w:tcW w:w="680" w:type="dxa"/>
            <w:vAlign w:val="bottom"/>
          </w:tcPr>
          <w:p>
            <w:pPr>
              <w:spacing w:after="0"/>
              <w:rPr>
                <w:sz w:val="15"/>
                <w:szCs w:val="15"/>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4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7"/>
        </w:trPr>
        <w:tc>
          <w:tcPr>
            <w:tcW w:w="680" w:type="dxa"/>
            <w:vAlign w:val="bottom"/>
          </w:tcPr>
          <w:p>
            <w:pPr>
              <w:spacing w:after="0"/>
              <w:rPr>
                <w:sz w:val="18"/>
                <w:szCs w:val="18"/>
                <w:color w:val="auto"/>
              </w:rPr>
            </w:pPr>
          </w:p>
        </w:tc>
        <w:tc>
          <w:tcPr>
            <w:tcW w:w="8700" w:type="dxa"/>
            <w:vAlign w:val="bottom"/>
          </w:tcPr>
          <w:p>
            <w:pPr>
              <w:ind w:left="3340"/>
              <w:spacing w:after="0"/>
              <w:rPr>
                <w:sz w:val="20"/>
                <w:szCs w:val="20"/>
                <w:color w:val="auto"/>
              </w:rPr>
            </w:pPr>
            <w:r>
              <w:rPr>
                <w:rFonts w:ascii="Times New Roman" w:cs="Times New Roman" w:eastAsia="Times New Roman" w:hAnsi="Times New Roman"/>
                <w:sz w:val="13"/>
                <w:szCs w:val="13"/>
                <w:color w:val="auto"/>
              </w:rPr>
              <w:t>See notes to the Condensed Consolidated Financial Statements.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52"/>
        </w:trPr>
        <w:tc>
          <w:tcPr>
            <w:tcW w:w="680" w:type="dxa"/>
            <w:vAlign w:val="bottom"/>
          </w:tcPr>
          <w:p>
            <w:pPr>
              <w:spacing w:after="0"/>
              <w:rPr>
                <w:sz w:val="24"/>
                <w:szCs w:val="24"/>
                <w:color w:val="auto"/>
              </w:rPr>
            </w:pPr>
          </w:p>
        </w:tc>
        <w:tc>
          <w:tcPr>
            <w:tcW w:w="8700" w:type="dxa"/>
            <w:vAlign w:val="bottom"/>
          </w:tcPr>
          <w:p>
            <w:pPr>
              <w:ind w:left="496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8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6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2008</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5"/>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2007</w:t>
            </w:r>
          </w:p>
        </w:tc>
        <w:tc>
          <w:tcPr>
            <w:tcW w:w="100" w:type="dxa"/>
            <w:vAlign w:val="bottom"/>
          </w:tcPr>
          <w:p>
            <w:pPr>
              <w:spacing w:after="0"/>
              <w:rPr>
                <w:sz w:val="8"/>
                <w:szCs w:val="8"/>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238</w:t>
            </w:r>
          </w:p>
        </w:tc>
      </w:tr>
      <w:tr>
        <w:trPr>
          <w:trHeight w:val="15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bad debts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310</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income tax provision</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w:t>
            </w:r>
          </w:p>
        </w:tc>
      </w:tr>
      <w:tr>
        <w:trPr>
          <w:trHeight w:val="157"/>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Minority interest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net losses of unconsolidated entities, net of distributions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w:t>
            </w:r>
          </w:p>
        </w:tc>
      </w:tr>
      <w:tr>
        <w:trPr>
          <w:trHeight w:val="157"/>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gain on disposal of assets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Effect of (income) expense from divestitures, asset impairments and unusual items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r>
      <w:tr>
        <w:trPr>
          <w:trHeight w:val="157"/>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Excess tax benefits associated with equity-based transactions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operating assets and liabilities, net of effects of acquisitions and divestitures: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Receivables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w:t>
            </w:r>
          </w:p>
        </w:tc>
      </w:tr>
      <w:tr>
        <w:trPr>
          <w:trHeight w:val="157"/>
        </w:trPr>
        <w:tc>
          <w:tcPr>
            <w:tcW w:w="8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current assets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w:t>
            </w:r>
          </w:p>
        </w:tc>
      </w:tr>
      <w:tr>
        <w:trPr>
          <w:trHeight w:val="157"/>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assets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w:t>
            </w:r>
          </w:p>
        </w:tc>
      </w:tr>
      <w:tr>
        <w:trPr>
          <w:trHeight w:val="157"/>
        </w:trPr>
        <w:tc>
          <w:tcPr>
            <w:tcW w:w="8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w:t>
            </w:r>
          </w:p>
        </w:tc>
      </w:tr>
      <w:tr>
        <w:trPr>
          <w:trHeight w:val="157"/>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Deferred revenues and other liabilities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r>
      <w:tr>
        <w:trPr>
          <w:trHeight w:val="157"/>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00" w:type="dxa"/>
            <w:vAlign w:val="bottom"/>
          </w:tcPr>
          <w:p>
            <w:pPr>
              <w:spacing w:after="0"/>
              <w:rPr>
                <w:sz w:val="13"/>
                <w:szCs w:val="13"/>
                <w:color w:val="auto"/>
              </w:rPr>
            </w:pPr>
          </w:p>
        </w:tc>
      </w:tr>
      <w:tr>
        <w:trPr>
          <w:trHeight w:val="15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Acquisitions of businesses, net of cash acquired</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(272)</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divestitures of businesses (net of cash divested) and other sales of assets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69</w:t>
            </w:r>
          </w:p>
        </w:tc>
      </w:tr>
      <w:tr>
        <w:trPr>
          <w:trHeight w:val="157"/>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of short-term investments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(525)</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sales of short-term investments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663</w:t>
            </w:r>
          </w:p>
        </w:tc>
      </w:tr>
      <w:tr>
        <w:trPr>
          <w:trHeight w:val="157"/>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receipts from restricted trust and escrow accounts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w:t>
            </w:r>
          </w:p>
        </w:tc>
      </w:tr>
      <w:tr>
        <w:trPr>
          <w:trHeight w:val="157"/>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New borrowings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134</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repayments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(544)</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(242)</w:t>
            </w:r>
          </w:p>
        </w:tc>
      </w:tr>
      <w:tr>
        <w:trPr>
          <w:trHeight w:val="157"/>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(281)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(487)</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dividends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(126)</w:t>
            </w:r>
          </w:p>
        </w:tc>
      </w:tr>
      <w:tr>
        <w:trPr>
          <w:trHeight w:val="157"/>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 of common stock options and warrants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Excess tax benefits associated with equity-based transactions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w:t>
            </w:r>
          </w:p>
        </w:tc>
      </w:tr>
      <w:tr>
        <w:trPr>
          <w:trHeight w:val="157"/>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Minority interest distributions paid</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(645)</w:t>
            </w:r>
          </w:p>
        </w:tc>
      </w:tr>
      <w:tr>
        <w:trPr>
          <w:trHeight w:val="157"/>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r>
      <w:tr>
        <w:trPr>
          <w:trHeight w:val="15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(decrease) in cash and cash equivalents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(143)</w:t>
            </w:r>
          </w:p>
        </w:tc>
      </w:tr>
      <w:tr>
        <w:trPr>
          <w:trHeight w:val="157"/>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348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614</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466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471</w:t>
            </w:r>
          </w:p>
        </w:tc>
      </w:tr>
      <w:tr>
        <w:trPr>
          <w:trHeight w:val="29"/>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STATEMENT OF STOCKHOLDERS’ EQUITY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Millions, Except Shares in Thousands)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0"/>
                <w:szCs w:val="10"/>
                <w:b w:val="1"/>
                <w:bCs w:val="1"/>
                <w:color w:val="auto"/>
              </w:rPr>
              <w:t>Other</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500" w:type="dxa"/>
            <w:vAlign w:val="bottom"/>
          </w:tcPr>
          <w:p>
            <w:pPr>
              <w:spacing w:after="0"/>
              <w:rPr>
                <w:sz w:val="10"/>
                <w:szCs w:val="10"/>
                <w:color w:val="auto"/>
              </w:rPr>
            </w:pPr>
          </w:p>
        </w:tc>
        <w:tc>
          <w:tcPr>
            <w:tcW w:w="1060" w:type="dxa"/>
            <w:vAlign w:val="bottom"/>
            <w:gridSpan w:val="3"/>
            <w:vMerge w:val="restart"/>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138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0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13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500" w:type="dxa"/>
            <w:vAlign w:val="bottom"/>
          </w:tcPr>
          <w:p>
            <w:pPr>
              <w:spacing w:after="0"/>
              <w:rPr>
                <w:sz w:val="8"/>
                <w:szCs w:val="8"/>
                <w:color w:val="auto"/>
              </w:rPr>
            </w:pPr>
          </w:p>
        </w:tc>
        <w:tc>
          <w:tcPr>
            <w:tcW w:w="740" w:type="dxa"/>
            <w:vAlign w:val="bottom"/>
            <w:tcBorders>
              <w:top w:val="single" w:sz="8" w:color="auto"/>
            </w:tcBorders>
            <w:gridSpan w:val="2"/>
          </w:tcPr>
          <w:p>
            <w:pPr>
              <w:jc w:val="right"/>
              <w:ind w:right="320"/>
              <w:spacing w:after="0" w:line="98" w:lineRule="exact"/>
              <w:rPr>
                <w:sz w:val="20"/>
                <w:szCs w:val="20"/>
                <w:color w:val="auto"/>
              </w:rPr>
            </w:pPr>
            <w:r>
              <w:rPr>
                <w:rFonts w:ascii="Times New Roman" w:cs="Times New Roman" w:eastAsia="Times New Roman" w:hAnsi="Times New Roman"/>
                <w:sz w:val="10"/>
                <w:szCs w:val="10"/>
                <w:b w:val="1"/>
                <w:bCs w:val="1"/>
                <w:color w:val="auto"/>
              </w:rPr>
              <w:t>Shares</w:t>
            </w:r>
          </w:p>
        </w:tc>
        <w:tc>
          <w:tcPr>
            <w:tcW w:w="500" w:type="dxa"/>
            <w:vAlign w:val="bottom"/>
            <w:tcBorders>
              <w:top w:val="single" w:sz="8" w:color="auto"/>
            </w:tcBorders>
            <w:gridSpan w:val="2"/>
          </w:tcPr>
          <w:p>
            <w:pPr>
              <w:ind w:left="40"/>
              <w:spacing w:after="0" w:line="98" w:lineRule="exact"/>
              <w:rPr>
                <w:sz w:val="20"/>
                <w:szCs w:val="20"/>
                <w:color w:val="auto"/>
              </w:rPr>
            </w:pPr>
            <w:r>
              <w:rPr>
                <w:rFonts w:ascii="Times New Roman" w:cs="Times New Roman" w:eastAsia="Times New Roman" w:hAnsi="Times New Roman"/>
                <w:sz w:val="10"/>
                <w:szCs w:val="10"/>
                <w:b w:val="1"/>
                <w:bCs w:val="1"/>
                <w:color w:val="auto"/>
              </w:rPr>
              <w:t>Amounts</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320"/>
              <w:spacing w:after="0" w:line="98" w:lineRule="exact"/>
              <w:rPr>
                <w:sz w:val="20"/>
                <w:szCs w:val="20"/>
                <w:color w:val="auto"/>
              </w:rPr>
            </w:pPr>
            <w:r>
              <w:rPr>
                <w:rFonts w:ascii="Times New Roman" w:cs="Times New Roman" w:eastAsia="Times New Roman" w:hAnsi="Times New Roman"/>
                <w:sz w:val="10"/>
                <w:szCs w:val="10"/>
                <w:b w:val="1"/>
                <w:bCs w:val="1"/>
                <w:color w:val="auto"/>
              </w:rPr>
              <w:t>Capital</w:t>
            </w:r>
          </w:p>
        </w:tc>
        <w:tc>
          <w:tcPr>
            <w:tcW w:w="700" w:type="dxa"/>
            <w:vAlign w:val="bottom"/>
            <w:gridSpan w:val="3"/>
          </w:tcPr>
          <w:p>
            <w:pPr>
              <w:jc w:val="right"/>
              <w:ind w:right="240"/>
              <w:spacing w:after="0" w:line="98"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00" w:type="dxa"/>
            <w:vAlign w:val="bottom"/>
          </w:tcPr>
          <w:p>
            <w:pPr>
              <w:spacing w:after="0"/>
              <w:rPr>
                <w:sz w:val="8"/>
                <w:szCs w:val="8"/>
                <w:color w:val="auto"/>
              </w:rPr>
            </w:pPr>
          </w:p>
        </w:tc>
        <w:tc>
          <w:tcPr>
            <w:tcW w:w="1080" w:type="dxa"/>
            <w:vAlign w:val="bottom"/>
            <w:gridSpan w:val="2"/>
          </w:tcPr>
          <w:p>
            <w:pPr>
              <w:jc w:val="center"/>
              <w:ind w:right="280"/>
              <w:spacing w:after="0" w:line="98" w:lineRule="exact"/>
              <w:rPr>
                <w:sz w:val="20"/>
                <w:szCs w:val="20"/>
                <w:color w:val="auto"/>
              </w:rPr>
            </w:pPr>
            <w:r>
              <w:rPr>
                <w:rFonts w:ascii="Times New Roman" w:cs="Times New Roman" w:eastAsia="Times New Roman" w:hAnsi="Times New Roman"/>
                <w:sz w:val="10"/>
                <w:szCs w:val="10"/>
                <w:b w:val="1"/>
                <w:bCs w:val="1"/>
                <w:color w:val="auto"/>
              </w:rPr>
              <w:t>(Loss)</w:t>
            </w:r>
          </w:p>
        </w:tc>
        <w:tc>
          <w:tcPr>
            <w:tcW w:w="800" w:type="dxa"/>
            <w:vAlign w:val="bottom"/>
            <w:tcBorders>
              <w:top w:val="single" w:sz="8" w:color="auto"/>
            </w:tcBorders>
            <w:gridSpan w:val="2"/>
          </w:tcPr>
          <w:p>
            <w:pPr>
              <w:jc w:val="right"/>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Shares</w:t>
            </w:r>
          </w:p>
        </w:tc>
        <w:tc>
          <w:tcPr>
            <w:tcW w:w="480" w:type="dxa"/>
            <w:vAlign w:val="bottom"/>
            <w:tcBorders>
              <w:top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Amounts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December 31, 2006</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630,282</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4,513</w:t>
            </w:r>
          </w:p>
        </w:tc>
        <w:tc>
          <w:tcPr>
            <w:tcW w:w="1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4,410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(96,599)</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(2,836)</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1,163</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dividends declared</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(495)</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Equity-based compensation transactions, including dividend equivalents, net of taxes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6,067</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182</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 repurchases</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(39,946)</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(1,421)</w:t>
            </w:r>
          </w:p>
        </w:tc>
        <w:tc>
          <w:tcPr>
            <w:tcW w:w="0" w:type="dxa"/>
            <w:vAlign w:val="bottom"/>
          </w:tcPr>
          <w:p>
            <w:pPr>
              <w:spacing w:after="0"/>
              <w:rPr>
                <w:sz w:val="1"/>
                <w:szCs w:val="1"/>
                <w:color w:val="auto"/>
              </w:rPr>
            </w:pPr>
          </w:p>
        </w:tc>
      </w:tr>
      <w:tr>
        <w:trPr>
          <w:trHeight w:val="138"/>
        </w:trPr>
        <w:tc>
          <w:tcPr>
            <w:tcW w:w="4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loss resulting from changes in fair values of derivative instruments, net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taxes of $22</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(34)</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Realized losses on derivative instruments reclassified into earnings, net of taxes of $30</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47</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losses on marketable securities, net of taxes of $3</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Translation adjustment of foreign currency statements</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89</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funded status of defined benefit plan liabilities, net of taxes of $3</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Cumulative effect of change in accounting principle</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314</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December 31, 2007</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630,282</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4,542</w:t>
            </w:r>
          </w:p>
        </w:tc>
        <w:tc>
          <w:tcPr>
            <w:tcW w:w="1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5,080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(130,164)</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(4,065)</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241</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dividends declared</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Equity-based compensation transactions, net of taxes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(15)</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1,337</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 repurchases</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(9,068)</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(293)</w:t>
            </w:r>
          </w:p>
        </w:tc>
        <w:tc>
          <w:tcPr>
            <w:tcW w:w="0" w:type="dxa"/>
            <w:vAlign w:val="bottom"/>
          </w:tcPr>
          <w:p>
            <w:pPr>
              <w:spacing w:after="0"/>
              <w:rPr>
                <w:sz w:val="1"/>
                <w:szCs w:val="1"/>
                <w:color w:val="auto"/>
              </w:rPr>
            </w:pPr>
          </w:p>
        </w:tc>
      </w:tr>
      <w:tr>
        <w:trPr>
          <w:trHeight w:val="138"/>
        </w:trPr>
        <w:tc>
          <w:tcPr>
            <w:tcW w:w="4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gains resulting from changes in fair values of derivative instruments, net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taxes of $4</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Realized gains on derivative instruments reclassified into earnings, net of taxes of $3</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losses on marketable securities, net of taxes of $1</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Translation adjustment of foreign currency statements</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(22)</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March 31, 2008</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630,282</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4,527</w:t>
            </w:r>
          </w:p>
        </w:tc>
        <w:tc>
          <w:tcPr>
            <w:tcW w:w="1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5,187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(137,892)</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(4,316)</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sectPr>
      </w:pPr>
    </w:p>
    <w:bookmarkStart w:id="6" w:name="page7"/>
    <w:bookmarkEnd w:id="6"/>
    <w:p>
      <w:pPr>
        <w:ind w:left="4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59" w:lineRule="exact"/>
        <w:rPr>
          <w:sz w:val="20"/>
          <w:szCs w:val="20"/>
          <w:color w:val="auto"/>
        </w:rPr>
      </w:pPr>
    </w:p>
    <w:p>
      <w:pPr>
        <w:ind w:left="320" w:hanging="313"/>
        <w:spacing w:after="0"/>
        <w:tabs>
          <w:tab w:leader="none" w:pos="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Basis of Presentation</w:t>
      </w:r>
    </w:p>
    <w:p>
      <w:pPr>
        <w:spacing w:after="0" w:line="98" w:lineRule="exact"/>
        <w:rPr>
          <w:sz w:val="20"/>
          <w:szCs w:val="20"/>
          <w:color w:val="auto"/>
        </w:rPr>
      </w:pPr>
    </w:p>
    <w:p>
      <w:pPr>
        <w:ind w:firstLine="399"/>
        <w:spacing w:after="0" w:line="263" w:lineRule="auto"/>
        <w:rPr>
          <w:sz w:val="20"/>
          <w:szCs w:val="20"/>
          <w:color w:val="auto"/>
        </w:rPr>
      </w:pPr>
      <w:r>
        <w:rPr>
          <w:rFonts w:ascii="Times New Roman" w:cs="Times New Roman" w:eastAsia="Times New Roman" w:hAnsi="Times New Roman"/>
          <w:sz w:val="13"/>
          <w:szCs w:val="13"/>
          <w:color w:val="auto"/>
        </w:rPr>
        <w:t>The Condensed Consolidated Financial Statements presented in this report include the accounts of Waste Management, Inc., a Delaware corporation, our wholly-owned and majority-owned subsidiaries and certain variable interest entities for which we have determined that we are the primary beneficiary. Waste Management, Inc. is a holding company and all operations are conducted by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62" w:lineRule="exact"/>
        <w:rPr>
          <w:sz w:val="20"/>
          <w:szCs w:val="20"/>
          <w:color w:val="auto"/>
        </w:rPr>
      </w:pPr>
    </w:p>
    <w:p>
      <w:pPr>
        <w:ind w:right="120" w:firstLine="399"/>
        <w:spacing w:after="0" w:line="263" w:lineRule="auto"/>
        <w:rPr>
          <w:sz w:val="20"/>
          <w:szCs w:val="20"/>
          <w:color w:val="auto"/>
        </w:rPr>
      </w:pPr>
      <w:r>
        <w:rPr>
          <w:rFonts w:ascii="Times New Roman" w:cs="Times New Roman" w:eastAsia="Times New Roman" w:hAnsi="Times New Roman"/>
          <w:sz w:val="13"/>
          <w:szCs w:val="13"/>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 For detail on the financial position, results of operations and cash flows of WMI, WM Holdings and their subsidiaries, see Note 12.</w:t>
      </w:r>
    </w:p>
    <w:p>
      <w:pPr>
        <w:spacing w:after="0" w:line="62" w:lineRule="exact"/>
        <w:rPr>
          <w:sz w:val="20"/>
          <w:szCs w:val="20"/>
          <w:color w:val="auto"/>
        </w:rPr>
      </w:pPr>
    </w:p>
    <w:p>
      <w:pPr>
        <w:ind w:right="140" w:firstLine="399"/>
        <w:spacing w:after="0" w:line="263" w:lineRule="auto"/>
        <w:rPr>
          <w:sz w:val="20"/>
          <w:szCs w:val="20"/>
          <w:color w:val="auto"/>
        </w:rPr>
      </w:pPr>
      <w:r>
        <w:rPr>
          <w:rFonts w:ascii="Times New Roman" w:cs="Times New Roman" w:eastAsia="Times New Roman" w:hAnsi="Times New Roman"/>
          <w:sz w:val="13"/>
          <w:szCs w:val="13"/>
          <w:color w:val="auto"/>
        </w:rPr>
        <w:t>We manage and evaluate our principal operations through six operating Groups, of which four are organized by geographic area and two are organized by function. The geographic Groups include our Eastern, Midwest, Southern and Western Groups, and the two functional Groups are our Wheelabrator Group, which provides waste-to-energy services, and our WM Recycle America, or WMRA, Group. We also provide additional waste management services that are not managed through our six Groups, which are presented in this report as “Other.” Refer to Note 9 for additional information related to our segments.</w:t>
      </w:r>
    </w:p>
    <w:p>
      <w:pPr>
        <w:spacing w:after="0" w:line="62" w:lineRule="exact"/>
        <w:rPr>
          <w:sz w:val="20"/>
          <w:szCs w:val="20"/>
          <w:color w:val="auto"/>
        </w:rPr>
      </w:pPr>
    </w:p>
    <w:p>
      <w:pPr>
        <w:ind w:right="180" w:firstLine="399"/>
        <w:spacing w:after="0" w:line="263" w:lineRule="auto"/>
        <w:rPr>
          <w:sz w:val="20"/>
          <w:szCs w:val="20"/>
          <w:color w:val="auto"/>
        </w:rPr>
      </w:pPr>
      <w:r>
        <w:rPr>
          <w:rFonts w:ascii="Times New Roman" w:cs="Times New Roman" w:eastAsia="Times New Roman" w:hAnsi="Times New Roman"/>
          <w:sz w:val="13"/>
          <w:szCs w:val="13"/>
          <w:color w:val="auto"/>
        </w:rPr>
        <w:t>The Condensed Consolidated Financial Statements as of and for the three months ended March 31, 2008 and 2007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2007.</w:t>
      </w:r>
    </w:p>
    <w:p>
      <w:pPr>
        <w:spacing w:after="0" w:line="62" w:lineRule="exact"/>
        <w:rPr>
          <w:sz w:val="20"/>
          <w:szCs w:val="20"/>
          <w:color w:val="auto"/>
        </w:rPr>
      </w:pPr>
    </w:p>
    <w:p>
      <w:pPr>
        <w:ind w:firstLine="399"/>
        <w:spacing w:after="0" w:line="259" w:lineRule="auto"/>
        <w:rPr>
          <w:sz w:val="20"/>
          <w:szCs w:val="20"/>
          <w:color w:val="auto"/>
        </w:rPr>
      </w:pPr>
      <w:r>
        <w:rPr>
          <w:rFonts w:ascii="Times New Roman" w:cs="Times New Roman" w:eastAsia="Times New Roman" w:hAnsi="Times New Roman"/>
          <w:sz w:val="13"/>
          <w:szCs w:val="13"/>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Actual results could differ materially from the estimates and assumptions that we use in the preparation of our financial statements.</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4" w:right="10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4" w:lineRule="exact"/>
        <w:rPr>
          <w:sz w:val="20"/>
          <w:szCs w:val="20"/>
          <w:color w:val="auto"/>
        </w:rPr>
      </w:pPr>
    </w:p>
    <w:p>
      <w:pPr>
        <w:ind w:right="4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Accounting Change </w:t>
      </w:r>
      <w:r>
        <w:rPr>
          <w:rFonts w:ascii="Times New Roman" w:cs="Times New Roman" w:eastAsia="Times New Roman" w:hAnsi="Times New Roman"/>
          <w:sz w:val="13"/>
          <w:szCs w:val="13"/>
          <w:color w:val="auto"/>
        </w:rPr>
        <w:t>— In September 2006, the Financial Accounting Standards Board issued SFAS No. 157,</w:t>
      </w:r>
      <w:r>
        <w:rPr>
          <w:rFonts w:ascii="Times New Roman" w:cs="Times New Roman" w:eastAsia="Times New Roman" w:hAnsi="Times New Roman"/>
          <w:sz w:val="13"/>
          <w:szCs w:val="13"/>
          <w:i w:val="1"/>
          <w:iCs w:val="1"/>
          <w:color w:val="auto"/>
        </w:rPr>
        <w:t xml:space="preserve"> Fair Value Measurements, </w:t>
      </w:r>
      <w:r>
        <w:rPr>
          <w:rFonts w:ascii="Times New Roman" w:cs="Times New Roman" w:eastAsia="Times New Roman" w:hAnsi="Times New Roman"/>
          <w:sz w:val="13"/>
          <w:szCs w:val="13"/>
          <w:color w:val="auto"/>
        </w:rPr>
        <w:t>which defines fair value, establishes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framework for measuring fair value, and expands disclosures about fair value measurements. Effective January 1, 2008, we adopted SFAS No. 157 for assets and liabilities recognized at fair value on a recurring basis. Our adoption of SFAS No. 157 resulted in the recognition of a $6 million charge to operating expenses and a corresponding $3 million credit to minority interest expense for the re-measurement of the fair value of environmental remediation recovery assets accounted for in accordance with Statement of Position No. 96-1, </w:t>
      </w:r>
      <w:r>
        <w:rPr>
          <w:rFonts w:ascii="Times New Roman" w:cs="Times New Roman" w:eastAsia="Times New Roman" w:hAnsi="Times New Roman"/>
          <w:sz w:val="13"/>
          <w:szCs w:val="13"/>
          <w:i w:val="1"/>
          <w:iCs w:val="1"/>
          <w:color w:val="auto"/>
        </w:rPr>
        <w:t>Environmental Remediation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Liabilities. </w:t>
      </w:r>
      <w:r>
        <w:rPr>
          <w:rFonts w:ascii="Times New Roman" w:cs="Times New Roman" w:eastAsia="Times New Roman" w:hAnsi="Times New Roman"/>
          <w:sz w:val="13"/>
          <w:szCs w:val="13"/>
          <w:color w:val="auto"/>
        </w:rPr>
        <w:t>The adoption of SFAS No. 157 did not materially affect our consolidated financial position, results of operations or cash flows. Refer to Note 11 for information about our fair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value measurements.</w:t>
      </w:r>
    </w:p>
    <w:p>
      <w:pPr>
        <w:spacing w:after="0" w:line="143" w:lineRule="exact"/>
        <w:rPr>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Landfill and Environmental Remediation Liabilities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Liabilities for landfill and environmental remediation costs are presented in the table below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March 31, 2008</w:t>
            </w: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December 31, 2007</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4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w w:val="98"/>
              </w:rPr>
              <w:t>Landfill</w:t>
            </w:r>
          </w:p>
        </w:tc>
        <w:tc>
          <w:tcPr>
            <w:tcW w:w="90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b w:val="1"/>
                <w:bCs w:val="1"/>
                <w:color w:val="auto"/>
              </w:rPr>
              <w:t>Environmental</w:t>
            </w: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0" w:type="dxa"/>
            <w:vAlign w:val="bottom"/>
          </w:tcPr>
          <w:p>
            <w:pPr>
              <w:spacing w:after="0"/>
              <w:rPr>
                <w:sz w:val="6"/>
                <w:szCs w:val="6"/>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8"/>
              </w:rPr>
              <w:t>Landfill</w:t>
            </w:r>
          </w:p>
        </w:tc>
        <w:tc>
          <w:tcPr>
            <w:tcW w:w="100" w:type="dxa"/>
            <w:vAlign w:val="bottom"/>
          </w:tcPr>
          <w:p>
            <w:pPr>
              <w:spacing w:after="0"/>
              <w:rPr>
                <w:sz w:val="6"/>
                <w:szCs w:val="6"/>
                <w:color w:val="auto"/>
              </w:rPr>
            </w:pPr>
          </w:p>
        </w:tc>
        <w:tc>
          <w:tcPr>
            <w:tcW w:w="1200" w:type="dxa"/>
            <w:vAlign w:val="bottom"/>
            <w:gridSpan w:val="2"/>
          </w:tcPr>
          <w:p>
            <w:pPr>
              <w:jc w:val="center"/>
              <w:ind w:right="300"/>
              <w:spacing w:after="0" w:line="79" w:lineRule="exact"/>
              <w:rPr>
                <w:sz w:val="20"/>
                <w:szCs w:val="20"/>
                <w:color w:val="auto"/>
              </w:rPr>
            </w:pPr>
            <w:r>
              <w:rPr>
                <w:rFonts w:ascii="Times New Roman" w:cs="Times New Roman" w:eastAsia="Times New Roman" w:hAnsi="Times New Roman"/>
                <w:sz w:val="9"/>
                <w:szCs w:val="9"/>
                <w:b w:val="1"/>
                <w:bCs w:val="1"/>
                <w:color w:val="auto"/>
              </w:rPr>
              <w:t>Environmental</w:t>
            </w:r>
          </w:p>
        </w:tc>
        <w:tc>
          <w:tcPr>
            <w:tcW w:w="100" w:type="dxa"/>
            <w:vAlign w:val="bottom"/>
          </w:tcPr>
          <w:p>
            <w:pPr>
              <w:spacing w:after="0"/>
              <w:rPr>
                <w:sz w:val="6"/>
                <w:szCs w:val="6"/>
                <w:color w:val="auto"/>
              </w:rPr>
            </w:pPr>
          </w:p>
        </w:tc>
        <w:tc>
          <w:tcPr>
            <w:tcW w:w="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7"/>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Remediation</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Remediation</w:t>
            </w:r>
          </w:p>
        </w:tc>
        <w:tc>
          <w:tcPr>
            <w:tcW w:w="1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(in accrued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104</w:t>
            </w:r>
          </w:p>
        </w:tc>
        <w:tc>
          <w:tcPr>
            <w:tcW w:w="90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Long-term</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1,090</w:t>
            </w:r>
          </w:p>
        </w:tc>
        <w:tc>
          <w:tcPr>
            <w:tcW w:w="9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2"/>
              </w:rPr>
              <w:t>234</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1,324</w:t>
            </w:r>
          </w:p>
        </w:tc>
        <w:tc>
          <w:tcPr>
            <w:tcW w:w="6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1,072</w:t>
            </w:r>
          </w:p>
        </w:tc>
        <w:tc>
          <w:tcPr>
            <w:tcW w:w="10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1,312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1,194</w:t>
            </w:r>
          </w:p>
        </w:tc>
        <w:tc>
          <w:tcPr>
            <w:tcW w:w="90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2"/>
              </w:rPr>
              <w:t>277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1,471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1,462</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40" w:firstLine="399"/>
        <w:spacing w:after="0" w:line="286" w:lineRule="auto"/>
        <w:rPr>
          <w:sz w:val="20"/>
          <w:szCs w:val="20"/>
          <w:color w:val="auto"/>
        </w:rPr>
      </w:pPr>
      <w:r>
        <w:rPr>
          <w:rFonts w:ascii="Times New Roman" w:cs="Times New Roman" w:eastAsia="Times New Roman" w:hAnsi="Times New Roman"/>
          <w:sz w:val="13"/>
          <w:szCs w:val="13"/>
          <w:color w:val="auto"/>
        </w:rPr>
        <w:t>The changes to landfill and environmental remediation liabilities for the year ended December 31, 2007 and the three months ended March 31, 2008 are reflected in the table below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Environmental</w:t>
            </w:r>
          </w:p>
        </w:tc>
        <w:tc>
          <w:tcPr>
            <w:tcW w:w="0" w:type="dxa"/>
            <w:vAlign w:val="bottom"/>
          </w:tcPr>
          <w:p>
            <w:pPr>
              <w:spacing w:after="0"/>
              <w:rPr>
                <w:sz w:val="1"/>
                <w:szCs w:val="1"/>
                <w:color w:val="auto"/>
              </w:rPr>
            </w:pPr>
          </w:p>
        </w:tc>
      </w:tr>
      <w:tr>
        <w:trPr>
          <w:trHeight w:val="127"/>
        </w:trPr>
        <w:tc>
          <w:tcPr>
            <w:tcW w:w="7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1,121</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268</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(64)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2007</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1,178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March, 31, 2008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1,194</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277</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399"/>
        <w:spacing w:after="0" w:line="269" w:lineRule="auto"/>
        <w:rPr>
          <w:sz w:val="20"/>
          <w:szCs w:val="20"/>
          <w:color w:val="auto"/>
        </w:rPr>
      </w:pPr>
      <w:r>
        <w:rPr>
          <w:rFonts w:ascii="Times New Roman" w:cs="Times New Roman" w:eastAsia="Times New Roman" w:hAnsi="Times New Roman"/>
          <w:sz w:val="13"/>
          <w:szCs w:val="13"/>
          <w:color w:val="auto"/>
        </w:rPr>
        <w:t>At several of our landfills, we provide financial assurance by depositing cash into restricted trust funds or escrow accounts for purposes of settling closure, post-closure and environmental remediation obligations. The fair value of these escrow accounts and trust funds was $226 million at March 31, 2008, and is primarily included as long-term “Other assets” in our Condensed Consolidated Balance Sheet.</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3.</w:t>
            </w:r>
          </w:p>
        </w:tc>
        <w:tc>
          <w:tcPr>
            <w:tcW w:w="768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6"/>
        </w:trPr>
        <w:tc>
          <w:tcPr>
            <w:tcW w:w="120" w:type="dxa"/>
            <w:vAlign w:val="bottom"/>
          </w:tcPr>
          <w:p>
            <w:pPr>
              <w:spacing w:after="0"/>
              <w:rPr>
                <w:sz w:val="21"/>
                <w:szCs w:val="21"/>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The following table summarizes the major components of debt at each balance sheet date (in millions):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7"/>
        </w:trPr>
        <w:tc>
          <w:tcPr>
            <w:tcW w:w="1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1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0"/>
                <w:szCs w:val="10"/>
                <w:b w:val="1"/>
                <w:bCs w:val="1"/>
                <w:color w:val="auto"/>
              </w:rPr>
              <w:t>2008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0"/>
                <w:szCs w:val="10"/>
                <w:b w:val="1"/>
                <w:bCs w:val="1"/>
                <w:color w:val="auto"/>
              </w:rPr>
              <w:t>2007</w:t>
            </w:r>
          </w:p>
        </w:tc>
        <w:tc>
          <w:tcPr>
            <w:tcW w:w="100" w:type="dxa"/>
            <w:vAlign w:val="bottom"/>
          </w:tcPr>
          <w:p>
            <w:pPr>
              <w:spacing w:after="0"/>
              <w:rPr>
                <w:sz w:val="11"/>
                <w:szCs w:val="11"/>
                <w:color w:val="auto"/>
              </w:rPr>
            </w:pPr>
          </w:p>
        </w:tc>
      </w:tr>
      <w:tr>
        <w:trPr>
          <w:trHeight w:val="29"/>
        </w:trPr>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Revolving credit facility (weighted average interest rate of 5.4% at December 31, 2007)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r>
      <w:tr>
        <w:trPr>
          <w:trHeight w:val="157"/>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Letter of credit facilities</w:t>
            </w:r>
          </w:p>
        </w:tc>
        <w:tc>
          <w:tcPr>
            <w:tcW w:w="100" w:type="dxa"/>
            <w:vAlign w:val="bottom"/>
          </w:tcPr>
          <w:p>
            <w:pPr>
              <w:spacing w:after="0"/>
              <w:rPr>
                <w:sz w:val="13"/>
                <w:szCs w:val="13"/>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Canadian credit facility (weighted average interest rate of 4.7% at March 31, 2008 and 5.3% at December 31, 2007)</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322</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336</w:t>
            </w:r>
          </w:p>
        </w:tc>
      </w:tr>
      <w:tr>
        <w:trPr>
          <w:trHeight w:val="144"/>
        </w:trPr>
        <w:tc>
          <w:tcPr>
            <w:tcW w:w="78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Senior notes and debentures, maturing through 2032, interest rates ranging from 5.0% to 8.75% (weighted average interest rate of 6.9% at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0"/>
        </w:trPr>
        <w:tc>
          <w:tcPr>
            <w:tcW w:w="120" w:type="dxa"/>
            <w:vAlign w:val="bottom"/>
          </w:tcPr>
          <w:p>
            <w:pPr>
              <w:spacing w:after="0"/>
              <w:rPr>
                <w:sz w:val="14"/>
                <w:szCs w:val="14"/>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March 31, 2008 and 7.0% at December 31, 2007)</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5,234</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4,584</w:t>
            </w:r>
          </w:p>
        </w:tc>
      </w:tr>
      <w:tr>
        <w:trPr>
          <w:trHeight w:val="144"/>
        </w:trPr>
        <w:tc>
          <w:tcPr>
            <w:tcW w:w="78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Tax-exempt bonds maturing through 2039, fixed and variable interest rates ranging from 1.9% to 7.4% (weighted average interest rate of 4.0%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120" w:type="dxa"/>
            <w:vAlign w:val="bottom"/>
            <w:shd w:val="clear" w:color="auto" w:fill="CCEEFF"/>
          </w:tcPr>
          <w:p>
            <w:pPr>
              <w:spacing w:after="0"/>
              <w:rPr>
                <w:sz w:val="14"/>
                <w:szCs w:val="14"/>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March 31, 2008 and 4.4% at December 31, 2007)</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2,579</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2,533</w:t>
            </w:r>
          </w:p>
        </w:tc>
      </w:tr>
      <w:tr>
        <w:trPr>
          <w:trHeight w:val="144"/>
        </w:trPr>
        <w:tc>
          <w:tcPr>
            <w:tcW w:w="78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Tax-exempt project bonds, principal payable in periodic installments, maturing through 2027, fixed and variable interest rates ranging from</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0"/>
        </w:trPr>
        <w:tc>
          <w:tcPr>
            <w:tcW w:w="120" w:type="dxa"/>
            <w:vAlign w:val="bottom"/>
          </w:tcPr>
          <w:p>
            <w:pPr>
              <w:spacing w:after="0"/>
              <w:rPr>
                <w:sz w:val="14"/>
                <w:szCs w:val="14"/>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1.3% to 9.3% (weighted average interest rate of 5.1% at March 31, 2008 and 5.3% at December 31, 2007)</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290</w:t>
            </w:r>
          </w:p>
        </w:tc>
      </w:tr>
      <w:tr>
        <w:trPr>
          <w:trHeight w:val="157"/>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leases and other, maturing through 2031, interest rates up to 12%</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294</w:t>
            </w:r>
          </w:p>
        </w:tc>
      </w:tr>
      <w:tr>
        <w:trPr>
          <w:trHeight w:val="157"/>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long-term debt</w:t>
            </w: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8,719</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8,337</w:t>
            </w:r>
          </w:p>
        </w:tc>
        <w:tc>
          <w:tcPr>
            <w:tcW w:w="100" w:type="dxa"/>
            <w:vAlign w:val="bottom"/>
          </w:tcPr>
          <w:p>
            <w:pPr>
              <w:spacing w:after="0"/>
              <w:rPr>
                <w:sz w:val="13"/>
                <w:szCs w:val="13"/>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490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329</w:t>
            </w:r>
          </w:p>
        </w:tc>
      </w:tr>
      <w:tr>
        <w:trPr>
          <w:trHeight w:val="166"/>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Long-term debt, less current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8,229</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8,008</w:t>
            </w:r>
          </w:p>
        </w:tc>
        <w:tc>
          <w:tcPr>
            <w:tcW w:w="100" w:type="dxa"/>
            <w:vAlign w:val="bottom"/>
          </w:tcPr>
          <w:p>
            <w:pPr>
              <w:spacing w:after="0"/>
              <w:rPr>
                <w:sz w:val="14"/>
                <w:szCs w:val="14"/>
                <w:color w:val="auto"/>
              </w:rPr>
            </w:pPr>
          </w:p>
        </w:tc>
      </w:tr>
    </w:tbl>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significant changes in our debt balances from December 31, 2007 to March 31, 2008 are related to the following:</w:t>
      </w:r>
    </w:p>
    <w:p>
      <w:pPr>
        <w:spacing w:after="0" w:line="94" w:lineRule="exact"/>
        <w:rPr>
          <w:sz w:val="20"/>
          <w:szCs w:val="20"/>
          <w:color w:val="auto"/>
        </w:rPr>
      </w:pPr>
    </w:p>
    <w:p>
      <w:pPr>
        <w:ind w:left="600" w:right="380" w:hanging="190"/>
        <w:spacing w:after="0" w:line="289" w:lineRule="auto"/>
        <w:tabs>
          <w:tab w:leader="none" w:pos="6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Revolving credit facility </w:t>
      </w:r>
      <w:r>
        <w:rPr>
          <w:rFonts w:ascii="Times New Roman" w:cs="Times New Roman" w:eastAsia="Times New Roman" w:hAnsi="Times New Roman"/>
          <w:sz w:val="13"/>
          <w:szCs w:val="13"/>
          <w:color w:val="auto"/>
        </w:rPr>
        <w:t>— We repaid $50 million of the outstanding borrowings with available cash and repaid the remaining $250 million of outstanding borrowings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proceeds from the issuance of senior notes as discussed below.</w:t>
      </w:r>
    </w:p>
    <w:p>
      <w:pPr>
        <w:spacing w:after="0" w:line="33" w:lineRule="exact"/>
        <w:rPr>
          <w:rFonts w:ascii="Times New Roman" w:cs="Times New Roman" w:eastAsia="Times New Roman" w:hAnsi="Times New Roman"/>
          <w:sz w:val="13"/>
          <w:szCs w:val="13"/>
          <w:color w:val="auto"/>
        </w:rPr>
      </w:pPr>
    </w:p>
    <w:p>
      <w:pPr>
        <w:ind w:left="600" w:right="80" w:hanging="190"/>
        <w:spacing w:after="0" w:line="271" w:lineRule="auto"/>
        <w:tabs>
          <w:tab w:leader="none" w:pos="6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Canadian credit facility </w:t>
      </w:r>
      <w:r>
        <w:rPr>
          <w:rFonts w:ascii="Times New Roman" w:cs="Times New Roman" w:eastAsia="Times New Roman" w:hAnsi="Times New Roman"/>
          <w:sz w:val="13"/>
          <w:szCs w:val="13"/>
          <w:color w:val="auto"/>
        </w:rPr>
        <w:t>— Approximately $168 million of advances matured, of which $9 million were repaid with available cash and the remaining $159 million were renewed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terms of the credit facility. As of December 31, 2007 and March 31, 2008, $281 million and $273 million, respectively, of these advances were classified as long-term based on our intent and ability to refinance the obligations on a long-term basis under the terms of the facility.</w:t>
      </w:r>
    </w:p>
    <w:p>
      <w:pPr>
        <w:spacing w:after="0" w:line="44" w:lineRule="exact"/>
        <w:rPr>
          <w:rFonts w:ascii="Times New Roman" w:cs="Times New Roman" w:eastAsia="Times New Roman" w:hAnsi="Times New Roman"/>
          <w:sz w:val="13"/>
          <w:szCs w:val="13"/>
          <w:color w:val="auto"/>
        </w:rPr>
      </w:pPr>
    </w:p>
    <w:p>
      <w:pPr>
        <w:ind w:left="600" w:hanging="190"/>
        <w:spacing w:after="0" w:line="261" w:lineRule="auto"/>
        <w:tabs>
          <w:tab w:leader="none" w:pos="6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Senior notes </w:t>
      </w:r>
      <w:r>
        <w:rPr>
          <w:rFonts w:ascii="Times New Roman" w:cs="Times New Roman" w:eastAsia="Times New Roman" w:hAnsi="Times New Roman"/>
          <w:sz w:val="13"/>
          <w:szCs w:val="13"/>
          <w:color w:val="auto"/>
        </w:rPr>
        <w:t>— We issued $600 million of 6.1% senior notes due March 15, 2018. The net proceeds from the debt issuance were $594 million. A portion of the proceeds from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offering was used to repay $250 million of outstanding borrowings under the revolving credit facility. In addition, we plan to use proceeds from this offering to repay $244 million of 8.75% senior notes that mature in 2018, but become callable by us in May 2008. The $244 million of 8.75% senior notes had been classified as long-term as of December 31, 2007 based on our intent and ability to refinance the debt on a long-term basis. On March 12, 2008, we notified note holders of our intention to call these notes in May 2008. Accordingly, the notes have been classified as current as of March 31, 2008.</w:t>
      </w:r>
    </w:p>
    <w:p>
      <w:pPr>
        <w:spacing w:after="0" w:line="64" w:lineRule="exact"/>
        <w:rPr>
          <w:sz w:val="20"/>
          <w:szCs w:val="20"/>
          <w:color w:val="auto"/>
        </w:rPr>
      </w:pPr>
    </w:p>
    <w:p>
      <w:pPr>
        <w:ind w:left="600" w:right="780" w:firstLine="375"/>
        <w:spacing w:after="0" w:line="286" w:lineRule="auto"/>
        <w:rPr>
          <w:sz w:val="20"/>
          <w:szCs w:val="20"/>
          <w:color w:val="auto"/>
        </w:rPr>
      </w:pPr>
      <w:r>
        <w:rPr>
          <w:rFonts w:ascii="Times New Roman" w:cs="Times New Roman" w:eastAsia="Times New Roman" w:hAnsi="Times New Roman"/>
          <w:sz w:val="13"/>
          <w:szCs w:val="13"/>
          <w:color w:val="auto"/>
        </w:rPr>
        <w:t>In connection with our issuance of the senior notes, we executed interest rate swap contracts with a total notional value of $200 million. We designated these fixed-to-floating interest rate swap agreements as fair</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6" w:lineRule="exact"/>
        <w:rPr>
          <w:sz w:val="20"/>
          <w:szCs w:val="20"/>
          <w:color w:val="auto"/>
        </w:rPr>
      </w:pPr>
    </w:p>
    <w:p>
      <w:pPr>
        <w:ind w:left="600" w:right="220"/>
        <w:spacing w:after="0" w:line="286" w:lineRule="auto"/>
        <w:rPr>
          <w:sz w:val="20"/>
          <w:szCs w:val="20"/>
          <w:color w:val="auto"/>
        </w:rPr>
      </w:pPr>
      <w:r>
        <w:rPr>
          <w:rFonts w:ascii="Times New Roman" w:cs="Times New Roman" w:eastAsia="Times New Roman" w:hAnsi="Times New Roman"/>
          <w:sz w:val="13"/>
          <w:szCs w:val="13"/>
          <w:color w:val="auto"/>
        </w:rPr>
        <w:t>value hedges, resulting in all fair value adjustments being reflected as a component of the carrying value of the underlying debt. For information related to the fair value of our interest rate derivatives, refer to Note 11.</w:t>
      </w:r>
    </w:p>
    <w:p>
      <w:pPr>
        <w:spacing w:after="0" w:line="47" w:lineRule="exact"/>
        <w:rPr>
          <w:sz w:val="20"/>
          <w:szCs w:val="20"/>
          <w:color w:val="auto"/>
        </w:rPr>
      </w:pPr>
    </w:p>
    <w:p>
      <w:pPr>
        <w:jc w:val="both"/>
        <w:ind w:left="600" w:right="60" w:firstLine="375"/>
        <w:spacing w:after="0" w:line="263" w:lineRule="auto"/>
        <w:rPr>
          <w:sz w:val="20"/>
          <w:szCs w:val="20"/>
          <w:color w:val="auto"/>
        </w:rPr>
      </w:pPr>
      <w:r>
        <w:rPr>
          <w:rFonts w:ascii="Times New Roman" w:cs="Times New Roman" w:eastAsia="Times New Roman" w:hAnsi="Times New Roman"/>
          <w:sz w:val="13"/>
          <w:szCs w:val="13"/>
          <w:color w:val="auto"/>
        </w:rPr>
        <w:t>We have $386 million of 6.5% senior notes that mature in November 2008. As of December 31, 2007 and March 31, 2008, $310 million and $386 million, respectively, of these notes were classified as long-term based on our intent and ability to refinance the obligation on a long-term basis. Although we intend to refinance the entire obligation on a long-term basis, our classification of the borrowing as long-term as of December 31, 2007 was limited by the available capacity of our $2.4 billion revolving credit facility at that time.</w:t>
      </w:r>
    </w:p>
    <w:p>
      <w:pPr>
        <w:spacing w:after="0" w:line="60" w:lineRule="exact"/>
        <w:rPr>
          <w:sz w:val="20"/>
          <w:szCs w:val="20"/>
          <w:color w:val="auto"/>
        </w:rPr>
      </w:pPr>
    </w:p>
    <w:p>
      <w:pPr>
        <w:ind w:left="600" w:right="180" w:hanging="190"/>
        <w:spacing w:after="0" w:line="261" w:lineRule="auto"/>
        <w:tabs>
          <w:tab w:leader="none" w:pos="600"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Tax-exempt bonds </w:t>
      </w:r>
      <w:r>
        <w:rPr>
          <w:rFonts w:ascii="Times New Roman" w:cs="Times New Roman" w:eastAsia="Times New Roman" w:hAnsi="Times New Roman"/>
          <w:sz w:val="13"/>
          <w:szCs w:val="13"/>
          <w:color w:val="auto"/>
        </w:rPr>
        <w:t>— We issued $49 million of tax-exempt bonds during the three months ended March 31, 2008. The proceeds from the issuance of the bonds were deposited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directly into a trust fund and may only be used for the specific purpose for which the money was raised, which is generally to finance expenditures for landfill construction and development, equipment, vehicles and facilities in support of our operations. Accordingly, the restricted funds provided by these financing activities have not been included in “New Borrowings” in our Condensed Consolidated Statement of Cash Flows. During the three months ended March 31, 2008, $3 million of our tax-exempt bonds were repaid with available cash.</w:t>
      </w:r>
    </w:p>
    <w:p>
      <w:pPr>
        <w:spacing w:after="0" w:line="101" w:lineRule="exact"/>
        <w:rPr>
          <w:rFonts w:ascii="Times New Roman" w:cs="Times New Roman" w:eastAsia="Times New Roman" w:hAnsi="Times New Roman"/>
          <w:sz w:val="13"/>
          <w:szCs w:val="13"/>
          <w:color w:val="auto"/>
        </w:rPr>
      </w:pPr>
    </w:p>
    <w:p>
      <w:pPr>
        <w:ind w:left="320" w:hanging="313"/>
        <w:spacing w:after="0"/>
        <w:tabs>
          <w:tab w:leader="none" w:pos="320"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Income Taxes</w:t>
      </w:r>
    </w:p>
    <w:p>
      <w:pPr>
        <w:spacing w:after="0" w:line="98" w:lineRule="exact"/>
        <w:rPr>
          <w:sz w:val="20"/>
          <w:szCs w:val="20"/>
          <w:color w:val="auto"/>
        </w:rPr>
      </w:pPr>
    </w:p>
    <w:p>
      <w:pPr>
        <w:ind w:right="20" w:firstLine="399"/>
        <w:spacing w:after="0" w:line="261" w:lineRule="auto"/>
        <w:rPr>
          <w:sz w:val="20"/>
          <w:szCs w:val="20"/>
          <w:color w:val="auto"/>
        </w:rPr>
      </w:pPr>
      <w:r>
        <w:rPr>
          <w:rFonts w:ascii="Times New Roman" w:cs="Times New Roman" w:eastAsia="Times New Roman" w:hAnsi="Times New Roman"/>
          <w:sz w:val="13"/>
          <w:szCs w:val="13"/>
          <w:color w:val="auto"/>
        </w:rPr>
        <w:t>Our effective tax rate for the three months ended March 31, 2008 was 37.5% compared with 28.1% for the comparable prior year period. The difference between federal income taxes computed at the federal statutory rate and reported income taxes for the three months ended March 31, 2008 is primarily due to the unfavorable impact of state and local income taxes, which was offset, in part, by the favorable impacts of tax audit settlements and the true-up of our 2007 non-conventional fuel tax credits. The difference between federal income taxes computed at the federal statutory rate and reported income taxes for the three months ended March 31, 2007 is primarily due to the favorable impact of non-conventional fuel tax credits, which was offset in part by the unfavorable impact of state and local income taxes. We evaluate our effective tax rate at each interim period and adjust it accordingly as facts and circumstances warrant.</w:t>
      </w:r>
    </w:p>
    <w:p>
      <w:pPr>
        <w:spacing w:after="0" w:line="60" w:lineRule="exact"/>
        <w:rPr>
          <w:sz w:val="20"/>
          <w:szCs w:val="20"/>
          <w:color w:val="auto"/>
        </w:rPr>
      </w:pPr>
    </w:p>
    <w:p>
      <w:pPr>
        <w:ind w:right="16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Tax audit settlements </w:t>
      </w:r>
      <w:r>
        <w:rPr>
          <w:rFonts w:ascii="Times New Roman" w:cs="Times New Roman" w:eastAsia="Times New Roman" w:hAnsi="Times New Roman"/>
          <w:sz w:val="13"/>
          <w:szCs w:val="13"/>
          <w:color w:val="auto"/>
        </w:rPr>
        <w:t>— The settlement of tax audits during the three months ended March 31, 2008 and 2007 resulted in reductions in our provision for income taxes of $6 million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$16 million, respectively. The impact of the audit settlements did not significantly affect our estimated effective tax rate for either period.</w:t>
      </w:r>
    </w:p>
    <w:p>
      <w:pPr>
        <w:spacing w:after="0" w:line="43" w:lineRule="exact"/>
        <w:rPr>
          <w:sz w:val="20"/>
          <w:szCs w:val="20"/>
          <w:color w:val="auto"/>
        </w:rPr>
      </w:pPr>
    </w:p>
    <w:p>
      <w:pPr>
        <w:ind w:right="10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Non-conventional fuel tax credits </w:t>
      </w:r>
      <w:r>
        <w:rPr>
          <w:rFonts w:ascii="Times New Roman" w:cs="Times New Roman" w:eastAsia="Times New Roman" w:hAnsi="Times New Roman"/>
          <w:sz w:val="13"/>
          <w:szCs w:val="13"/>
          <w:color w:val="auto"/>
        </w:rPr>
        <w:t>— The favorable impact of non-conventional fuel tax credits on our 2007 effective tax rate was derived from our investments in two coal-based,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synthetic fuel production facilities and our landfill gas-to-energy projects. The fuel generated from the facilities and our landfill gas-to-energy projects qualified for tax credits through 2007 pursuant to Section 45K of the Internal Revenue Code. Our recorded taxes for the three months ended March 31, 2007 included a $29 million benefit from Section 45K tax credits.</w:t>
      </w:r>
    </w:p>
    <w:p>
      <w:pPr>
        <w:spacing w:after="0" w:line="56" w:lineRule="exact"/>
        <w:rPr>
          <w:sz w:val="20"/>
          <w:szCs w:val="20"/>
          <w:color w:val="auto"/>
        </w:rPr>
      </w:pPr>
    </w:p>
    <w:p>
      <w:pPr>
        <w:jc w:val="both"/>
        <w:ind w:firstLine="399"/>
        <w:spacing w:after="0" w:line="263" w:lineRule="auto"/>
        <w:rPr>
          <w:sz w:val="20"/>
          <w:szCs w:val="20"/>
          <w:color w:val="auto"/>
        </w:rPr>
      </w:pPr>
      <w:r>
        <w:rPr>
          <w:rFonts w:ascii="Times New Roman" w:cs="Times New Roman" w:eastAsia="Times New Roman" w:hAnsi="Times New Roman"/>
          <w:sz w:val="13"/>
          <w:szCs w:val="13"/>
          <w:color w:val="auto"/>
        </w:rPr>
        <w:t>Our effective tax rate for the first quarter of 2007 reflected our expectations for the phase-out of 30% of Section 45K tax credits generated during 2007. As of December 31, 2007, our estimate of the 2007 phase-out rate had increased to 69%. In April 2008, the IRS published the phase-out percentage that must be applied to Section 45K tax credits generated in 2007, which was 67.2%. Our provision for income taxes for the first quarter of 2008 includes an adjustment of our 2007 year-end estimate to the final 2007 phase-out, which resulted in the recognition of a $3 million benefit.</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sectPr>
      </w:pPr>
    </w:p>
    <w:bookmarkStart w:id="10" w:name="page11"/>
    <w:bookmarkEnd w:id="10"/>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6" w:lineRule="exact"/>
        <w:rPr>
          <w:sz w:val="20"/>
          <w:szCs w:val="20"/>
          <w:color w:val="auto"/>
        </w:rPr>
      </w:pPr>
    </w:p>
    <w:p>
      <w:pPr>
        <w:ind w:left="680" w:right="1040" w:firstLine="399"/>
        <w:spacing w:after="0" w:line="269" w:lineRule="auto"/>
        <w:rPr>
          <w:sz w:val="20"/>
          <w:szCs w:val="20"/>
          <w:color w:val="auto"/>
        </w:rPr>
      </w:pPr>
      <w:r>
        <w:rPr>
          <w:rFonts w:ascii="Times New Roman" w:cs="Times New Roman" w:eastAsia="Times New Roman" w:hAnsi="Times New Roman"/>
          <w:sz w:val="13"/>
          <w:szCs w:val="13"/>
          <w:color w:val="auto"/>
        </w:rPr>
        <w:t>The tax credits generated by our investments in the synthetic fuel production facilities are offset, in part, by the recognition of our pro-rata share of the facilities’ losses, which are recognized as “Equity in net losses of unconsolidated entities.” The following table summarizes the total impact of our investments in the synthetic fuel production facilities on our Condensed Consolidated Statements of Operations (in millions) for the periods presented:</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1040" w:type="dxa"/>
            <w:vAlign w:val="bottom"/>
            <w:gridSpan w:val="6"/>
          </w:tcPr>
          <w:p>
            <w:pPr>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127"/>
        </w:trPr>
        <w:tc>
          <w:tcPr>
            <w:tcW w:w="20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20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20" w:type="dxa"/>
            <w:vAlign w:val="bottom"/>
            <w:tcBorders>
              <w:bottom w:val="single" w:sz="8" w:color="auto"/>
            </w:tcBorders>
            <w:gridSpan w:val="2"/>
          </w:tcPr>
          <w:p>
            <w:pPr>
              <w:ind w:left="20"/>
              <w:spacing w:after="0" w:line="98" w:lineRule="exact"/>
              <w:rPr>
                <w:sz w:val="20"/>
                <w:szCs w:val="20"/>
                <w:color w:val="auto"/>
              </w:rPr>
            </w:pPr>
            <w:r>
              <w:rPr>
                <w:rFonts w:ascii="Times New Roman" w:cs="Times New Roman" w:eastAsia="Times New Roman" w:hAnsi="Times New Roman"/>
                <w:sz w:val="10"/>
                <w:szCs w:val="10"/>
                <w:b w:val="1"/>
                <w:bCs w:val="1"/>
                <w:color w:val="auto"/>
                <w:w w:val="89"/>
              </w:rPr>
              <w:t>2008</w:t>
            </w:r>
          </w:p>
        </w:tc>
        <w:tc>
          <w:tcPr>
            <w:tcW w:w="42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100" w:type="dxa"/>
            <w:vAlign w:val="bottom"/>
          </w:tcPr>
          <w:p>
            <w:pPr>
              <w:spacing w:after="0"/>
              <w:rPr>
                <w:sz w:val="8"/>
                <w:szCs w:val="8"/>
                <w:color w:val="auto"/>
              </w:rPr>
            </w:pPr>
          </w:p>
        </w:tc>
      </w:tr>
      <w:tr>
        <w:trPr>
          <w:trHeight w:val="29"/>
        </w:trPr>
        <w:tc>
          <w:tcPr>
            <w:tcW w:w="200" w:type="dxa"/>
            <w:vAlign w:val="bottom"/>
          </w:tcPr>
          <w:p>
            <w:pPr>
              <w:spacing w:after="0"/>
              <w:rPr>
                <w:sz w:val="2"/>
                <w:szCs w:val="2"/>
                <w:color w:val="auto"/>
              </w:rPr>
            </w:pPr>
          </w:p>
        </w:tc>
        <w:tc>
          <w:tcPr>
            <w:tcW w:w="8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 net losses of unconsolidated entities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w:t>
            </w:r>
          </w:p>
        </w:tc>
      </w:tr>
      <w:tr>
        <w:trPr>
          <w:trHeight w:val="157"/>
        </w:trPr>
        <w:tc>
          <w:tcPr>
            <w:tcW w:w="8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Benefit from income taxes</w:t>
            </w:r>
          </w:p>
        </w:tc>
        <w:tc>
          <w:tcPr>
            <w:tcW w:w="100" w:type="dxa"/>
            <w:vAlign w:val="bottom"/>
          </w:tcPr>
          <w:p>
            <w:pPr>
              <w:spacing w:after="0"/>
              <w:rPr>
                <w:sz w:val="13"/>
                <w:szCs w:val="13"/>
                <w:color w:val="auto"/>
              </w:rPr>
            </w:pPr>
          </w:p>
        </w:tc>
        <w:tc>
          <w:tcPr>
            <w:tcW w:w="540" w:type="dxa"/>
            <w:vAlign w:val="bottom"/>
            <w:gridSpan w:val="2"/>
          </w:tcPr>
          <w:p>
            <w:pPr>
              <w:jc w:val="right"/>
              <w:ind w:right="368"/>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w:t>
            </w:r>
          </w:p>
        </w:tc>
      </w:tr>
      <w:tr>
        <w:trPr>
          <w:trHeight w:val="20"/>
        </w:trPr>
        <w:tc>
          <w:tcPr>
            <w:tcW w:w="20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w:t>
            </w:r>
          </w:p>
        </w:tc>
      </w:tr>
      <w:tr>
        <w:trPr>
          <w:trHeight w:val="335"/>
        </w:trPr>
        <w:tc>
          <w:tcPr>
            <w:tcW w:w="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5.</w:t>
            </w:r>
          </w:p>
        </w:tc>
        <w:tc>
          <w:tcPr>
            <w:tcW w:w="87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200" w:type="dxa"/>
            <w:vAlign w:val="bottom"/>
          </w:tcPr>
          <w:p>
            <w:pPr>
              <w:spacing w:after="0"/>
              <w:rPr>
                <w:sz w:val="21"/>
                <w:szCs w:val="21"/>
                <w:color w:val="auto"/>
              </w:rPr>
            </w:pPr>
          </w:p>
        </w:tc>
        <w:tc>
          <w:tcPr>
            <w:tcW w:w="8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Comprehensive income was as follows (in millions):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79"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5"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2008</w:t>
            </w: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88"/>
              </w:rPr>
              <w:t>$ 241</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$ 238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Unrealized gains (losses) resulting from changes in fair value of derivative instruments, net of taxes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Realized (gains) losses on derivative instruments reclassified into earnings, net of taxes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Unrealized losses on marketable securities, net of taxes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3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Translation adjustment of foreign currency statements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8"/>
              </w:rPr>
              <w:t>$ 219</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8"/>
              </w:rPr>
              <w:t>$ 242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56"/>
        </w:trPr>
        <w:tc>
          <w:tcPr>
            <w:tcW w:w="680" w:type="dxa"/>
            <w:vAlign w:val="bottom"/>
          </w:tcPr>
          <w:p>
            <w:pPr>
              <w:spacing w:after="0"/>
              <w:rPr>
                <w:sz w:val="22"/>
                <w:szCs w:val="22"/>
                <w:color w:val="auto"/>
              </w:rPr>
            </w:pPr>
          </w:p>
        </w:tc>
        <w:tc>
          <w:tcPr>
            <w:tcW w:w="7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The components of accumulated other comprehensive income were as follows (in millions):</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87"/>
        </w:trPr>
        <w:tc>
          <w:tcPr>
            <w:tcW w:w="68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060" w:type="dxa"/>
            <w:vAlign w:val="bottom"/>
            <w:gridSpan w:val="5"/>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00" w:type="dxa"/>
            <w:vAlign w:val="bottom"/>
          </w:tcPr>
          <w:p>
            <w:pPr>
              <w:spacing w:after="0"/>
              <w:rPr>
                <w:sz w:val="16"/>
                <w:szCs w:val="16"/>
                <w:color w:val="auto"/>
              </w:rPr>
            </w:pPr>
          </w:p>
        </w:tc>
      </w:tr>
      <w:tr>
        <w:trPr>
          <w:trHeight w:val="127"/>
        </w:trPr>
        <w:tc>
          <w:tcPr>
            <w:tcW w:w="68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0"/>
                <w:szCs w:val="10"/>
                <w:b w:val="1"/>
                <w:bCs w:val="1"/>
                <w:color w:val="auto"/>
              </w:rPr>
              <w:t>2008</w:t>
            </w:r>
          </w:p>
        </w:tc>
        <w:tc>
          <w:tcPr>
            <w:tcW w:w="4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2007</w:t>
            </w: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unrealized loss on derivative instruments, net of tax benefit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(19)</w:t>
            </w:r>
          </w:p>
        </w:tc>
        <w:tc>
          <w:tcPr>
            <w:tcW w:w="28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5"/>
                <w:szCs w:val="5"/>
                <w:color w:val="auto"/>
                <w:w w:val="78"/>
              </w:rPr>
              <w:t>$</w:t>
            </w:r>
          </w:p>
        </w:tc>
        <w:tc>
          <w:tcPr>
            <w:tcW w:w="6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3"/>
                <w:szCs w:val="13"/>
                <w:color w:val="auto"/>
              </w:rPr>
              <w:t>Accumulated unrealized gain on marketable securities, net of taxes</w:t>
            </w:r>
          </w:p>
        </w:tc>
        <w:tc>
          <w:tcPr>
            <w:tcW w:w="10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Cumulative translation adjustment of foreign currency statements</w:t>
            </w:r>
          </w:p>
        </w:tc>
        <w:tc>
          <w:tcPr>
            <w:tcW w:w="10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218</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3"/>
                <w:szCs w:val="13"/>
                <w:color w:val="auto"/>
              </w:rPr>
              <w:t>Underfunded post-retirement benefit obligations, net of taxes</w:t>
            </w:r>
          </w:p>
        </w:tc>
        <w:tc>
          <w:tcPr>
            <w:tcW w:w="10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8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207</w:t>
            </w:r>
          </w:p>
        </w:tc>
        <w:tc>
          <w:tcPr>
            <w:tcW w:w="28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5"/>
                <w:szCs w:val="5"/>
                <w:color w:val="auto"/>
                <w:w w:val="78"/>
              </w:rPr>
              <w:t>$</w:t>
            </w: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229</w:t>
            </w: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7800" w:type="dxa"/>
            <w:vAlign w:val="bottom"/>
          </w:tcPr>
          <w:p>
            <w:pPr>
              <w:ind w:left="4960"/>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7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4" w:lineRule="exact"/>
        <w:rPr>
          <w:sz w:val="20"/>
          <w:szCs w:val="20"/>
          <w:color w:val="auto"/>
        </w:rPr>
      </w:pPr>
    </w:p>
    <w:p>
      <w:pPr>
        <w:ind w:left="320" w:hanging="313"/>
        <w:spacing w:after="0"/>
        <w:tabs>
          <w:tab w:leader="none" w:pos="32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Earnings Per Share</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Basic and diluted earnings per common share were computed using the following common share data (shares in millions):</w:t>
      </w:r>
    </w:p>
    <w:p>
      <w:pPr>
        <w:spacing w:after="0" w:line="10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Three Months</w:t>
      </w: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Ended</w:t>
      </w:r>
    </w:p>
    <w:p>
      <w:pPr>
        <w:jc w:val="center"/>
        <w:ind w:left="8480"/>
        <w:spacing w:after="0" w:line="235" w:lineRule="auto"/>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ind w:right="36"/>
              <w:spacing w:after="0" w:line="98" w:lineRule="exact"/>
              <w:rPr>
                <w:sz w:val="20"/>
                <w:szCs w:val="20"/>
                <w:color w:val="auto"/>
              </w:rPr>
            </w:pPr>
            <w:r>
              <w:rPr>
                <w:rFonts w:ascii="Times New Roman" w:cs="Times New Roman" w:eastAsia="Times New Roman" w:hAnsi="Times New Roman"/>
                <w:sz w:val="10"/>
                <w:szCs w:val="10"/>
                <w:b w:val="1"/>
                <w:bCs w:val="1"/>
                <w:color w:val="auto"/>
              </w:rPr>
              <w:t>2008</w:t>
            </w:r>
          </w:p>
        </w:tc>
        <w:tc>
          <w:tcPr>
            <w:tcW w:w="400" w:type="dxa"/>
            <w:vAlign w:val="bottom"/>
            <w:tcBorders>
              <w:top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6"/>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100" w:type="dxa"/>
            <w:vAlign w:val="bottom"/>
          </w:tcPr>
          <w:p>
            <w:pPr>
              <w:spacing w:after="0"/>
              <w:rPr>
                <w:sz w:val="8"/>
                <w:szCs w:val="8"/>
                <w:color w:val="auto"/>
              </w:rPr>
            </w:pPr>
          </w:p>
        </w:tc>
      </w:tr>
      <w:tr>
        <w:trPr>
          <w:trHeight w:val="29"/>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Number of common shares outstanding at end of period</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492.4</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520.9</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Effect of using weighted average common shares outstanding</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3.6</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8.5</w:t>
            </w:r>
          </w:p>
        </w:tc>
      </w:tr>
      <w:tr>
        <w:trPr>
          <w:trHeight w:val="20"/>
        </w:trPr>
        <w:tc>
          <w:tcPr>
            <w:tcW w:w="8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basic common shares outstanding</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496.0</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529.4</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Dilutive effect of equity-based compensation awards, warrants and other contingently issuable shares</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2.3</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w:t>
            </w:r>
          </w:p>
        </w:tc>
      </w:tr>
      <w:tr>
        <w:trPr>
          <w:trHeight w:val="20"/>
        </w:trPr>
        <w:tc>
          <w:tcPr>
            <w:tcW w:w="8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diluted common shares outstanding</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498.3</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534.1</w:t>
            </w:r>
          </w:p>
        </w:tc>
      </w:tr>
      <w:tr>
        <w:trPr>
          <w:trHeight w:val="167"/>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Potentially issuable shares</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400" w:type="dxa"/>
            <w:vAlign w:val="bottom"/>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tcPr>
          <w:p>
            <w:pPr>
              <w:spacing w:after="0"/>
              <w:rPr>
                <w:sz w:val="14"/>
                <w:szCs w:val="14"/>
                <w:color w:val="auto"/>
              </w:rPr>
            </w:pPr>
          </w:p>
        </w:tc>
      </w:tr>
      <w:tr>
        <w:trPr>
          <w:trHeight w:val="15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Number of anti-dilutive potentially issuable shares excluded from diluted common shares outstanding</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2.3</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w:t>
            </w:r>
          </w:p>
        </w:tc>
      </w:tr>
    </w:tbl>
    <w:p>
      <w:pPr>
        <w:spacing w:after="0" w:line="152" w:lineRule="exact"/>
        <w:rPr>
          <w:sz w:val="20"/>
          <w:szCs w:val="20"/>
          <w:color w:val="auto"/>
        </w:rPr>
      </w:pPr>
    </w:p>
    <w:p>
      <w:pPr>
        <w:ind w:left="320" w:hanging="313"/>
        <w:spacing w:after="0"/>
        <w:tabs>
          <w:tab w:leader="none" w:pos="320"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Commitments and Contingencies</w:t>
      </w:r>
    </w:p>
    <w:p>
      <w:pPr>
        <w:spacing w:after="0" w:line="96" w:lineRule="exact"/>
        <w:rPr>
          <w:sz w:val="20"/>
          <w:szCs w:val="20"/>
          <w:color w:val="auto"/>
        </w:rPr>
      </w:pPr>
    </w:p>
    <w:p>
      <w:pPr>
        <w:ind w:right="8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Financial instruments </w:t>
      </w:r>
      <w:r>
        <w:rPr>
          <w:rFonts w:ascii="Times New Roman" w:cs="Times New Roman" w:eastAsia="Times New Roman" w:hAnsi="Times New Roman"/>
          <w:sz w:val="13"/>
          <w:szCs w:val="13"/>
          <w:color w:val="auto"/>
        </w:rPr>
        <w:t>— We use letters of credit, performance bonds and insurance policies as well as trust funds and financial guarantees for our financial assurance needs, which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include supporting tax-exempt bonds, contracts, performance of landfill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and obtain insurance from a wholly-owned insurance company, the sole business of which is to issue policies for us. In those instances where our use of captive insurance is not allowed, we generally have available alternative bonding mechanisms.</w:t>
      </w:r>
    </w:p>
    <w:p>
      <w:pPr>
        <w:spacing w:after="0" w:line="64" w:lineRule="exact"/>
        <w:rPr>
          <w:sz w:val="20"/>
          <w:szCs w:val="20"/>
          <w:color w:val="auto"/>
        </w:rPr>
      </w:pPr>
    </w:p>
    <w:p>
      <w:pPr>
        <w:ind w:right="240" w:firstLine="399"/>
        <w:spacing w:after="0" w:line="286" w:lineRule="auto"/>
        <w:rPr>
          <w:sz w:val="20"/>
          <w:szCs w:val="20"/>
          <w:color w:val="auto"/>
        </w:rPr>
      </w:pPr>
      <w:r>
        <w:rPr>
          <w:rFonts w:ascii="Times New Roman" w:cs="Times New Roman" w:eastAsia="Times New Roman" w:hAnsi="Times New Roman"/>
          <w:sz w:val="13"/>
          <w:szCs w:val="13"/>
          <w:color w:val="auto"/>
        </w:rPr>
        <w:t>Management does not expect that any claims against or draws on these instruments would have a material adverse effect on our consolidated financial statements and we have not experienced any unmanageable difficulty in obtaining the required financial assurance instruments for our current operations.</w:t>
      </w:r>
    </w:p>
    <w:p>
      <w:pPr>
        <w:spacing w:after="0" w:line="45" w:lineRule="exact"/>
        <w:rPr>
          <w:sz w:val="20"/>
          <w:szCs w:val="20"/>
          <w:color w:val="auto"/>
        </w:rPr>
      </w:pPr>
    </w:p>
    <w:p>
      <w:pPr>
        <w:ind w:right="2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Insurance </w:t>
      </w:r>
      <w:r>
        <w:rPr>
          <w:rFonts w:ascii="Times New Roman" w:cs="Times New Roman" w:eastAsia="Times New Roman" w:hAnsi="Times New Roman"/>
          <w:sz w:val="13"/>
          <w:szCs w:val="13"/>
          <w:color w:val="auto"/>
        </w:rPr>
        <w:t>— We carry insurance coverage for protection of our assets and operations from certain risks we believe are customary to the industry. Our exposure to loss for insurance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claims is generally limited to the per incident deductible under the related insurance policy. 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the assumptions used. We do not expect the impact of any known casualty, property, environmental or other contingency to have a material impact on our financial condition, results of operations or cash flows.</w:t>
      </w:r>
    </w:p>
    <w:p>
      <w:pPr>
        <w:spacing w:after="0" w:line="62" w:lineRule="exact"/>
        <w:rPr>
          <w:sz w:val="20"/>
          <w:szCs w:val="20"/>
          <w:color w:val="auto"/>
        </w:rPr>
      </w:pPr>
    </w:p>
    <w:p>
      <w:pPr>
        <w:ind w:right="6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Guarantees </w:t>
      </w:r>
      <w:r>
        <w:rPr>
          <w:rFonts w:ascii="Times New Roman" w:cs="Times New Roman" w:eastAsia="Times New Roman" w:hAnsi="Times New Roman"/>
          <w:sz w:val="13"/>
          <w:szCs w:val="13"/>
          <w:color w:val="auto"/>
        </w:rPr>
        <w:t>— In the ordinary course of our business, WMI and WM Holdings enter into guarantee agreements associated with their subsidiaries’ operations. Additionally, WMI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56" w:lineRule="exact"/>
        <w:rPr>
          <w:sz w:val="20"/>
          <w:szCs w:val="20"/>
          <w:color w:val="auto"/>
        </w:rPr>
      </w:pPr>
    </w:p>
    <w:p>
      <w:pPr>
        <w:ind w:right="120" w:firstLine="399"/>
        <w:spacing w:after="0" w:line="286" w:lineRule="auto"/>
        <w:rPr>
          <w:sz w:val="20"/>
          <w:szCs w:val="20"/>
          <w:color w:val="auto"/>
        </w:rPr>
      </w:pPr>
      <w:r>
        <w:rPr>
          <w:rFonts w:ascii="Times New Roman" w:cs="Times New Roman" w:eastAsia="Times New Roman" w:hAnsi="Times New Roman"/>
          <w:sz w:val="13"/>
          <w:szCs w:val="13"/>
          <w:color w:val="auto"/>
        </w:rPr>
        <w:t>We also have guaranteed the obligations of and provided indemnification to third parties in the ordinary course of business. Guarantee agreements outstanding as of March 31, 2008 include guarantees of unconsolidated entities’ financial obligations maturing through 2020 for maximum future payments of $10 million; agreements spanning</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3"/>
          <w:szCs w:val="13"/>
          <w:color w:val="auto"/>
        </w:rPr>
        <w:t>the life of certain landfills guaranteeing the market value of homeowners’ properties adjacent to landfills; and the guarantee of interest rate swap obligations of the funding entity in connection with our letter of credit facility. Our indemnification obligations generally provide that we will be responsible for liabilities associated with our operations for events that occurred prior to the sale of the operations.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60" w:lineRule="exact"/>
        <w:rPr>
          <w:sz w:val="20"/>
          <w:szCs w:val="20"/>
          <w:color w:val="auto"/>
        </w:rPr>
      </w:pPr>
    </w:p>
    <w:p>
      <w:pPr>
        <w:ind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Environmental matters </w:t>
      </w:r>
      <w:r>
        <w:rPr>
          <w:rFonts w:ascii="Times New Roman" w:cs="Times New Roman" w:eastAsia="Times New Roman" w:hAnsi="Times New Roman"/>
          <w:sz w:val="13"/>
          <w:szCs w:val="13"/>
          <w:color w:val="auto"/>
        </w:rPr>
        <w:t>— A significant portion of our operating costs and capital expenditures could be characterized as costs of environmental protection, as we are subject to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array of laws and regulations relating to the protection of the environment. Under current laws and regulations, we may have liabilities for environmental damage caused by operations, or for damage caused by conditions that existed before we acquired a site. Such liabilities include potentially responsible party, or PRP, investigations, settlements, certain legal and consultant fees, as well as costs directly associated with site investigation and clean up, such as materials and incremental internal costs directly related to the remedy.</w:t>
      </w:r>
    </w:p>
    <w:p>
      <w:pPr>
        <w:spacing w:after="0" w:line="62" w:lineRule="exact"/>
        <w:rPr>
          <w:sz w:val="20"/>
          <w:szCs w:val="20"/>
          <w:color w:val="auto"/>
        </w:rPr>
      </w:pPr>
    </w:p>
    <w:p>
      <w:pPr>
        <w:ind w:right="40" w:firstLine="399"/>
        <w:spacing w:after="0" w:line="259" w:lineRule="auto"/>
        <w:rPr>
          <w:sz w:val="20"/>
          <w:szCs w:val="20"/>
          <w:color w:val="auto"/>
        </w:rPr>
      </w:pPr>
      <w:r>
        <w:rPr>
          <w:rFonts w:ascii="Times New Roman" w:cs="Times New Roman" w:eastAsia="Times New Roman" w:hAnsi="Times New Roman"/>
          <w:sz w:val="13"/>
          <w:szCs w:val="13"/>
          <w:color w:val="auto"/>
        </w:rPr>
        <w:t xml:space="preserve">Estimating our degree of responsibility for remediation of a particular site is inherently difficult and determining the method and ultimate cost of remediation requires that a number of assumptions be made. 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w:t>
      </w:r>
      <w:r>
        <w:rPr>
          <w:rFonts w:ascii="Times New Roman" w:cs="Times New Roman" w:eastAsia="Times New Roman" w:hAnsi="Times New Roman"/>
          <w:sz w:val="13"/>
          <w:szCs w:val="13"/>
          <w:i w:val="1"/>
          <w:iCs w:val="1"/>
          <w:color w:val="auto"/>
        </w:rPr>
        <w:t>Accounting for Contingencies</w:t>
      </w:r>
      <w:r>
        <w:rPr>
          <w:rFonts w:ascii="Times New Roman" w:cs="Times New Roman" w:eastAsia="Times New Roman" w:hAnsi="Times New Roman"/>
          <w:sz w:val="13"/>
          <w:szCs w:val="13"/>
          <w:color w:val="auto"/>
        </w:rPr>
        <w:t>, and its interpretations. If we used the high ends of such ranges, our aggregate potential liability would be approximately $185 million higher than the $277 million recorded in the Condensed Consolidated Financial Statements as of March 31, 2008. Our ongoing review of our remediation liabilities could result in revisions that could cause upward or downward adjustments to income from operations. These adjustments could also be material in any given period.</w:t>
      </w:r>
    </w:p>
    <w:p>
      <w:pPr>
        <w:spacing w:after="0" w:line="64" w:lineRule="exact"/>
        <w:rPr>
          <w:sz w:val="20"/>
          <w:szCs w:val="20"/>
          <w:color w:val="auto"/>
        </w:rPr>
      </w:pPr>
    </w:p>
    <w:p>
      <w:pPr>
        <w:ind w:right="40" w:firstLine="399"/>
        <w:spacing w:after="0" w:line="257" w:lineRule="auto"/>
        <w:rPr>
          <w:sz w:val="20"/>
          <w:szCs w:val="20"/>
          <w:color w:val="auto"/>
        </w:rPr>
      </w:pPr>
      <w:r>
        <w:rPr>
          <w:rFonts w:ascii="Times New Roman" w:cs="Times New Roman" w:eastAsia="Times New Roman" w:hAnsi="Times New Roman"/>
          <w:sz w:val="13"/>
          <w:szCs w:val="13"/>
          <w:color w:val="auto"/>
        </w:rPr>
        <w:t>As of March 31, 2008, we had been notified by the government that we are a PRP in connection with 75 locations listed on the EPA’s National Priorities List, or NPL. Of the 75 sites at which claims have been made against us, 16 are sites we own. Each of the NPL sites we own were initially developed by others as landfill disposal facilities. The NPL sites are at various procedural stages under the Comprehensive Environmental Response, Compensation and Liability Act of 1980, as amended, known as CERCLA or Superfund.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 Any of these matters potentially could have a material adverse effect on our consolidated financial statements.</w:t>
      </w:r>
    </w:p>
    <w:p>
      <w:pPr>
        <w:spacing w:after="0" w:line="64" w:lineRule="exact"/>
        <w:rPr>
          <w:sz w:val="20"/>
          <w:szCs w:val="20"/>
          <w:color w:val="auto"/>
        </w:rPr>
      </w:pPr>
    </w:p>
    <w:p>
      <w:pPr>
        <w:ind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Litigation </w:t>
      </w:r>
      <w:r>
        <w:rPr>
          <w:rFonts w:ascii="Times New Roman" w:cs="Times New Roman" w:eastAsia="Times New Roman" w:hAnsi="Times New Roman"/>
          <w:sz w:val="13"/>
          <w:szCs w:val="13"/>
          <w:color w:val="auto"/>
        </w:rPr>
        <w:t>— In April 2002, a former participant in WM Holdings’ ERISA plans and another individual filed a lawsuit in Washington, D.C. against WMI, WM Holdings and others,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 was settled in November 2001. Subsequently, the issues related to the latter class action have been dropped as to WMI, its officers and directors. The case is ongoing with respect to WM Holdings and others, and WM Holdings intends to defend itself vigorously.</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6" w:lineRule="exact"/>
        <w:rPr>
          <w:sz w:val="20"/>
          <w:szCs w:val="20"/>
          <w:color w:val="auto"/>
        </w:rPr>
      </w:pPr>
    </w:p>
    <w:p>
      <w:pPr>
        <w:ind w:right="20" w:firstLine="399"/>
        <w:spacing w:after="0" w:line="263" w:lineRule="auto"/>
        <w:rPr>
          <w:sz w:val="20"/>
          <w:szCs w:val="20"/>
          <w:color w:val="auto"/>
        </w:rPr>
      </w:pPr>
      <w:r>
        <w:rPr>
          <w:rFonts w:ascii="Times New Roman" w:cs="Times New Roman" w:eastAsia="Times New Roman" w:hAnsi="Times New Roman"/>
          <w:sz w:val="13"/>
          <w:szCs w:val="13"/>
          <w:color w:val="auto"/>
        </w:rPr>
        <w:t>There are two separate wage and hour lawsuits pending against us in California, each seeking class certification. Both actions make the same general allegations that the defendants failed to comply with certain California wage and hour laws, including allegedly failing to provide meal and rest periods, and failing to properly pay hourly and overtime wages. We deny the plaintiffs’ claims and intend to vigorously defend these matters. As the litigation is in the early stages of the legal process, and given the inherent uncertainties of litigation, the ultimate outcome cannot be predicted at this time, nor can the amount of any potential loss be reasonably estimated.</w:t>
      </w:r>
    </w:p>
    <w:p>
      <w:pPr>
        <w:spacing w:after="0" w:line="62" w:lineRule="exact"/>
        <w:rPr>
          <w:sz w:val="20"/>
          <w:szCs w:val="20"/>
          <w:color w:val="auto"/>
        </w:rPr>
      </w:pPr>
    </w:p>
    <w:p>
      <w:pPr>
        <w:ind w:right="20" w:firstLine="399"/>
        <w:spacing w:after="0" w:line="259" w:lineRule="auto"/>
        <w:rPr>
          <w:sz w:val="20"/>
          <w:szCs w:val="20"/>
          <w:color w:val="auto"/>
        </w:rPr>
      </w:pPr>
      <w:r>
        <w:rPr>
          <w:rFonts w:ascii="Times New Roman" w:cs="Times New Roman" w:eastAsia="Times New Roman" w:hAnsi="Times New Roman"/>
          <w:sz w:val="13"/>
          <w:szCs w:val="13"/>
          <w:color w:val="auto"/>
        </w:rPr>
        <w:t>From time to time, we pay fines or penalties in environmental proceedings relating primarily to waste treatment, storage or disposal facilities. As of March 31, 2008, there were five proceedings involving our subsidiaries where we reasonably believe that the sanctions could equal or exceed $100,000. The matters involve allegations that subsidiaries (i) failed to comply with leachate storage requirements at an operating landfill; (ii) violated federal air regulations at an operating landfill; (iii) failed to meet reporting requirements under federal air regulations at an operating landfill; (iv) violated National Pollutant Discharge Elimination System permit conditions at an operating landfill; and (v) violated handling, disposal and transportation related requirements at an operating landfill. We do not believe that the fines or other penalties in any of these matters will, individually or in the aggregate, have a material adverse effect on our financial condition or results of operations.</w:t>
      </w:r>
    </w:p>
    <w:p>
      <w:pPr>
        <w:spacing w:after="0" w:line="64" w:lineRule="exact"/>
        <w:rPr>
          <w:sz w:val="20"/>
          <w:szCs w:val="20"/>
          <w:color w:val="auto"/>
        </w:rPr>
      </w:pPr>
    </w:p>
    <w:p>
      <w:pPr>
        <w:ind w:right="80" w:firstLine="399"/>
        <w:spacing w:after="0" w:line="258" w:lineRule="auto"/>
        <w:rPr>
          <w:sz w:val="20"/>
          <w:szCs w:val="20"/>
          <w:color w:val="auto"/>
        </w:rPr>
      </w:pPr>
      <w:r>
        <w:rPr>
          <w:rFonts w:ascii="Times New Roman" w:cs="Times New Roman" w:eastAsia="Times New Roman" w:hAnsi="Times New Roman"/>
          <w:sz w:val="13"/>
          <w:szCs w:val="13"/>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64"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13"/>
          <w:szCs w:val="13"/>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 related claims, including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62" w:lineRule="exact"/>
        <w:rPr>
          <w:sz w:val="20"/>
          <w:szCs w:val="20"/>
          <w:color w:val="auto"/>
        </w:rPr>
      </w:pPr>
    </w:p>
    <w:p>
      <w:pPr>
        <w:ind w:right="120" w:firstLine="399"/>
        <w:spacing w:after="0" w:line="261" w:lineRule="auto"/>
        <w:rPr>
          <w:sz w:val="20"/>
          <w:szCs w:val="20"/>
          <w:color w:val="auto"/>
        </w:rPr>
      </w:pPr>
      <w:r>
        <w:rPr>
          <w:rFonts w:ascii="Times New Roman" w:cs="Times New Roman" w:eastAsia="Times New Roman" w:hAnsi="Times New Roman"/>
          <w:sz w:val="13"/>
          <w:szCs w:val="13"/>
          <w:color w:val="auto"/>
        </w:rPr>
        <w:t>WMI’s charter and bylaws currently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WMI has entered into separate indemnification agreements with each of the members of its Board of Directors as well as its Chief Executive Officer, its President and its Chief Financial Officer.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62" w:lineRule="exact"/>
        <w:rPr>
          <w:sz w:val="20"/>
          <w:szCs w:val="20"/>
          <w:color w:val="auto"/>
        </w:rPr>
      </w:pPr>
    </w:p>
    <w:p>
      <w:pPr>
        <w:ind w:right="20" w:firstLine="399"/>
        <w:spacing w:after="0" w:line="269" w:lineRule="auto"/>
        <w:rPr>
          <w:sz w:val="20"/>
          <w:szCs w:val="20"/>
          <w:color w:val="auto"/>
        </w:rPr>
      </w:pPr>
      <w:r>
        <w:rPr>
          <w:rFonts w:ascii="Times New Roman" w:cs="Times New Roman" w:eastAsia="Times New Roman" w:hAnsi="Times New Roman"/>
          <w:sz w:val="13"/>
          <w:szCs w:val="13"/>
          <w:color w:val="auto"/>
        </w:rPr>
        <w:t>On March 20, 2008, we filed a lawsuit in state court in the Southern District of Texas against SAP AG and SAP America, Inc., alleging fraud and breach of contract. The lawsuit relates to our 2005 software license from SAP for a waste and recycling revenue management system and agreement for SAP to implement the software on a fixed-fee basis. We have alleged that SAP represented that customization of the software would not be necessary and that the</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6"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3"/>
          <w:szCs w:val="13"/>
          <w:color w:val="auto"/>
        </w:rPr>
        <w:t>software would be fully implemented throughout the Company in 18 months. However, SAP had to write new code and extensively customize the software. SAP’s efforts did not deliver a usable and supportable application, as demonstrated by the failed pilot implementation in New Mexico, one of our smallest market areas. We are pursuing all legal remedies, including recovery of all costs we have incurred related to the licensing and implementation of the failed system, as well as the savings and benefits that the SAP software was promised to deliver. SAP recently filed a general denial to the suit. We will vigorously pursue all claims available.</w:t>
      </w:r>
    </w:p>
    <w:p>
      <w:pPr>
        <w:spacing w:after="0" w:line="62" w:lineRule="exact"/>
        <w:rPr>
          <w:sz w:val="20"/>
          <w:szCs w:val="20"/>
          <w:color w:val="auto"/>
        </w:rPr>
      </w:pPr>
    </w:p>
    <w:p>
      <w:pPr>
        <w:ind w:right="100" w:firstLine="399"/>
        <w:spacing w:after="0" w:line="269" w:lineRule="auto"/>
        <w:rPr>
          <w:sz w:val="20"/>
          <w:szCs w:val="20"/>
          <w:color w:val="auto"/>
        </w:rPr>
      </w:pPr>
      <w:r>
        <w:rPr>
          <w:rFonts w:ascii="Times New Roman" w:cs="Times New Roman" w:eastAsia="Times New Roman" w:hAnsi="Times New Roman"/>
          <w:sz w:val="13"/>
          <w:szCs w:val="13"/>
          <w:color w:val="auto"/>
        </w:rPr>
        <w:t>We are still examining all of our alternatives associated with the development and implementation of a revenue management system, some of which may be affected by the ultimate resolution of the lawsuit. As we continue to assess the alternatives available to us, we may determine that the best course of action will be to move forward with another software and abandon the SAP revenue management system. If we decide to abandon the SAP software, the abandonment would result in a charge of between $45 million and $55 million.</w:t>
      </w:r>
    </w:p>
    <w:p>
      <w:pPr>
        <w:spacing w:after="0" w:line="56" w:lineRule="exact"/>
        <w:rPr>
          <w:sz w:val="20"/>
          <w:szCs w:val="20"/>
          <w:color w:val="auto"/>
        </w:rPr>
      </w:pPr>
    </w:p>
    <w:p>
      <w:pPr>
        <w:ind w:right="2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Tax matters </w:t>
      </w:r>
      <w:r>
        <w:rPr>
          <w:rFonts w:ascii="Times New Roman" w:cs="Times New Roman" w:eastAsia="Times New Roman" w:hAnsi="Times New Roman"/>
          <w:sz w:val="13"/>
          <w:szCs w:val="13"/>
          <w:color w:val="auto"/>
        </w:rPr>
        <w:t>— We are currently in the examination phase of IRS audits for the years 2006 and 2007. We expect these audits to be completed within the next nine months. Audits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associated with state and local jurisdictions date back to 1999 and examinations associated with Canada date back to 2002. To provide for certain potential tax exposures, we maintain a liability for unrecognized tax benefits, the balance of which management believes is adequate.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62" w:lineRule="exact"/>
        <w:rPr>
          <w:sz w:val="20"/>
          <w:szCs w:val="20"/>
          <w:color w:val="auto"/>
        </w:rPr>
      </w:pPr>
    </w:p>
    <w:p>
      <w:pPr>
        <w:ind w:right="80" w:firstLine="399"/>
        <w:spacing w:after="0" w:line="259" w:lineRule="auto"/>
        <w:rPr>
          <w:sz w:val="20"/>
          <w:szCs w:val="20"/>
          <w:color w:val="auto"/>
        </w:rPr>
      </w:pPr>
      <w:r>
        <w:rPr>
          <w:rFonts w:ascii="Times New Roman" w:cs="Times New Roman" w:eastAsia="Times New Roman" w:hAnsi="Times New Roman"/>
          <w:sz w:val="13"/>
          <w:szCs w:val="13"/>
          <w:color w:val="auto"/>
        </w:rPr>
        <w:t>We have approximately $2.9 billion of tax-exempt financings as of March 31, 2008. Tax-exempt financings are structured pursuant to certain terms and conditions of the Internal Revenue Code, which exempts from taxation the interest income earned by the bondholders in the transactions. The requirements of the Code can be complex, and failure to comply with these requirements could cause certain past interest payments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 and applicable regulations. It is possible that an adverse determination by the IRS could have a material adverse effect on the Company’s cash flows and results of operations.</w:t>
      </w:r>
    </w:p>
    <w:p>
      <w:pPr>
        <w:spacing w:after="0" w:line="141" w:lineRule="exact"/>
        <w:rPr>
          <w:sz w:val="20"/>
          <w:szCs w:val="20"/>
          <w:color w:val="auto"/>
        </w:rPr>
      </w:pPr>
    </w:p>
    <w:p>
      <w:pPr>
        <w:ind w:left="320" w:hanging="313"/>
        <w:spacing w:after="0"/>
        <w:tabs>
          <w:tab w:leader="none" w:pos="320" w:val="left"/>
        </w:tabs>
        <w:numPr>
          <w:ilvl w:val="0"/>
          <w:numId w:val="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Restructuring</w:t>
      </w:r>
    </w:p>
    <w:p>
      <w:pPr>
        <w:spacing w:after="0" w:line="98" w:lineRule="exact"/>
        <w:rPr>
          <w:sz w:val="20"/>
          <w:szCs w:val="20"/>
          <w:color w:val="auto"/>
        </w:rPr>
      </w:pPr>
    </w:p>
    <w:p>
      <w:pPr>
        <w:ind w:firstLine="399"/>
        <w:spacing w:after="0" w:line="263" w:lineRule="auto"/>
        <w:rPr>
          <w:sz w:val="20"/>
          <w:szCs w:val="20"/>
          <w:color w:val="auto"/>
        </w:rPr>
      </w:pPr>
      <w:r>
        <w:rPr>
          <w:rFonts w:ascii="Times New Roman" w:cs="Times New Roman" w:eastAsia="Times New Roman" w:hAnsi="Times New Roman"/>
          <w:sz w:val="13"/>
          <w:szCs w:val="13"/>
          <w:color w:val="auto"/>
        </w:rPr>
        <w:t>In the first quarter of 2007, we restructured certain operations and functions, resulting in the recognition of a charge of $9 million. Approximately $6 million of our restructuring costs was incurred by our Corporate organization, $2 million was incurred by our Midwest Group and $1 million was incurred by our Western Group. These charges included $8 million for employee severance and benefit costs and $1 million related to operating lease agreements. We incurred an additional $1 million of costs for this restructuring during the second quarter of 2007 relating to operating lease agreements.</w:t>
      </w:r>
    </w:p>
    <w:p>
      <w:pPr>
        <w:spacing w:after="0" w:line="62" w:lineRule="exact"/>
        <w:rPr>
          <w:sz w:val="20"/>
          <w:szCs w:val="20"/>
          <w:color w:val="auto"/>
        </w:rPr>
      </w:pPr>
    </w:p>
    <w:p>
      <w:pPr>
        <w:ind w:right="140" w:firstLine="399"/>
        <w:spacing w:after="0" w:line="286" w:lineRule="auto"/>
        <w:rPr>
          <w:sz w:val="20"/>
          <w:szCs w:val="20"/>
          <w:color w:val="auto"/>
        </w:rPr>
      </w:pPr>
      <w:r>
        <w:rPr>
          <w:rFonts w:ascii="Times New Roman" w:cs="Times New Roman" w:eastAsia="Times New Roman" w:hAnsi="Times New Roman"/>
          <w:sz w:val="13"/>
          <w:szCs w:val="13"/>
          <w:color w:val="auto"/>
        </w:rPr>
        <w:t>Through March 31, 2008, we had paid $6 million of the employee severance and benefit costs incurred as a result of this restructuring. The length of time we are obligated to make severance payments varies, with the longest obligation continuing through the first quarter of 2009.</w:t>
      </w:r>
    </w:p>
    <w:p>
      <w:pPr>
        <w:spacing w:after="0" w:line="123" w:lineRule="exact"/>
        <w:rPr>
          <w:sz w:val="20"/>
          <w:szCs w:val="20"/>
          <w:color w:val="auto"/>
        </w:rPr>
      </w:pPr>
    </w:p>
    <w:p>
      <w:pPr>
        <w:ind w:left="320" w:hanging="313"/>
        <w:spacing w:after="0"/>
        <w:tabs>
          <w:tab w:leader="none" w:pos="320" w:val="left"/>
        </w:tabs>
        <w:numPr>
          <w:ilvl w:val="0"/>
          <w:numId w:val="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Segment and Related Information</w:t>
      </w:r>
    </w:p>
    <w:p>
      <w:pPr>
        <w:spacing w:after="0" w:line="98" w:lineRule="exact"/>
        <w:rPr>
          <w:sz w:val="20"/>
          <w:szCs w:val="20"/>
          <w:color w:val="auto"/>
        </w:rPr>
      </w:pPr>
    </w:p>
    <w:p>
      <w:pPr>
        <w:ind w:right="40" w:firstLine="399"/>
        <w:spacing w:after="0" w:line="269" w:lineRule="auto"/>
        <w:rPr>
          <w:sz w:val="20"/>
          <w:szCs w:val="20"/>
          <w:color w:val="auto"/>
        </w:rPr>
      </w:pPr>
      <w:r>
        <w:rPr>
          <w:rFonts w:ascii="Times New Roman" w:cs="Times New Roman" w:eastAsia="Times New Roman" w:hAnsi="Times New Roman"/>
          <w:sz w:val="13"/>
          <w:szCs w:val="13"/>
          <w:color w:val="auto"/>
        </w:rPr>
        <w:t>We manage and evaluate our operations primarily through our Eastern, Midwest, Southern, Western, Wheelabrator and WMRA Groups. These six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4" w:right="10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residential customers throughout the United States and in Puerto Rico and Canada. The operations not managed through our six operating Groups are presented herein as “Other.”</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Summarized financial information concerning our reportable segments for the three months ended March 31 is shown in the following tables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Income from</w:t>
            </w:r>
          </w:p>
        </w:tc>
        <w:tc>
          <w:tcPr>
            <w:tcW w:w="0" w:type="dxa"/>
            <w:vAlign w:val="bottom"/>
          </w:tcPr>
          <w:p>
            <w:pPr>
              <w:spacing w:after="0"/>
              <w:rPr>
                <w:sz w:val="1"/>
                <w:szCs w:val="1"/>
                <w:color w:val="auto"/>
              </w:rPr>
            </w:pPr>
          </w:p>
        </w:tc>
      </w:tr>
      <w:tr>
        <w:trPr>
          <w:trHeight w:val="139"/>
        </w:trPr>
        <w:tc>
          <w:tcPr>
            <w:tcW w:w="5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2"/>
                <w:szCs w:val="12"/>
                <w:color w:val="auto"/>
              </w:rPr>
            </w:pPr>
          </w:p>
        </w:tc>
        <w:tc>
          <w:tcPr>
            <w:tcW w:w="1020" w:type="dxa"/>
            <w:vAlign w:val="bottom"/>
            <w:gridSpan w:val="3"/>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120" w:type="dxa"/>
            <w:vAlign w:val="bottom"/>
          </w:tcPr>
          <w:p>
            <w:pPr>
              <w:spacing w:after="0"/>
              <w:rPr>
                <w:sz w:val="12"/>
                <w:szCs w:val="12"/>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100" w:type="dxa"/>
            <w:vAlign w:val="bottom"/>
          </w:tcPr>
          <w:p>
            <w:pPr>
              <w:spacing w:after="0"/>
              <w:rPr>
                <w:sz w:val="12"/>
                <w:szCs w:val="12"/>
                <w:color w:val="auto"/>
              </w:rPr>
            </w:pPr>
          </w:p>
        </w:tc>
        <w:tc>
          <w:tcPr>
            <w:tcW w:w="100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12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100" w:type="dxa"/>
            <w:vAlign w:val="bottom"/>
          </w:tcPr>
          <w:p>
            <w:pPr>
              <w:spacing w:after="0"/>
              <w:rPr>
                <w:sz w:val="13"/>
                <w:szCs w:val="13"/>
                <w:color w:val="auto"/>
              </w:rPr>
            </w:pPr>
          </w:p>
        </w:tc>
        <w:tc>
          <w:tcPr>
            <w:tcW w:w="100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Operations</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March 31, 2008</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Eastern</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759</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Midwest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690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581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Southern</w:t>
            </w:r>
          </w:p>
        </w:tc>
        <w:tc>
          <w:tcPr>
            <w:tcW w:w="1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913</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787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214</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Western</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853</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746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213</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WMRA</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275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(515)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3,266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638</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Corporate and Other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3,781</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511</w:t>
            </w:r>
          </w:p>
        </w:tc>
        <w:tc>
          <w:tcPr>
            <w:tcW w:w="0" w:type="dxa"/>
            <w:vAlign w:val="bottom"/>
          </w:tcPr>
          <w:p>
            <w:pPr>
              <w:spacing w:after="0"/>
              <w:rPr>
                <w:sz w:val="1"/>
                <w:szCs w:val="1"/>
                <w:color w:val="auto"/>
              </w:rPr>
            </w:pPr>
          </w:p>
        </w:tc>
      </w:tr>
      <w:tr>
        <w:trPr>
          <w:trHeight w:val="167"/>
        </w:trPr>
        <w:tc>
          <w:tcPr>
            <w:tcW w:w="5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March 31, 2007</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Eastern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790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Midwest</w:t>
            </w:r>
          </w:p>
        </w:tc>
        <w:tc>
          <w:tcPr>
            <w:tcW w:w="1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680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567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Southern</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919</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782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Western</w:t>
            </w:r>
          </w:p>
        </w:tc>
        <w:tc>
          <w:tcPr>
            <w:tcW w:w="1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851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743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WMRA</w:t>
            </w:r>
          </w:p>
        </w:tc>
        <w:tc>
          <w:tcPr>
            <w:tcW w:w="1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3,188</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and Other</w:t>
            </w:r>
          </w:p>
        </w:tc>
        <w:tc>
          <w:tcPr>
            <w:tcW w:w="10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66"/>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3,188</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-2320925</wp:posOffset>
            </wp:positionV>
            <wp:extent cx="3111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66" w:lineRule="exact"/>
        <w:rPr>
          <w:sz w:val="20"/>
          <w:szCs w:val="20"/>
          <w:color w:val="auto"/>
        </w:rPr>
      </w:pPr>
    </w:p>
    <w:p>
      <w:pPr>
        <w:ind w:right="100" w:firstLine="399"/>
        <w:spacing w:after="0" w:line="258" w:lineRule="auto"/>
        <w:rPr>
          <w:sz w:val="20"/>
          <w:szCs w:val="20"/>
          <w:color w:val="auto"/>
        </w:rPr>
      </w:pPr>
      <w:r>
        <w:rPr>
          <w:rFonts w:ascii="Times New Roman" w:cs="Times New Roman" w:eastAsia="Times New Roman" w:hAnsi="Times New Roman"/>
          <w:sz w:val="13"/>
          <w:szCs w:val="13"/>
          <w:color w:val="auto"/>
        </w:rPr>
        <w:t>The income from operations provided by our four geographic segments is generally indicative of the margins provided by our collection, landfill and transfer businesses, although these Groups do provide recycling and other services that can affect these trends. The operating margins provided by our Wheelabrator segment (waste-to-energy facilities and independent power production plants) have historically been higher than the margins provided by our base business generally due to the combined impact of long-term disposal and energy contracts and the disposal demands of the region in which our facilities are concentrated. Income from operations provided by our WMRA segment generally reflects operating margins typical of the recycling industry, which tend to be lower than those provided by our base business, but may fluctuate significantly as market prices for commodities change. Fluctuations in our operating results between quarters may be caused by many factors, including period-to-period changes in the relative contribution of revenue by each line of business and operating segment and general economic conditions.</w:t>
      </w:r>
    </w:p>
    <w:p>
      <w:pPr>
        <w:spacing w:after="0" w:line="64" w:lineRule="exact"/>
        <w:rPr>
          <w:sz w:val="20"/>
          <w:szCs w:val="20"/>
          <w:color w:val="auto"/>
        </w:rPr>
      </w:pPr>
    </w:p>
    <w:p>
      <w:pPr>
        <w:ind w:right="80" w:firstLine="399"/>
        <w:spacing w:after="0" w:line="286" w:lineRule="auto"/>
        <w:rPr>
          <w:sz w:val="20"/>
          <w:szCs w:val="20"/>
          <w:color w:val="auto"/>
        </w:rPr>
      </w:pPr>
      <w:r>
        <w:rPr>
          <w:rFonts w:ascii="Times New Roman" w:cs="Times New Roman" w:eastAsia="Times New Roman" w:hAnsi="Times New Roman"/>
          <w:sz w:val="13"/>
          <w:szCs w:val="13"/>
          <w:color w:val="auto"/>
        </w:rPr>
        <w:t>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3"/>
          <w:szCs w:val="13"/>
          <w:color w:val="auto"/>
        </w:rPr>
        <w:t>increase during the summer months. Our second and third quarter revenues and results of operations typically reflect these seasonal trends. Additionally, certain destructive weather conditions that tend to occur during the second half of the year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62" w:lineRule="exact"/>
        <w:rPr>
          <w:sz w:val="20"/>
          <w:szCs w:val="20"/>
          <w:color w:val="auto"/>
        </w:rPr>
      </w:pPr>
    </w:p>
    <w:p>
      <w:pPr>
        <w:ind w:firstLine="399"/>
        <w:spacing w:after="0" w:line="286" w:lineRule="auto"/>
        <w:rPr>
          <w:sz w:val="20"/>
          <w:szCs w:val="20"/>
          <w:color w:val="auto"/>
        </w:rPr>
      </w:pPr>
      <w:r>
        <w:rPr>
          <w:rFonts w:ascii="Times New Roman" w:cs="Times New Roman" w:eastAsia="Times New Roman" w:hAnsi="Times New Roman"/>
          <w:sz w:val="13"/>
          <w:szCs w:val="13"/>
          <w:color w:val="auto"/>
        </w:rPr>
        <w:t>From time to time, the operating results of our reportable segments are significantly affected by unusual or infrequent transactions or events. Items that have significantly affected the operating results of our segments during the periods presented include the following:</w:t>
      </w:r>
    </w:p>
    <w:p>
      <w:pPr>
        <w:spacing w:after="0" w:line="45" w:lineRule="exact"/>
        <w:rPr>
          <w:sz w:val="20"/>
          <w:szCs w:val="20"/>
          <w:color w:val="auto"/>
        </w:rPr>
      </w:pPr>
    </w:p>
    <w:p>
      <w:pPr>
        <w:ind w:left="600" w:right="380" w:hanging="190"/>
        <w:spacing w:after="0" w:line="289" w:lineRule="auto"/>
        <w:tabs>
          <w:tab w:leader="none" w:pos="600"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Eastern — </w:t>
      </w:r>
      <w:r>
        <w:rPr>
          <w:rFonts w:ascii="Times New Roman" w:cs="Times New Roman" w:eastAsia="Times New Roman" w:hAnsi="Times New Roman"/>
          <w:sz w:val="13"/>
          <w:szCs w:val="13"/>
          <w:color w:val="auto"/>
        </w:rPr>
        <w:t>The Group’s operating results were improved by $15 million during the first quarter of 2007 and $3 million during the first quarter of 2008 due to the favorable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resolution of a disposal tax matter. These impacts were recognized as reductions to disposal fees and taxes within our “Operating” expenses.</w:t>
      </w:r>
    </w:p>
    <w:p>
      <w:pPr>
        <w:spacing w:after="0" w:line="33" w:lineRule="exact"/>
        <w:rPr>
          <w:rFonts w:ascii="Times New Roman" w:cs="Times New Roman" w:eastAsia="Times New Roman" w:hAnsi="Times New Roman"/>
          <w:sz w:val="13"/>
          <w:szCs w:val="13"/>
          <w:color w:val="auto"/>
        </w:rPr>
      </w:pPr>
    </w:p>
    <w:p>
      <w:pPr>
        <w:ind w:left="600" w:right="60" w:hanging="190"/>
        <w:spacing w:after="0" w:line="289" w:lineRule="auto"/>
        <w:tabs>
          <w:tab w:leader="none" w:pos="600"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Wheelabrator — </w:t>
      </w:r>
      <w:r>
        <w:rPr>
          <w:rFonts w:ascii="Times New Roman" w:cs="Times New Roman" w:eastAsia="Times New Roman" w:hAnsi="Times New Roman"/>
          <w:sz w:val="13"/>
          <w:szCs w:val="13"/>
          <w:color w:val="auto"/>
        </w:rPr>
        <w:t>The Group’s income from operations for the first quarter of 2007 was negatively affected by $21 million of charges incurred for the early termination of a lease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agreement in connection with the purchase of one of our independent power production plants. This charge was recorded as “Operating” expenses.</w:t>
      </w:r>
    </w:p>
    <w:p>
      <w:pPr>
        <w:spacing w:after="0" w:line="121" w:lineRule="exact"/>
        <w:rPr>
          <w:rFonts w:ascii="Times New Roman" w:cs="Times New Roman" w:eastAsia="Times New Roman" w:hAnsi="Times New Roman"/>
          <w:sz w:val="13"/>
          <w:szCs w:val="13"/>
          <w:color w:val="auto"/>
        </w:rPr>
      </w:pPr>
    </w:p>
    <w:p>
      <w:pPr>
        <w:ind w:left="500" w:hanging="493"/>
        <w:spacing w:after="0"/>
        <w:tabs>
          <w:tab w:leader="none" w:pos="500"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(Income) Expense from Divestitures, Asset Impairments and Unusual Items</w:t>
      </w:r>
    </w:p>
    <w:p>
      <w:pPr>
        <w:spacing w:after="0" w:line="96" w:lineRule="exact"/>
        <w:rPr>
          <w:sz w:val="20"/>
          <w:szCs w:val="20"/>
          <w:color w:val="auto"/>
        </w:rPr>
      </w:pPr>
    </w:p>
    <w:p>
      <w:pPr>
        <w:ind w:right="1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(Income) expense from divestitures (including held-for-sale impairments) </w:t>
      </w:r>
      <w:r>
        <w:rPr>
          <w:rFonts w:ascii="Times New Roman" w:cs="Times New Roman" w:eastAsia="Times New Roman" w:hAnsi="Times New Roman"/>
          <w:sz w:val="13"/>
          <w:szCs w:val="13"/>
          <w:color w:val="auto"/>
        </w:rPr>
        <w:t>— We recognized $2 million of net gains on divestitures during the first quarter of 2008 and $9 million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net gains on divestitures during the first quarter of 2007. The majority of these net gains relate to divestitures of operations in our Southern and Eastern Groups.</w:t>
      </w:r>
    </w:p>
    <w:p>
      <w:pPr>
        <w:spacing w:after="0" w:line="43" w:lineRule="exact"/>
        <w:rPr>
          <w:sz w:val="20"/>
          <w:szCs w:val="20"/>
          <w:color w:val="auto"/>
        </w:rPr>
      </w:pPr>
    </w:p>
    <w:p>
      <w:pPr>
        <w:ind w:right="30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Impairments of assets held-for-use </w:t>
      </w:r>
      <w:r>
        <w:rPr>
          <w:rFonts w:ascii="Times New Roman" w:cs="Times New Roman" w:eastAsia="Times New Roman" w:hAnsi="Times New Roman"/>
          <w:sz w:val="13"/>
          <w:szCs w:val="13"/>
          <w:color w:val="auto"/>
        </w:rPr>
        <w:t>— During the first quarter of 2007, we recorded impairment charges of $10 million attributable to two landfills in our Southern Group.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impairments were necessary as a result of the re-evaluation of our business alternatives for one landfill and the expiration of a contract that we had expected would be renewed that had significantly contributed to volumes for the second landfill.</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44" w:right="10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4" w:lineRule="exact"/>
        <w:rPr>
          <w:sz w:val="20"/>
          <w:szCs w:val="20"/>
          <w:color w:val="auto"/>
        </w:rPr>
      </w:pPr>
    </w:p>
    <w:p>
      <w:pPr>
        <w:ind w:left="500" w:hanging="493"/>
        <w:spacing w:after="0"/>
        <w:tabs>
          <w:tab w:leader="none" w:pos="500"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Fair Value Measurements</w:t>
      </w:r>
    </w:p>
    <w:p>
      <w:pPr>
        <w:spacing w:after="0" w:line="98" w:lineRule="exact"/>
        <w:rPr>
          <w:sz w:val="20"/>
          <w:szCs w:val="20"/>
          <w:color w:val="auto"/>
        </w:rPr>
      </w:pPr>
    </w:p>
    <w:p>
      <w:pPr>
        <w:ind w:right="60" w:firstLine="399"/>
        <w:spacing w:after="0" w:line="286" w:lineRule="auto"/>
        <w:rPr>
          <w:sz w:val="20"/>
          <w:szCs w:val="20"/>
          <w:color w:val="auto"/>
        </w:rPr>
      </w:pPr>
      <w:r>
        <w:rPr>
          <w:rFonts w:ascii="Times New Roman" w:cs="Times New Roman" w:eastAsia="Times New Roman" w:hAnsi="Times New Roman"/>
          <w:sz w:val="13"/>
          <w:szCs w:val="13"/>
          <w:color w:val="auto"/>
        </w:rPr>
        <w:t>SFAS No. 157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47" w:lineRule="exact"/>
        <w:rPr>
          <w:sz w:val="20"/>
          <w:szCs w:val="20"/>
          <w:color w:val="auto"/>
        </w:rPr>
      </w:pPr>
    </w:p>
    <w:p>
      <w:pPr>
        <w:ind w:firstLine="399"/>
        <w:spacing w:after="0" w:line="269" w:lineRule="auto"/>
        <w:rPr>
          <w:sz w:val="20"/>
          <w:szCs w:val="20"/>
          <w:color w:val="auto"/>
        </w:rPr>
      </w:pPr>
      <w:r>
        <w:rPr>
          <w:rFonts w:ascii="Times New Roman" w:cs="Times New Roman" w:eastAsia="Times New Roman" w:hAnsi="Times New Roman"/>
          <w:sz w:val="13"/>
          <w:szCs w:val="13"/>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As of March 31, 2008, our assets and liabilities that are measured at fair value on a recurring basis include the following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0"/>
                <w:szCs w:val="10"/>
                <w:b w:val="1"/>
                <w:bCs w:val="1"/>
                <w:color w:val="auto"/>
              </w:rPr>
              <w:t>Fair Value Measurements Using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6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gridSpan w:val="2"/>
          </w:tcPr>
          <w:p>
            <w:pPr>
              <w:jc w:val="center"/>
              <w:ind w:right="180"/>
              <w:spacing w:after="0" w:line="79" w:lineRule="exact"/>
              <w:rPr>
                <w:sz w:val="20"/>
                <w:szCs w:val="20"/>
                <w:color w:val="auto"/>
              </w:rPr>
            </w:pPr>
            <w:r>
              <w:rPr>
                <w:rFonts w:ascii="Times New Roman" w:cs="Times New Roman" w:eastAsia="Times New Roman" w:hAnsi="Times New Roman"/>
                <w:sz w:val="9"/>
                <w:szCs w:val="9"/>
                <w:b w:val="1"/>
                <w:bCs w:val="1"/>
                <w:color w:val="auto"/>
              </w:rPr>
              <w:t>Quoted</w:t>
            </w: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tcPr>
          <w:p>
            <w:pPr>
              <w:jc w:val="center"/>
              <w:ind w:right="460"/>
              <w:spacing w:after="0" w:line="79"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100" w:type="dxa"/>
            <w:vAlign w:val="bottom"/>
          </w:tcPr>
          <w:p>
            <w:pPr>
              <w:spacing w:after="0"/>
              <w:rPr>
                <w:sz w:val="6"/>
                <w:szCs w:val="6"/>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Significant</w:t>
            </w: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rPr>
              <w:t>Prices in</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Times New Roman" w:cs="Times New Roman" w:eastAsia="Times New Roman" w:hAnsi="Times New Roman"/>
                <w:sz w:val="10"/>
                <w:szCs w:val="10"/>
                <w:b w:val="1"/>
                <w:bCs w:val="1"/>
                <w:color w:val="auto"/>
              </w:rPr>
              <w:t>Other</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rPr>
              <w:t>Active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60"/>
              <w:spacing w:after="0" w:line="108" w:lineRule="exact"/>
              <w:rPr>
                <w:sz w:val="20"/>
                <w:szCs w:val="20"/>
                <w:color w:val="auto"/>
              </w:rPr>
            </w:pPr>
            <w:r>
              <w:rPr>
                <w:rFonts w:ascii="Times New Roman" w:cs="Times New Roman" w:eastAsia="Times New Roman" w:hAnsi="Times New Roman"/>
                <w:sz w:val="10"/>
                <w:szCs w:val="10"/>
                <w:b w:val="1"/>
                <w:bCs w:val="1"/>
                <w:color w:val="auto"/>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rPr>
              <w:t>Unobservable</w:t>
            </w: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72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0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rPr>
              <w:t>Markets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Times New Roman" w:cs="Times New Roman" w:eastAsia="Times New Roman" w:hAnsi="Times New Roman"/>
                <w:sz w:val="10"/>
                <w:szCs w:val="10"/>
                <w:b w:val="1"/>
                <w:bCs w:val="1"/>
                <w:color w:val="auto"/>
              </w:rPr>
              <w:t>Inputs</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rPr>
              <w:t>Inputs</w:t>
            </w:r>
          </w:p>
        </w:tc>
        <w:tc>
          <w:tcPr>
            <w:tcW w:w="0" w:type="dxa"/>
            <w:vAlign w:val="bottom"/>
          </w:tcPr>
          <w:p>
            <w:pPr>
              <w:spacing w:after="0"/>
              <w:rPr>
                <w:sz w:val="1"/>
                <w:szCs w:val="1"/>
                <w:color w:val="auto"/>
              </w:rPr>
            </w:pPr>
          </w:p>
        </w:tc>
      </w:tr>
      <w:tr>
        <w:trPr>
          <w:trHeight w:val="127"/>
        </w:trPr>
        <w:tc>
          <w:tcPr>
            <w:tcW w:w="630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rate derivatives</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Environmental remediation recovery assets</w:t>
            </w:r>
          </w:p>
        </w:tc>
        <w:tc>
          <w:tcPr>
            <w:tcW w:w="10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Liabilities:</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rate derivatives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currency derivatives</w:t>
            </w:r>
          </w:p>
        </w:tc>
        <w:tc>
          <w:tcPr>
            <w:tcW w:w="10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00" w:hanging="493"/>
        <w:spacing w:after="0"/>
        <w:tabs>
          <w:tab w:leader="none" w:pos="500"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Condensed Consolidating Financial Statements</w:t>
      </w:r>
    </w:p>
    <w:p>
      <w:pPr>
        <w:spacing w:after="0" w:line="98" w:lineRule="exact"/>
        <w:rPr>
          <w:sz w:val="20"/>
          <w:szCs w:val="20"/>
          <w:color w:val="auto"/>
        </w:rPr>
      </w:pPr>
    </w:p>
    <w:p>
      <w:pPr>
        <w:ind w:right="120" w:firstLine="399"/>
        <w:spacing w:after="0" w:line="269" w:lineRule="auto"/>
        <w:rPr>
          <w:sz w:val="20"/>
          <w:szCs w:val="20"/>
          <w:color w:val="auto"/>
        </w:rPr>
      </w:pPr>
      <w:r>
        <w:rPr>
          <w:rFonts w:ascii="Times New Roman" w:cs="Times New Roman" w:eastAsia="Times New Roman" w:hAnsi="Times New Roman"/>
          <w:sz w:val="13"/>
          <w:szCs w:val="13"/>
          <w:color w:val="auto"/>
        </w:rPr>
        <w:t>WM Holdings has fully and unconditionally guaranteed all of WMI’s senior indebtedness. WMI has fully and unconditionally guaranteed all of WM Holdings’ senior indebtedness. None of WMI’s other subsidiaries have guaranteed any of WMI’s or WM Holdings’ debt. As a result of these guarantee arrangements, we are required to present the following condensed consolidating financial information (in millions):</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3"/>
          <w:szCs w:val="13"/>
          <w:b w:val="1"/>
          <w:bCs w:val="1"/>
          <w:color w:val="auto"/>
        </w:rPr>
        <w:t>CONDENSED CONSOLIDATING BALANCE SHEETS</w:t>
      </w:r>
    </w:p>
    <w:p>
      <w:pPr>
        <w:spacing w:after="0" w:line="9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March 31, 2008</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WMI</w:t>
            </w:r>
          </w:p>
        </w:tc>
        <w:tc>
          <w:tcPr>
            <w:tcW w:w="100" w:type="dxa"/>
            <w:vAlign w:val="bottom"/>
          </w:tcPr>
          <w:p>
            <w:pPr>
              <w:spacing w:after="0"/>
              <w:rPr>
                <w:sz w:val="10"/>
                <w:szCs w:val="10"/>
                <w:color w:val="auto"/>
              </w:rPr>
            </w:pPr>
          </w:p>
        </w:tc>
        <w:tc>
          <w:tcPr>
            <w:tcW w:w="70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27"/>
        </w:trPr>
        <w:tc>
          <w:tcPr>
            <w:tcW w:w="32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2020" w:type="dxa"/>
            <w:vAlign w:val="bottom"/>
            <w:gridSpan w:val="2"/>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b w:val="1"/>
                <w:bCs w:val="1"/>
                <w:color w:val="auto"/>
              </w:rPr>
              <w:t>ASSETS</w:t>
            </w:r>
          </w:p>
        </w:tc>
        <w:tc>
          <w:tcPr>
            <w:tcW w:w="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Cash and cash equivalents</w:t>
            </w:r>
          </w:p>
        </w:tc>
        <w:tc>
          <w:tcPr>
            <w:tcW w:w="202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457</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9</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466</w:t>
            </w:r>
          </w:p>
        </w:tc>
        <w:tc>
          <w:tcPr>
            <w:tcW w:w="0" w:type="dxa"/>
            <w:vAlign w:val="bottom"/>
          </w:tcPr>
          <w:p>
            <w:pPr>
              <w:spacing w:after="0"/>
              <w:rPr>
                <w:sz w:val="1"/>
                <w:szCs w:val="1"/>
                <w:color w:val="auto"/>
              </w:rPr>
            </w:pPr>
          </w:p>
        </w:tc>
      </w:tr>
      <w:tr>
        <w:trPr>
          <w:trHeight w:val="108"/>
        </w:trPr>
        <w:tc>
          <w:tcPr>
            <w:tcW w:w="32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2,098</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2,099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458</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2,107</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2,565</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Property and equipment, net</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11,297</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11,297</w:t>
            </w: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Investments in and advances to affiliates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9,695</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10,899</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373</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(20,967)</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Other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56</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16</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6,250</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6,322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assets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10,209</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10,915</w:t>
            </w:r>
          </w:p>
        </w:tc>
        <w:tc>
          <w:tcPr>
            <w:tcW w:w="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20,027</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(20,967)</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20,184</w:t>
            </w: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200" w:type="dxa"/>
            <w:vAlign w:val="bottom"/>
          </w:tcPr>
          <w:p>
            <w:pPr>
              <w:spacing w:after="0"/>
              <w:rPr>
                <w:sz w:val="11"/>
                <w:szCs w:val="11"/>
                <w:color w:val="auto"/>
              </w:rPr>
            </w:pPr>
          </w:p>
        </w:tc>
        <w:tc>
          <w:tcPr>
            <w:tcW w:w="3520" w:type="dxa"/>
            <w:vAlign w:val="bottom"/>
            <w:gridSpan w:val="8"/>
          </w:tcPr>
          <w:p>
            <w:pPr>
              <w:ind w:left="660"/>
              <w:spacing w:after="0"/>
              <w:rPr>
                <w:sz w:val="20"/>
                <w:szCs w:val="20"/>
                <w:color w:val="auto"/>
              </w:rPr>
            </w:pPr>
            <w:r>
              <w:rPr>
                <w:rFonts w:ascii="Times New Roman" w:cs="Times New Roman" w:eastAsia="Times New Roman" w:hAnsi="Times New Roman"/>
                <w:sz w:val="10"/>
                <w:szCs w:val="10"/>
                <w:b w:val="1"/>
                <w:bCs w:val="1"/>
                <w:color w:val="auto"/>
              </w:rPr>
              <w:t>LIABILITIES AND STOCKHOLDERS’ EQUITY</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Current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20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Current portion of long-term debt</w:t>
            </w:r>
          </w:p>
        </w:tc>
        <w:tc>
          <w:tcPr>
            <w:tcW w:w="210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5</w:t>
            </w:r>
          </w:p>
        </w:tc>
        <w:tc>
          <w:tcPr>
            <w:tcW w:w="280" w:type="dxa"/>
            <w:vAlign w:val="bottom"/>
          </w:tcPr>
          <w:p>
            <w:pPr>
              <w:spacing w:after="0"/>
              <w:rPr>
                <w:sz w:val="9"/>
                <w:szCs w:val="9"/>
                <w:color w:val="auto"/>
              </w:rPr>
            </w:pPr>
          </w:p>
        </w:tc>
        <w:tc>
          <w:tcPr>
            <w:tcW w:w="140" w:type="dxa"/>
            <w:vAlign w:val="bottom"/>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254</w:t>
            </w:r>
          </w:p>
        </w:tc>
        <w:tc>
          <w:tcPr>
            <w:tcW w:w="380" w:type="dxa"/>
            <w:vAlign w:val="bottom"/>
          </w:tcPr>
          <w:p>
            <w:pPr>
              <w:jc w:val="right"/>
              <w:ind w:right="314"/>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231</w:t>
            </w:r>
          </w:p>
        </w:tc>
        <w:tc>
          <w:tcPr>
            <w:tcW w:w="26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18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490</w:t>
            </w:r>
          </w:p>
        </w:tc>
      </w:tr>
      <w:tr>
        <w:trPr>
          <w:trHeight w:val="108"/>
        </w:trPr>
        <w:tc>
          <w:tcPr>
            <w:tcW w:w="320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Accounts payable and other current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88</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15</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2,001</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2,104</w:t>
            </w:r>
          </w:p>
        </w:tc>
      </w:tr>
      <w:tr>
        <w:trPr>
          <w:trHeight w:val="108"/>
        </w:trPr>
        <w:tc>
          <w:tcPr>
            <w:tcW w:w="32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93</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269</w:t>
            </w: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2,232</w:t>
            </w:r>
          </w:p>
        </w:tc>
        <w:tc>
          <w:tcPr>
            <w:tcW w:w="3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2,594</w:t>
            </w:r>
          </w:p>
        </w:tc>
        <w:tc>
          <w:tcPr>
            <w:tcW w:w="100" w:type="dxa"/>
            <w:vAlign w:val="bottom"/>
          </w:tcPr>
          <w:p>
            <w:pPr>
              <w:spacing w:after="0"/>
              <w:rPr>
                <w:sz w:val="9"/>
                <w:szCs w:val="9"/>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Long-term debt, less current portion</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4,505</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638</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3,086</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8,229</w:t>
            </w:r>
          </w:p>
        </w:tc>
      </w:tr>
      <w:tr>
        <w:trPr>
          <w:trHeight w:val="108"/>
        </w:trPr>
        <w:tc>
          <w:tcPr>
            <w:tcW w:w="32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Other liabilities</w:t>
            </w: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3,443</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3,443</w:t>
            </w:r>
          </w:p>
        </w:tc>
      </w:tr>
      <w:tr>
        <w:trPr>
          <w:trHeight w:val="20"/>
        </w:trPr>
        <w:tc>
          <w:tcPr>
            <w:tcW w:w="3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4,598</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907</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8,761</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14,266</w:t>
            </w:r>
          </w:p>
        </w:tc>
      </w:tr>
      <w:tr>
        <w:trPr>
          <w:trHeight w:val="108"/>
        </w:trPr>
        <w:tc>
          <w:tcPr>
            <w:tcW w:w="32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Minority interest in subsidiaries and variable interest entities</w:t>
            </w: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307</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307</w:t>
            </w:r>
          </w:p>
        </w:tc>
      </w:tr>
      <w:tr>
        <w:trPr>
          <w:trHeight w:val="108"/>
        </w:trPr>
        <w:tc>
          <w:tcPr>
            <w:tcW w:w="3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Stockholders’ equity</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5,611</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10,008</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10,959</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(20,967)</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5,611</w:t>
            </w:r>
          </w:p>
        </w:tc>
      </w:tr>
      <w:tr>
        <w:trPr>
          <w:trHeight w:val="117"/>
        </w:trPr>
        <w:tc>
          <w:tcPr>
            <w:tcW w:w="3200" w:type="dxa"/>
            <w:vAlign w:val="bottom"/>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liabilities and stockholders’ equity</w:t>
            </w:r>
          </w:p>
        </w:tc>
        <w:tc>
          <w:tcPr>
            <w:tcW w:w="20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10,209</w:t>
            </w: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10,915</w:t>
            </w:r>
          </w:p>
        </w:tc>
        <w:tc>
          <w:tcPr>
            <w:tcW w:w="3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20,027</w:t>
            </w:r>
          </w:p>
        </w:tc>
        <w:tc>
          <w:tcPr>
            <w:tcW w:w="3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(20,967)</w:t>
            </w:r>
          </w:p>
        </w:tc>
        <w:tc>
          <w:tcPr>
            <w:tcW w:w="28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8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20,184</w:t>
            </w:r>
          </w:p>
        </w:tc>
        <w:tc>
          <w:tcPr>
            <w:tcW w:w="100" w:type="dxa"/>
            <w:vAlign w:val="bottom"/>
          </w:tcPr>
          <w:p>
            <w:pPr>
              <w:spacing w:after="0"/>
              <w:rPr>
                <w:sz w:val="10"/>
                <w:szCs w:val="10"/>
                <w:color w:val="auto"/>
              </w:rPr>
            </w:pPr>
          </w:p>
        </w:tc>
      </w:tr>
    </w:tbl>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December 31, 2007</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WMI</w:t>
            </w:r>
          </w:p>
        </w:tc>
        <w:tc>
          <w:tcPr>
            <w:tcW w:w="100" w:type="dxa"/>
            <w:vAlign w:val="bottom"/>
          </w:tcPr>
          <w:p>
            <w:pPr>
              <w:spacing w:after="0"/>
              <w:rPr>
                <w:sz w:val="10"/>
                <w:szCs w:val="10"/>
                <w:color w:val="auto"/>
              </w:rPr>
            </w:pPr>
          </w:p>
        </w:tc>
        <w:tc>
          <w:tcPr>
            <w:tcW w:w="70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27"/>
        </w:trPr>
        <w:tc>
          <w:tcPr>
            <w:tcW w:w="32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2020" w:type="dxa"/>
            <w:vAlign w:val="bottom"/>
            <w:gridSpan w:val="2"/>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b w:val="1"/>
                <w:bCs w:val="1"/>
                <w:color w:val="auto"/>
              </w:rPr>
              <w:t>ASSETS</w:t>
            </w:r>
          </w:p>
        </w:tc>
        <w:tc>
          <w:tcPr>
            <w:tcW w:w="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Cash and cash equivalents</w:t>
            </w:r>
          </w:p>
        </w:tc>
        <w:tc>
          <w:tcPr>
            <w:tcW w:w="202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416</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(68)</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348</w:t>
            </w:r>
          </w:p>
        </w:tc>
        <w:tc>
          <w:tcPr>
            <w:tcW w:w="0" w:type="dxa"/>
            <w:vAlign w:val="bottom"/>
          </w:tcPr>
          <w:p>
            <w:pPr>
              <w:spacing w:after="0"/>
              <w:rPr>
                <w:sz w:val="1"/>
                <w:szCs w:val="1"/>
                <w:color w:val="auto"/>
              </w:rPr>
            </w:pPr>
          </w:p>
        </w:tc>
      </w:tr>
      <w:tr>
        <w:trPr>
          <w:trHeight w:val="108"/>
        </w:trPr>
        <w:tc>
          <w:tcPr>
            <w:tcW w:w="32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current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2,132</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2,132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416</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2,132</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(68)</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2,480</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Property and equipment, net</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11,351</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11,351</w:t>
            </w:r>
          </w:p>
        </w:tc>
        <w:tc>
          <w:tcPr>
            <w:tcW w:w="0" w:type="dxa"/>
            <w:vAlign w:val="bottom"/>
          </w:tcPr>
          <w:p>
            <w:pPr>
              <w:spacing w:after="0"/>
              <w:rPr>
                <w:sz w:val="1"/>
                <w:szCs w:val="1"/>
                <w:color w:val="auto"/>
              </w:rPr>
            </w:pPr>
          </w:p>
        </w:tc>
      </w:tr>
      <w:tr>
        <w:trPr>
          <w:trHeight w:val="108"/>
        </w:trPr>
        <w:tc>
          <w:tcPr>
            <w:tcW w:w="32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Investments in and advances to affiliates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9,617</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10,622</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173</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(20,412)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3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Other assets</w:t>
            </w: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28</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15</w:t>
            </w:r>
          </w:p>
        </w:tc>
        <w:tc>
          <w:tcPr>
            <w:tcW w:w="10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6,301</w:t>
            </w:r>
          </w:p>
        </w:tc>
        <w:tc>
          <w:tcPr>
            <w:tcW w:w="80" w:type="dxa"/>
            <w:vAlign w:val="bottom"/>
          </w:tcPr>
          <w:p>
            <w:pPr>
              <w:spacing w:after="0"/>
              <w:rPr>
                <w:sz w:val="9"/>
                <w:szCs w:val="9"/>
                <w:color w:val="auto"/>
              </w:rPr>
            </w:pPr>
          </w:p>
        </w:tc>
        <w:tc>
          <w:tcPr>
            <w:tcW w:w="10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6,344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6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assets</w:t>
            </w: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10,061</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10,637</w:t>
            </w:r>
          </w:p>
        </w:tc>
        <w:tc>
          <w:tcPr>
            <w:tcW w:w="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19,957</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(20,480)</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20,175</w:t>
            </w:r>
          </w:p>
        </w:tc>
        <w:tc>
          <w:tcPr>
            <w:tcW w:w="0" w:type="dxa"/>
            <w:vAlign w:val="bottom"/>
          </w:tcPr>
          <w:p>
            <w:pPr>
              <w:spacing w:after="0"/>
              <w:rPr>
                <w:sz w:val="1"/>
                <w:szCs w:val="1"/>
                <w:color w:val="auto"/>
              </w:rPr>
            </w:pPr>
          </w:p>
        </w:tc>
      </w:tr>
      <w:tr>
        <w:trPr>
          <w:trHeight w:val="29"/>
        </w:trPr>
        <w:tc>
          <w:tcPr>
            <w:tcW w:w="3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200" w:type="dxa"/>
            <w:vAlign w:val="bottom"/>
          </w:tcPr>
          <w:p>
            <w:pPr>
              <w:spacing w:after="0"/>
              <w:rPr>
                <w:sz w:val="11"/>
                <w:szCs w:val="11"/>
                <w:color w:val="auto"/>
              </w:rPr>
            </w:pPr>
          </w:p>
        </w:tc>
        <w:tc>
          <w:tcPr>
            <w:tcW w:w="3520" w:type="dxa"/>
            <w:vAlign w:val="bottom"/>
            <w:gridSpan w:val="8"/>
          </w:tcPr>
          <w:p>
            <w:pPr>
              <w:ind w:left="660"/>
              <w:spacing w:after="0"/>
              <w:rPr>
                <w:sz w:val="20"/>
                <w:szCs w:val="20"/>
                <w:color w:val="auto"/>
              </w:rPr>
            </w:pPr>
            <w:r>
              <w:rPr>
                <w:rFonts w:ascii="Times New Roman" w:cs="Times New Roman" w:eastAsia="Times New Roman" w:hAnsi="Times New Roman"/>
                <w:sz w:val="10"/>
                <w:szCs w:val="10"/>
                <w:b w:val="1"/>
                <w:bCs w:val="1"/>
                <w:color w:val="auto"/>
              </w:rPr>
              <w:t>LIABILITIES AND STOCKHOLDERS’ EQUITY</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Current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320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Current portion of long-term debt</w:t>
            </w:r>
          </w:p>
        </w:tc>
        <w:tc>
          <w:tcPr>
            <w:tcW w:w="210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129</w:t>
            </w:r>
          </w:p>
        </w:tc>
        <w:tc>
          <w:tcPr>
            <w:tcW w:w="280" w:type="dxa"/>
            <w:vAlign w:val="bottom"/>
          </w:tcPr>
          <w:p>
            <w:pPr>
              <w:spacing w:after="0"/>
              <w:rPr>
                <w:sz w:val="9"/>
                <w:szCs w:val="9"/>
                <w:color w:val="auto"/>
              </w:rPr>
            </w:pPr>
          </w:p>
        </w:tc>
        <w:tc>
          <w:tcPr>
            <w:tcW w:w="140" w:type="dxa"/>
            <w:vAlign w:val="bottom"/>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ind w:right="314"/>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200</w:t>
            </w:r>
          </w:p>
        </w:tc>
        <w:tc>
          <w:tcPr>
            <w:tcW w:w="26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18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329</w:t>
            </w:r>
          </w:p>
        </w:tc>
      </w:tr>
      <w:tr>
        <w:trPr>
          <w:trHeight w:val="108"/>
        </w:trPr>
        <w:tc>
          <w:tcPr>
            <w:tcW w:w="320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Accounts payable and other current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79</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22</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2,236</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(68)</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2,269</w:t>
            </w:r>
          </w:p>
        </w:tc>
      </w:tr>
      <w:tr>
        <w:trPr>
          <w:trHeight w:val="108"/>
        </w:trPr>
        <w:tc>
          <w:tcPr>
            <w:tcW w:w="32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208</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22</w:t>
            </w: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2,436</w:t>
            </w:r>
          </w:p>
        </w:tc>
        <w:tc>
          <w:tcPr>
            <w:tcW w:w="3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(68)</w:t>
            </w: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2,598</w:t>
            </w:r>
          </w:p>
        </w:tc>
        <w:tc>
          <w:tcPr>
            <w:tcW w:w="100" w:type="dxa"/>
            <w:vAlign w:val="bottom"/>
          </w:tcPr>
          <w:p>
            <w:pPr>
              <w:spacing w:after="0"/>
              <w:rPr>
                <w:sz w:val="9"/>
                <w:szCs w:val="9"/>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Long-term debt, less current portion</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4,034</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889</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3,085</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8,008</w:t>
            </w:r>
          </w:p>
        </w:tc>
      </w:tr>
      <w:tr>
        <w:trPr>
          <w:trHeight w:val="108"/>
        </w:trPr>
        <w:tc>
          <w:tcPr>
            <w:tcW w:w="32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Other liabilities</w:t>
            </w: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27</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3,438</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3,467</w:t>
            </w:r>
          </w:p>
        </w:tc>
      </w:tr>
      <w:tr>
        <w:trPr>
          <w:trHeight w:val="20"/>
        </w:trPr>
        <w:tc>
          <w:tcPr>
            <w:tcW w:w="3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liabilities</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4,269</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913</w:t>
            </w: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8,959</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(68)</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14,073</w:t>
            </w:r>
          </w:p>
        </w:tc>
      </w:tr>
      <w:tr>
        <w:trPr>
          <w:trHeight w:val="108"/>
        </w:trPr>
        <w:tc>
          <w:tcPr>
            <w:tcW w:w="32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Minority interest in subsidiaries and variable interest entities</w:t>
            </w: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90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310</w:t>
            </w:r>
          </w:p>
        </w:tc>
        <w:tc>
          <w:tcPr>
            <w:tcW w:w="2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310</w:t>
            </w:r>
          </w:p>
        </w:tc>
      </w:tr>
      <w:tr>
        <w:trPr>
          <w:trHeight w:val="108"/>
        </w:trPr>
        <w:tc>
          <w:tcPr>
            <w:tcW w:w="3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Stockholders’ equity</w:t>
            </w:r>
          </w:p>
        </w:tc>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5,792</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9,724</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10,688</w:t>
            </w:r>
          </w:p>
        </w:tc>
        <w:tc>
          <w:tcPr>
            <w:tcW w:w="2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(20,412)</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5,792</w:t>
            </w:r>
          </w:p>
        </w:tc>
      </w:tr>
      <w:tr>
        <w:trPr>
          <w:trHeight w:val="117"/>
        </w:trPr>
        <w:tc>
          <w:tcPr>
            <w:tcW w:w="3200" w:type="dxa"/>
            <w:vAlign w:val="bottom"/>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liabilities and stockholders’ equity</w:t>
            </w:r>
          </w:p>
        </w:tc>
        <w:tc>
          <w:tcPr>
            <w:tcW w:w="20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10,061</w:t>
            </w: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10,637</w:t>
            </w:r>
          </w:p>
        </w:tc>
        <w:tc>
          <w:tcPr>
            <w:tcW w:w="3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19,957</w:t>
            </w:r>
          </w:p>
        </w:tc>
        <w:tc>
          <w:tcPr>
            <w:tcW w:w="3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(20,480)</w:t>
            </w:r>
          </w:p>
        </w:tc>
        <w:tc>
          <w:tcPr>
            <w:tcW w:w="28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8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20,175</w:t>
            </w:r>
          </w:p>
        </w:tc>
        <w:tc>
          <w:tcPr>
            <w:tcW w:w="100" w:type="dxa"/>
            <w:vAlign w:val="bottom"/>
          </w:tcPr>
          <w:p>
            <w:pPr>
              <w:spacing w:after="0"/>
              <w:rPr>
                <w:sz w:val="10"/>
                <w:szCs w:val="10"/>
                <w:color w:val="auto"/>
              </w:rPr>
            </w:pPr>
          </w:p>
        </w:tc>
      </w:tr>
    </w:tbl>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sectPr>
      </w:pPr>
    </w:p>
    <w:bookmarkStart w:id="19" w:name="page20"/>
    <w:bookmarkEnd w:id="19"/>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CONDENSED CONSOLIDATING STATEMENTS OF OPERATIONS</w:t>
      </w:r>
    </w:p>
    <w:p>
      <w:pPr>
        <w:spacing w:after="0" w:line="9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b w:val="1"/>
          <w:bCs w:val="1"/>
          <w:color w:val="auto"/>
        </w:rPr>
        <w:t>Three Months Ended March 31, 2008</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90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revenues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2,755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income (expense)</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subsidiaries, net of taxes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Minority interest</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net losses of unconsolidated entities and other, net</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300" w:type="dxa"/>
            <w:vAlign w:val="bottom"/>
          </w:tcPr>
          <w:p>
            <w:pPr>
              <w:spacing w:after="0"/>
              <w:rPr>
                <w:sz w:val="14"/>
                <w:szCs w:val="14"/>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5"/>
              </w:rPr>
              <w:t>$ 241</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900" w:type="dxa"/>
            <w:vAlign w:val="bottom"/>
            <w:gridSpan w:val="7"/>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Three Months Ended March 31, 2007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0" w:type="dxa"/>
            <w:vAlign w:val="bottom"/>
            <w:gridSpan w:val="4"/>
          </w:tcPr>
          <w:p>
            <w:pPr>
              <w:jc w:val="center"/>
              <w:ind w:left="69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WMI</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90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revenues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3,188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2,707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481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income (expense)</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subsidiaries, net of taxes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Minority interest</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net losses of unconsolidated entities and other, net</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300" w:type="dxa"/>
            <w:vAlign w:val="bottom"/>
          </w:tcPr>
          <w:p>
            <w:pPr>
              <w:spacing w:after="0"/>
              <w:rPr>
                <w:sz w:val="14"/>
                <w:szCs w:val="14"/>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5"/>
              </w:rPr>
              <w:t>$ 238</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0" w:type="dxa"/>
            <w:vAlign w:val="bottom"/>
            <w:gridSpan w:val="3"/>
          </w:tcPr>
          <w:p>
            <w:pPr>
              <w:jc w:val="center"/>
              <w:ind w:left="1094"/>
              <w:spacing w:after="0"/>
              <w:rPr>
                <w:sz w:val="20"/>
                <w:szCs w:val="20"/>
                <w:color w:val="auto"/>
              </w:rPr>
            </w:pPr>
            <w:r>
              <w:rPr>
                <w:rFonts w:ascii="Times New Roman" w:cs="Times New Roman" w:eastAsia="Times New Roman" w:hAnsi="Times New Roman"/>
                <w:sz w:val="13"/>
                <w:szCs w:val="13"/>
                <w:color w:val="auto"/>
                <w:w w:val="91"/>
              </w:rPr>
              <w:t>18</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20" w:name="page21"/>
    <w:bookmarkEnd w:id="20"/>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CONDENSED CONSOLIDATING STATEMENTS OF CASH FLOWS</w:t>
      </w:r>
    </w:p>
    <w:p>
      <w:pPr>
        <w:spacing w:after="0" w:line="9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b w:val="1"/>
          <w:bCs w:val="1"/>
          <w:color w:val="auto"/>
        </w:rPr>
        <w:t>Three Months Ended March 31, 2008</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241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(284)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adjustments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318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644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(350)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(281)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(133)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 of common stock options and warrants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Minority interest distributions paid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182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4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3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Increase in cash and cash equivalents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416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21" w:name="page22"/>
    <w:bookmarkEnd w:id="21"/>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3"/>
          <w:szCs w:val="13"/>
          <w:b w:val="1"/>
          <w:bCs w:val="1"/>
          <w:color w:val="auto"/>
        </w:rPr>
        <w:t>CONDENSED CONSOLIDATING STATEMENTS OF CASH FLOWS (Continued)</w:t>
      </w:r>
    </w:p>
    <w:p>
      <w:pPr>
        <w:spacing w:after="0" w:line="9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b w:val="1"/>
          <w:bCs w:val="1"/>
          <w:color w:val="auto"/>
        </w:rPr>
        <w:t>Three Months Ended March 31, 2007</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238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(284)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adjustments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of short-term investments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(525)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sales of short-term investments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663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(487)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(126)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 of common stock options and warrants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Minority interest distributions paid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349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4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3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cash and cash equivalents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675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4" w:lineRule="exact"/>
        <w:rPr>
          <w:sz w:val="20"/>
          <w:szCs w:val="20"/>
          <w:color w:val="auto"/>
        </w:rPr>
      </w:pPr>
    </w:p>
    <w:p>
      <w:pPr>
        <w:ind w:left="500" w:hanging="493"/>
        <w:spacing w:after="0"/>
        <w:tabs>
          <w:tab w:leader="none" w:pos="500"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New Accounting Pronouncements</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SFAS No. 157 — Fair Value Measurements</w:t>
      </w:r>
    </w:p>
    <w:p>
      <w:pPr>
        <w:spacing w:after="0" w:line="98"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13"/>
          <w:szCs w:val="13"/>
          <w:color w:val="auto"/>
        </w:rPr>
        <w:t xml:space="preserve">In February 2008, the FASB issued Staff Position FAS 157-2, </w:t>
      </w:r>
      <w:r>
        <w:rPr>
          <w:rFonts w:ascii="Times New Roman" w:cs="Times New Roman" w:eastAsia="Times New Roman" w:hAnsi="Times New Roman"/>
          <w:sz w:val="13"/>
          <w:szCs w:val="13"/>
          <w:i w:val="1"/>
          <w:iCs w:val="1"/>
          <w:color w:val="auto"/>
        </w:rPr>
        <w:t>Effective Date of FASB Statement No. 157</w:t>
      </w:r>
      <w:r>
        <w:rPr>
          <w:rFonts w:ascii="Times New Roman" w:cs="Times New Roman" w:eastAsia="Times New Roman" w:hAnsi="Times New Roman"/>
          <w:sz w:val="13"/>
          <w:szCs w:val="13"/>
          <w:color w:val="auto"/>
        </w:rPr>
        <w:t>, which delayed the effective date of SFAS No. 157 for all non-financial assets and non-financial liabilities, except those that are measured at fair value on a recurring basis. FSP FAS 157-2 establishes January 1, 2009 as the effective date of SFAS No. 157 with respect to these fair value measurements for the Company. We do not currently expect the application of the fair value framework established by SFAS No. 157 to non-financial assets and liabilities measured on a non-recurring basis to have a material impact on our consolidated financial statements. However, we will continue to assess the potential effects of SFAS No. 157 as additional guidance becomes available.</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SFAS No. 141(R) — Business Combinations</w:t>
      </w:r>
    </w:p>
    <w:p>
      <w:pPr>
        <w:spacing w:after="0" w:line="98" w:lineRule="exact"/>
        <w:rPr>
          <w:sz w:val="20"/>
          <w:szCs w:val="20"/>
          <w:color w:val="auto"/>
        </w:rPr>
      </w:pPr>
    </w:p>
    <w:p>
      <w:pPr>
        <w:ind w:right="160" w:firstLine="399"/>
        <w:spacing w:after="0" w:line="261" w:lineRule="auto"/>
        <w:rPr>
          <w:sz w:val="20"/>
          <w:szCs w:val="20"/>
          <w:color w:val="auto"/>
        </w:rPr>
      </w:pPr>
      <w:r>
        <w:rPr>
          <w:rFonts w:ascii="Times New Roman" w:cs="Times New Roman" w:eastAsia="Times New Roman" w:hAnsi="Times New Roman"/>
          <w:sz w:val="13"/>
          <w:szCs w:val="13"/>
          <w:color w:val="auto"/>
        </w:rPr>
        <w:t xml:space="preserve">In December 2007, the FASB issued SFAS No. 141 (revised 2007), </w:t>
      </w:r>
      <w:r>
        <w:rPr>
          <w:rFonts w:ascii="Times New Roman" w:cs="Times New Roman" w:eastAsia="Times New Roman" w:hAnsi="Times New Roman"/>
          <w:sz w:val="13"/>
          <w:szCs w:val="13"/>
          <w:i w:val="1"/>
          <w:iCs w:val="1"/>
          <w:color w:val="auto"/>
        </w:rPr>
        <w:t>Business Combinations</w:t>
      </w:r>
      <w:r>
        <w:rPr>
          <w:rFonts w:ascii="Times New Roman" w:cs="Times New Roman" w:eastAsia="Times New Roman" w:hAnsi="Times New Roman"/>
          <w:sz w:val="13"/>
          <w:szCs w:val="13"/>
          <w:color w:val="auto"/>
        </w:rPr>
        <w:t>, which establishes principles and requirements for how the acquirer recognizes and measures in the financial statements the identifiable assets acquired, the liabilities assumed, and any non-controlling interest in the acquiree. This statement also provides guidance for recognizing and measuring the goodwill acquired in the business combination and determines what information to disclose to enable users of the financial statements to evaluate the nature and financial effects of the business combination. SFAS No. 141(R) will be effective for the Company beginning January 1, 2009. We are currently evaluating the effect the adoption of SFAS No. 141(R) will have on our accounting and reporting for future acquisitions.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SFAS No. 160 — Noncontrolling Interests in Consolidated Financial Statements — an amendment of ARB No. 51</w:t>
      </w:r>
    </w:p>
    <w:p>
      <w:pPr>
        <w:spacing w:after="0" w:line="98" w:lineRule="exact"/>
        <w:rPr>
          <w:sz w:val="20"/>
          <w:szCs w:val="20"/>
          <w:color w:val="auto"/>
        </w:rPr>
      </w:pPr>
    </w:p>
    <w:p>
      <w:pPr>
        <w:ind w:right="120" w:firstLine="399"/>
        <w:spacing w:after="0" w:line="264" w:lineRule="auto"/>
        <w:rPr>
          <w:sz w:val="20"/>
          <w:szCs w:val="20"/>
          <w:color w:val="auto"/>
        </w:rPr>
      </w:pPr>
      <w:r>
        <w:rPr>
          <w:rFonts w:ascii="Times New Roman" w:cs="Times New Roman" w:eastAsia="Times New Roman" w:hAnsi="Times New Roman"/>
          <w:sz w:val="13"/>
          <w:szCs w:val="13"/>
          <w:color w:val="auto"/>
        </w:rPr>
        <w:t xml:space="preserve">In December 2007, the FASB issued SFAS No. 160, </w:t>
      </w:r>
      <w:r>
        <w:rPr>
          <w:rFonts w:ascii="Times New Roman" w:cs="Times New Roman" w:eastAsia="Times New Roman" w:hAnsi="Times New Roman"/>
          <w:sz w:val="13"/>
          <w:szCs w:val="13"/>
          <w:i w:val="1"/>
          <w:iCs w:val="1"/>
          <w:color w:val="auto"/>
        </w:rPr>
        <w:t>Noncontrolling Interests in Consolidated Financial Statements — an amendment of ARB No. 51</w:t>
      </w:r>
      <w:r>
        <w:rPr>
          <w:rFonts w:ascii="Times New Roman" w:cs="Times New Roman" w:eastAsia="Times New Roman" w:hAnsi="Times New Roman"/>
          <w:sz w:val="13"/>
          <w:szCs w:val="13"/>
          <w:color w:val="auto"/>
        </w:rPr>
        <w:t>, which establishes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SFAS No. 160 will be effective for the Company beginning January 1, 2009. We are currently evaluating the effect the adoption of SFAS 160 will have on our consolidated financial statements.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4" w:right="1019" w:bottom="1440" w:gutter="0" w:footer="0" w:header="0"/>
        </w:sectPr>
      </w:pPr>
    </w:p>
    <w:bookmarkStart w:id="23" w:name="page24"/>
    <w:bookmarkEnd w:id="23"/>
    <w:p>
      <w:pPr>
        <w:spacing w:after="0"/>
        <w:tabs>
          <w:tab w:leader="none" w:pos="80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3"/>
          <w:szCs w:val="13"/>
          <w:b w:val="1"/>
          <w:bCs w:val="1"/>
          <w:i w:val="1"/>
          <w:iCs w:val="1"/>
          <w:color w:val="auto"/>
        </w:rPr>
        <w:t>Management’s Discussion and Analysis of Financial Condition and Results of Operations.</w:t>
      </w:r>
    </w:p>
    <w:p>
      <w:pPr>
        <w:spacing w:after="0" w:line="100" w:lineRule="exact"/>
        <w:rPr>
          <w:sz w:val="20"/>
          <w:szCs w:val="20"/>
          <w:color w:val="auto"/>
        </w:rPr>
      </w:pPr>
    </w:p>
    <w:p>
      <w:pPr>
        <w:ind w:right="220" w:firstLine="399"/>
        <w:spacing w:after="0" w:line="286" w:lineRule="auto"/>
        <w:rPr>
          <w:sz w:val="20"/>
          <w:szCs w:val="20"/>
          <w:color w:val="auto"/>
        </w:rPr>
      </w:pPr>
      <w:r>
        <w:rPr>
          <w:rFonts w:ascii="Times New Roman" w:cs="Times New Roman" w:eastAsia="Times New Roman" w:hAnsi="Times New Roman"/>
          <w:sz w:val="13"/>
          <w:szCs w:val="13"/>
          <w:color w:val="auto"/>
        </w:rPr>
        <w:t>In an effort to keep our shareholders and the public informed about our business, we may make “forward-looking statements.” Forward-looking statements usually relate to future events and anticipated revenues, earnings, cash flows or other aspects of our operations or operating results. Forward-looking statements generally include statements containing:</w:t>
      </w:r>
    </w:p>
    <w:p>
      <w:pPr>
        <w:spacing w:after="0" w:line="47" w:lineRule="exact"/>
        <w:rPr>
          <w:sz w:val="20"/>
          <w:szCs w:val="20"/>
          <w:color w:val="auto"/>
        </w:rPr>
      </w:pPr>
    </w:p>
    <w:p>
      <w:pPr>
        <w:ind w:left="600" w:hanging="190"/>
        <w:spacing w:after="0"/>
        <w:tabs>
          <w:tab w:leader="none" w:pos="6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projections about accounting and finances;</w:t>
      </w:r>
    </w:p>
    <w:p>
      <w:pPr>
        <w:spacing w:after="0" w:line="86" w:lineRule="exact"/>
        <w:rPr>
          <w:rFonts w:ascii="Times New Roman" w:cs="Times New Roman" w:eastAsia="Times New Roman" w:hAnsi="Times New Roman"/>
          <w:sz w:val="13"/>
          <w:szCs w:val="13"/>
          <w:color w:val="auto"/>
        </w:rPr>
      </w:pPr>
    </w:p>
    <w:p>
      <w:pPr>
        <w:ind w:left="600" w:hanging="190"/>
        <w:spacing w:after="0"/>
        <w:tabs>
          <w:tab w:leader="none" w:pos="6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plans and objectives for the future;</w:t>
      </w:r>
    </w:p>
    <w:p>
      <w:pPr>
        <w:spacing w:after="0" w:line="86" w:lineRule="exact"/>
        <w:rPr>
          <w:rFonts w:ascii="Times New Roman" w:cs="Times New Roman" w:eastAsia="Times New Roman" w:hAnsi="Times New Roman"/>
          <w:sz w:val="13"/>
          <w:szCs w:val="13"/>
          <w:color w:val="auto"/>
        </w:rPr>
      </w:pPr>
    </w:p>
    <w:p>
      <w:pPr>
        <w:ind w:left="600" w:hanging="190"/>
        <w:spacing w:after="0"/>
        <w:tabs>
          <w:tab w:leader="none" w:pos="6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projections or estimates about assumptions relating to our performance; and</w:t>
      </w:r>
    </w:p>
    <w:p>
      <w:pPr>
        <w:spacing w:after="0" w:line="86" w:lineRule="exact"/>
        <w:rPr>
          <w:rFonts w:ascii="Times New Roman" w:cs="Times New Roman" w:eastAsia="Times New Roman" w:hAnsi="Times New Roman"/>
          <w:sz w:val="13"/>
          <w:szCs w:val="13"/>
          <w:color w:val="auto"/>
        </w:rPr>
      </w:pPr>
    </w:p>
    <w:p>
      <w:pPr>
        <w:ind w:left="600" w:hanging="190"/>
        <w:spacing w:after="0"/>
        <w:tabs>
          <w:tab w:leader="none" w:pos="6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13"/>
          <w:szCs w:val="13"/>
          <w:color w:val="auto"/>
        </w:rPr>
        <w:t>You should view these statements with caution. These statements are not guarantees of future performance, circumstances or events. They are based on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Some of the risks that we face and that could affect our business and financial statements for 2008 and beyond include the following:</w:t>
      </w:r>
    </w:p>
    <w:p>
      <w:pPr>
        <w:spacing w:after="0" w:line="96" w:lineRule="exact"/>
        <w:rPr>
          <w:sz w:val="20"/>
          <w:szCs w:val="20"/>
          <w:color w:val="auto"/>
        </w:rPr>
      </w:pPr>
    </w:p>
    <w:p>
      <w:pPr>
        <w:ind w:left="600" w:right="20" w:hanging="190"/>
        <w:spacing w:after="0" w:line="286" w:lineRule="auto"/>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36" w:lineRule="exact"/>
        <w:rPr>
          <w:rFonts w:ascii="Times New Roman" w:cs="Times New Roman" w:eastAsia="Times New Roman" w:hAnsi="Times New Roman"/>
          <w:sz w:val="13"/>
          <w:szCs w:val="13"/>
          <w:color w:val="auto"/>
        </w:rPr>
      </w:pPr>
    </w:p>
    <w:p>
      <w:pPr>
        <w:ind w:left="600" w:hanging="190"/>
        <w:spacing w:after="0"/>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maintain or expand margins if we are unable to control costs or raise prices;</w:t>
      </w:r>
    </w:p>
    <w:p>
      <w:pPr>
        <w:spacing w:after="0" w:line="86" w:lineRule="exact"/>
        <w:rPr>
          <w:rFonts w:ascii="Times New Roman" w:cs="Times New Roman" w:eastAsia="Times New Roman" w:hAnsi="Times New Roman"/>
          <w:sz w:val="13"/>
          <w:szCs w:val="13"/>
          <w:color w:val="auto"/>
        </w:rPr>
      </w:pPr>
    </w:p>
    <w:p>
      <w:pPr>
        <w:ind w:left="600" w:right="80" w:hanging="190"/>
        <w:spacing w:after="0" w:line="269" w:lineRule="auto"/>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 and margins;</w:t>
      </w:r>
    </w:p>
    <w:p>
      <w:pPr>
        <w:spacing w:after="0" w:line="47" w:lineRule="exact"/>
        <w:rPr>
          <w:rFonts w:ascii="Times New Roman" w:cs="Times New Roman" w:eastAsia="Times New Roman" w:hAnsi="Times New Roman"/>
          <w:sz w:val="13"/>
          <w:szCs w:val="13"/>
          <w:color w:val="auto"/>
        </w:rPr>
      </w:pPr>
    </w:p>
    <w:p>
      <w:pPr>
        <w:ind w:left="600" w:hanging="190"/>
        <w:spacing w:after="0"/>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weather conditions cause our quarter-to-quarter results to fluctuate, and harsh weather or natural disasters may cause us to temporarily shut down operations;</w:t>
      </w:r>
    </w:p>
    <w:p>
      <w:pPr>
        <w:spacing w:after="0" w:line="86" w:lineRule="exact"/>
        <w:rPr>
          <w:rFonts w:ascii="Times New Roman" w:cs="Times New Roman" w:eastAsia="Times New Roman" w:hAnsi="Times New Roman"/>
          <w:sz w:val="13"/>
          <w:szCs w:val="13"/>
          <w:color w:val="auto"/>
        </w:rPr>
      </w:pPr>
    </w:p>
    <w:p>
      <w:pPr>
        <w:ind w:left="600" w:hanging="190"/>
        <w:spacing w:after="0"/>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inflation, higher interest rates and other general and local economic conditions may negatively affect the volumes of waste generated, our financing costs and other expenses;</w:t>
      </w:r>
    </w:p>
    <w:p>
      <w:pPr>
        <w:spacing w:after="0" w:line="86" w:lineRule="exact"/>
        <w:rPr>
          <w:rFonts w:ascii="Times New Roman" w:cs="Times New Roman" w:eastAsia="Times New Roman" w:hAnsi="Times New Roman"/>
          <w:sz w:val="13"/>
          <w:szCs w:val="13"/>
          <w:color w:val="auto"/>
        </w:rPr>
      </w:pPr>
    </w:p>
    <w:p>
      <w:pPr>
        <w:ind w:left="600" w:right="260" w:hanging="190"/>
        <w:spacing w:after="0" w:line="286" w:lineRule="auto"/>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possible changes in our estimates of costs for site remediation requirements, final capping, closure and post-closure obligations, compliance and regulatory requirements may increase our expenses;</w:t>
      </w:r>
    </w:p>
    <w:p>
      <w:pPr>
        <w:spacing w:after="0" w:line="36" w:lineRule="exact"/>
        <w:rPr>
          <w:rFonts w:ascii="Times New Roman" w:cs="Times New Roman" w:eastAsia="Times New Roman" w:hAnsi="Times New Roman"/>
          <w:sz w:val="13"/>
          <w:szCs w:val="13"/>
          <w:color w:val="auto"/>
        </w:rPr>
      </w:pPr>
    </w:p>
    <w:p>
      <w:pPr>
        <w:ind w:left="600" w:right="200" w:hanging="190"/>
        <w:spacing w:after="0" w:line="286" w:lineRule="auto"/>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regulations, including regulations to limit greenhouse gas emissions, may negatively impact our business by, among other things, restricting our operations, increasing costs of operations or requiring additional capital expenditures;</w:t>
      </w:r>
    </w:p>
    <w:p>
      <w:pPr>
        <w:spacing w:after="0" w:line="36" w:lineRule="exact"/>
        <w:rPr>
          <w:rFonts w:ascii="Times New Roman" w:cs="Times New Roman" w:eastAsia="Times New Roman" w:hAnsi="Times New Roman"/>
          <w:sz w:val="13"/>
          <w:szCs w:val="13"/>
          <w:color w:val="auto"/>
        </w:rPr>
      </w:pPr>
    </w:p>
    <w:p>
      <w:pPr>
        <w:ind w:left="600" w:hanging="190"/>
        <w:spacing w:after="0"/>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are unable to obtain and maintain permits needed to open, operate, and/or expand our facilities, our results of operations will be negatively impacted;</w:t>
      </w:r>
    </w:p>
    <w:p>
      <w:pPr>
        <w:spacing w:after="0" w:line="86" w:lineRule="exact"/>
        <w:rPr>
          <w:rFonts w:ascii="Times New Roman" w:cs="Times New Roman" w:eastAsia="Times New Roman" w:hAnsi="Times New Roman"/>
          <w:sz w:val="13"/>
          <w:szCs w:val="13"/>
          <w:color w:val="auto"/>
        </w:rPr>
      </w:pPr>
    </w:p>
    <w:p>
      <w:pPr>
        <w:ind w:left="600" w:right="440" w:hanging="190"/>
        <w:spacing w:after="0" w:line="286" w:lineRule="auto"/>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limitations or bans on disposal or transportation of out-of-state, cross-border, or certain categories of waste, as well as mandates on the disposal of waste, can increase our expenses and reduce our revenue;</w:t>
      </w:r>
    </w:p>
    <w:p>
      <w:pPr>
        <w:spacing w:after="0" w:line="36" w:lineRule="exact"/>
        <w:rPr>
          <w:rFonts w:ascii="Times New Roman" w:cs="Times New Roman" w:eastAsia="Times New Roman" w:hAnsi="Times New Roman"/>
          <w:sz w:val="13"/>
          <w:szCs w:val="13"/>
          <w:color w:val="auto"/>
        </w:rPr>
      </w:pPr>
    </w:p>
    <w:p>
      <w:pPr>
        <w:ind w:left="600" w:hanging="190"/>
        <w:spacing w:after="0"/>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fuel price increases or fuel supply shortages may increase our expenses or restrict our ability to operate;</w:t>
      </w:r>
    </w:p>
    <w:p>
      <w:pPr>
        <w:spacing w:after="0" w:line="86" w:lineRule="exact"/>
        <w:rPr>
          <w:rFonts w:ascii="Times New Roman" w:cs="Times New Roman" w:eastAsia="Times New Roman" w:hAnsi="Times New Roman"/>
          <w:sz w:val="13"/>
          <w:szCs w:val="13"/>
          <w:color w:val="auto"/>
        </w:rPr>
      </w:pPr>
    </w:p>
    <w:p>
      <w:pPr>
        <w:ind w:left="600" w:hanging="190"/>
        <w:spacing w:after="0"/>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costs to obtain financial assurance or the inadequacy of our insurance coverages could negatively impact our liquidity and increase our liabilities;</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2" w:right="1039" w:bottom="1440" w:gutter="0" w:footer="0" w:header="0"/>
        </w:sectPr>
      </w:pPr>
    </w:p>
    <w:bookmarkStart w:id="24" w:name="page25"/>
    <w:bookmarkEnd w:id="24"/>
    <w:p>
      <w:pPr>
        <w:ind w:left="600" w:hanging="190"/>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possible charges as a result of shut-down operations, uncompleted development or expansion projects or other events may negatively affect earnings;</w:t>
      </w:r>
    </w:p>
    <w:p>
      <w:pPr>
        <w:spacing w:after="0" w:line="86" w:lineRule="exact"/>
        <w:rPr>
          <w:rFonts w:ascii="Times New Roman" w:cs="Times New Roman" w:eastAsia="Times New Roman" w:hAnsi="Times New Roman"/>
          <w:sz w:val="13"/>
          <w:szCs w:val="13"/>
          <w:color w:val="auto"/>
        </w:rPr>
      </w:pPr>
    </w:p>
    <w:p>
      <w:pPr>
        <w:ind w:left="600" w:hanging="190"/>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fluctuating commodity prices may have negative effects on our operating revenue and expenses;</w:t>
      </w:r>
    </w:p>
    <w:p>
      <w:pPr>
        <w:spacing w:after="0" w:line="86" w:lineRule="exact"/>
        <w:rPr>
          <w:rFonts w:ascii="Times New Roman" w:cs="Times New Roman" w:eastAsia="Times New Roman" w:hAnsi="Times New Roman"/>
          <w:sz w:val="13"/>
          <w:szCs w:val="13"/>
          <w:color w:val="auto"/>
        </w:rPr>
      </w:pPr>
    </w:p>
    <w:p>
      <w:pPr>
        <w:ind w:left="600" w:right="180" w:hanging="190"/>
        <w:spacing w:after="0" w:line="286" w:lineRule="auto"/>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trends toward recycling, waste reduction at the source and prohibiting the disposal of certain types of wastes could have negative effects on volumes of waste going to landfills and waste-to-energy facilities;</w:t>
      </w:r>
    </w:p>
    <w:p>
      <w:pPr>
        <w:spacing w:after="0" w:line="36" w:lineRule="exact"/>
        <w:rPr>
          <w:rFonts w:ascii="Times New Roman" w:cs="Times New Roman" w:eastAsia="Times New Roman" w:hAnsi="Times New Roman"/>
          <w:sz w:val="13"/>
          <w:szCs w:val="13"/>
          <w:color w:val="auto"/>
        </w:rPr>
      </w:pPr>
    </w:p>
    <w:p>
      <w:pPr>
        <w:ind w:left="600" w:right="140" w:hanging="190"/>
        <w:spacing w:after="0" w:line="269" w:lineRule="auto"/>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efforts by labor unions to organize our employees may increase operating expenses and we may be unable to negotiate acceptable collective bargaining agreements with those who have been chosen to be represented by unions, which could lead to labor disruptions, including strikes and lock-outs, which could adversely affect our results of operations and cash flows;</w:t>
      </w:r>
    </w:p>
    <w:p>
      <w:pPr>
        <w:spacing w:after="0" w:line="47" w:lineRule="exact"/>
        <w:rPr>
          <w:rFonts w:ascii="Times New Roman" w:cs="Times New Roman" w:eastAsia="Times New Roman" w:hAnsi="Times New Roman"/>
          <w:sz w:val="13"/>
          <w:szCs w:val="13"/>
          <w:color w:val="auto"/>
        </w:rPr>
      </w:pPr>
    </w:p>
    <w:p>
      <w:pPr>
        <w:ind w:left="600" w:right="240" w:hanging="190"/>
        <w:spacing w:after="0" w:line="286" w:lineRule="auto"/>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36" w:lineRule="exact"/>
        <w:rPr>
          <w:rFonts w:ascii="Times New Roman" w:cs="Times New Roman" w:eastAsia="Times New Roman" w:hAnsi="Times New Roman"/>
          <w:sz w:val="13"/>
          <w:szCs w:val="13"/>
          <w:color w:val="auto"/>
        </w:rPr>
      </w:pPr>
    </w:p>
    <w:p>
      <w:pPr>
        <w:ind w:left="600" w:right="100" w:hanging="190"/>
        <w:spacing w:after="0" w:line="286" w:lineRule="auto"/>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problems with the operation of our current information technology or the development and deployment of new information systems could decrease our efficiencies, increase our costs, or lead to an impairment charge;</w:t>
      </w:r>
    </w:p>
    <w:p>
      <w:pPr>
        <w:spacing w:after="0" w:line="36" w:lineRule="exact"/>
        <w:rPr>
          <w:rFonts w:ascii="Times New Roman" w:cs="Times New Roman" w:eastAsia="Times New Roman" w:hAnsi="Times New Roman"/>
          <w:sz w:val="13"/>
          <w:szCs w:val="13"/>
          <w:color w:val="auto"/>
        </w:rPr>
      </w:pPr>
    </w:p>
    <w:p>
      <w:pPr>
        <w:ind w:left="600" w:right="540" w:hanging="190"/>
        <w:spacing w:after="0" w:line="286" w:lineRule="auto"/>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adoption of new accounting standards or interpretations may cause fluctuations in reported quarterly results of operations or adversely impact our reported results of operations; and</w:t>
      </w:r>
    </w:p>
    <w:p>
      <w:pPr>
        <w:spacing w:after="0" w:line="36" w:lineRule="exact"/>
        <w:rPr>
          <w:rFonts w:ascii="Times New Roman" w:cs="Times New Roman" w:eastAsia="Times New Roman" w:hAnsi="Times New Roman"/>
          <w:sz w:val="13"/>
          <w:szCs w:val="13"/>
          <w:color w:val="auto"/>
        </w:rPr>
      </w:pPr>
    </w:p>
    <w:p>
      <w:pPr>
        <w:ind w:left="600" w:right="140" w:hanging="190"/>
        <w:spacing w:after="0" w:line="286" w:lineRule="auto"/>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reduce or eliminate our dividend or share repurchase program or we may need to raise additional capital if cash flows are less than we expect or capital expenditures or acquisition spending are more than we expect, and we may not be able to obtain any needed capital on acceptable terms.</w:t>
      </w:r>
    </w:p>
    <w:p>
      <w:pPr>
        <w:spacing w:after="0" w:line="47" w:lineRule="exact"/>
        <w:rPr>
          <w:sz w:val="20"/>
          <w:szCs w:val="20"/>
          <w:color w:val="auto"/>
        </w:rPr>
      </w:pPr>
    </w:p>
    <w:p>
      <w:pPr>
        <w:ind w:right="200" w:firstLine="399"/>
        <w:spacing w:after="0" w:line="286" w:lineRule="auto"/>
        <w:rPr>
          <w:sz w:val="20"/>
          <w:szCs w:val="20"/>
          <w:color w:val="auto"/>
        </w:rPr>
      </w:pPr>
      <w:r>
        <w:rPr>
          <w:rFonts w:ascii="Times New Roman" w:cs="Times New Roman" w:eastAsia="Times New Roman" w:hAnsi="Times New Roman"/>
          <w:sz w:val="13"/>
          <w:szCs w:val="13"/>
          <w:color w:val="auto"/>
        </w:rPr>
        <w:t>These are not the only risks that we face. There may be other risks that we do not presently know or that we currently believe are immaterial that could also impair our business or financial position.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8" w:lineRule="exact"/>
        <w:rPr>
          <w:sz w:val="20"/>
          <w:szCs w:val="20"/>
          <w:color w:val="auto"/>
        </w:rPr>
      </w:pPr>
    </w:p>
    <w:p>
      <w:pPr>
        <w:ind w:right="60" w:firstLine="399"/>
        <w:spacing w:after="0" w:line="269" w:lineRule="auto"/>
        <w:rPr>
          <w:sz w:val="20"/>
          <w:szCs w:val="20"/>
          <w:color w:val="auto"/>
        </w:rPr>
      </w:pPr>
      <w:r>
        <w:rPr>
          <w:rFonts w:ascii="Times New Roman" w:cs="Times New Roman" w:eastAsia="Times New Roman" w:hAnsi="Times New Roman"/>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58" w:lineRule="exact"/>
        <w:rPr>
          <w:sz w:val="20"/>
          <w:szCs w:val="20"/>
          <w:color w:val="auto"/>
        </w:rPr>
      </w:pPr>
    </w:p>
    <w:p>
      <w:pPr>
        <w:ind w:firstLine="399"/>
        <w:spacing w:after="0" w:line="263" w:lineRule="auto"/>
        <w:rPr>
          <w:sz w:val="20"/>
          <w:szCs w:val="20"/>
          <w:color w:val="auto"/>
        </w:rPr>
      </w:pPr>
      <w:r>
        <w:rPr>
          <w:rFonts w:ascii="Times New Roman" w:cs="Times New Roman" w:eastAsia="Times New Roman" w:hAnsi="Times New Roman"/>
          <w:sz w:val="13"/>
          <w:szCs w:val="13"/>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00" w:lineRule="exact"/>
        <w:rPr>
          <w:sz w:val="20"/>
          <w:szCs w:val="20"/>
          <w:color w:val="auto"/>
        </w:rPr>
      </w:pPr>
    </w:p>
    <w:p>
      <w:pPr>
        <w:ind w:right="80" w:firstLine="399"/>
        <w:spacing w:after="0" w:line="269" w:lineRule="auto"/>
        <w:rPr>
          <w:sz w:val="20"/>
          <w:szCs w:val="20"/>
          <w:color w:val="auto"/>
        </w:rPr>
      </w:pPr>
      <w:r>
        <w:rPr>
          <w:rFonts w:ascii="Times New Roman" w:cs="Times New Roman" w:eastAsia="Times New Roman" w:hAnsi="Times New Roman"/>
          <w:sz w:val="13"/>
          <w:szCs w:val="13"/>
          <w:color w:val="auto"/>
        </w:rPr>
        <w:t>In the first quarter of 2008, we saw continued earnings growth and margin expansion, reflecting the successes of our pricing program, cost control measures and fix-or-seek exit initiatives. This progress is particularly noteworthy in light of the challenges presented by the weakening of the U.S. economy, rising fuel costs and harsh weather conditions in the Midwest during the first quarter of 2008.</w:t>
      </w:r>
    </w:p>
    <w:p>
      <w:pPr>
        <w:spacing w:after="0" w:line="58" w:lineRule="exact"/>
        <w:rPr>
          <w:sz w:val="20"/>
          <w:szCs w:val="20"/>
          <w:color w:val="auto"/>
        </w:rPr>
      </w:pPr>
    </w:p>
    <w:p>
      <w:pPr>
        <w:ind w:right="60" w:firstLine="399"/>
        <w:spacing w:after="0" w:line="263" w:lineRule="auto"/>
        <w:rPr>
          <w:sz w:val="20"/>
          <w:szCs w:val="20"/>
          <w:color w:val="auto"/>
        </w:rPr>
      </w:pPr>
      <w:r>
        <w:rPr>
          <w:rFonts w:ascii="Times New Roman" w:cs="Times New Roman" w:eastAsia="Times New Roman" w:hAnsi="Times New Roman"/>
          <w:sz w:val="13"/>
          <w:szCs w:val="13"/>
          <w:color w:val="auto"/>
        </w:rPr>
        <w:t>In the first quarter of 2008, our revenues increased by $78 million, or 2.4%, as compared with the prior year period. This increase was driven by yield on our collection business and higher recycling commodity prices. These contributions to revenue growth were partially offset by the impacts of divestures and volume declines that were due to the sluggish economy, our focus on shedding unprofitable customers and competition. Our income from operations was $511 million in the first quarter of 2008 as compared with $481 million in the first quarter of 2007,</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6" w:right="1039" w:bottom="1440" w:gutter="0" w:footer="0" w:header="0"/>
        </w:sectPr>
      </w:pPr>
    </w:p>
    <w:bookmarkStart w:id="25" w:name="page26"/>
    <w:bookmarkEnd w:id="25"/>
    <w:p>
      <w:pPr>
        <w:ind w:right="80"/>
        <w:spacing w:after="0" w:line="286" w:lineRule="auto"/>
        <w:rPr>
          <w:sz w:val="20"/>
          <w:szCs w:val="20"/>
          <w:color w:val="auto"/>
        </w:rPr>
      </w:pPr>
      <w:r>
        <w:rPr>
          <w:rFonts w:ascii="Times New Roman" w:cs="Times New Roman" w:eastAsia="Times New Roman" w:hAnsi="Times New Roman"/>
          <w:sz w:val="13"/>
          <w:szCs w:val="13"/>
          <w:color w:val="auto"/>
        </w:rPr>
        <w:t>an improvement of 6.2%. As a percentage of revenue, income from operations was 15.6% as compared with 15.1% in the first quarter of 2007. These improvements are a direct result of the disciplined approaches we have taken to our strategic initiatives.</w:t>
      </w:r>
    </w:p>
    <w:p>
      <w:pPr>
        <w:spacing w:after="0" w:line="47" w:lineRule="exact"/>
        <w:rPr>
          <w:sz w:val="20"/>
          <w:szCs w:val="20"/>
          <w:color w:val="auto"/>
        </w:rPr>
      </w:pPr>
    </w:p>
    <w:p>
      <w:pPr>
        <w:ind w:right="140" w:firstLine="399"/>
        <w:spacing w:after="0" w:line="263" w:lineRule="auto"/>
        <w:rPr>
          <w:sz w:val="20"/>
          <w:szCs w:val="20"/>
          <w:color w:val="auto"/>
        </w:rPr>
      </w:pPr>
      <w:r>
        <w:rPr>
          <w:rFonts w:ascii="Times New Roman" w:cs="Times New Roman" w:eastAsia="Times New Roman" w:hAnsi="Times New Roman"/>
          <w:sz w:val="13"/>
          <w:szCs w:val="13"/>
          <w:color w:val="auto"/>
        </w:rPr>
        <w:t>Our operating expenses increased by $58 million, or 2.9%, in the first quarter of 2008 as compared with the prior year period. The increase is due primarily to higher fuel costs and commodity prices. Our selling, general and administrative expenses increased by $15 million, or 4.2%, as compared with the first quarter of 2007, primarily as a result of a continued focus on our sales initiatives, which are currently concentrated on identifying new customers that will provide profitable growth for our business. This focus has resulted in higher labor and advertising costs. During the first quarter of 2008, our selling, general and administrative expenses also increased due to higher non-cash expenses for our provision for bad debts.</w:t>
      </w:r>
    </w:p>
    <w:p>
      <w:pPr>
        <w:spacing w:after="0" w:line="62" w:lineRule="exact"/>
        <w:rPr>
          <w:sz w:val="20"/>
          <w:szCs w:val="20"/>
          <w:color w:val="auto"/>
        </w:rPr>
      </w:pPr>
    </w:p>
    <w:p>
      <w:pPr>
        <w:ind w:right="60" w:firstLine="399"/>
        <w:spacing w:after="0" w:line="286" w:lineRule="auto"/>
        <w:rPr>
          <w:sz w:val="20"/>
          <w:szCs w:val="20"/>
          <w:color w:val="auto"/>
        </w:rPr>
      </w:pPr>
      <w:r>
        <w:rPr>
          <w:rFonts w:ascii="Times New Roman" w:cs="Times New Roman" w:eastAsia="Times New Roman" w:hAnsi="Times New Roman"/>
          <w:sz w:val="13"/>
          <w:szCs w:val="13"/>
          <w:color w:val="auto"/>
        </w:rPr>
        <w:t>Our operating cash flow and free cash flow for the first quarter of 2008 also reflect the earnings growth experienced during the period. Operating cash flow increased by $23 million, or 4.3%, and free cash flow increased by $27 million, or 8.1%. We calculate free cash flow as shown in the table below (in millions):</w:t>
      </w:r>
    </w:p>
    <w:p>
      <w:pPr>
        <w:spacing w:after="0" w:line="5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1300" w:type="dxa"/>
            <w:vAlign w:val="bottom"/>
          </w:tcPr>
          <w:p>
            <w:pPr>
              <w:spacing w:after="0"/>
              <w:rPr>
                <w:sz w:val="8"/>
                <w:szCs w:val="8"/>
                <w:color w:val="auto"/>
              </w:rPr>
            </w:pPr>
          </w:p>
        </w:tc>
        <w:tc>
          <w:tcPr>
            <w:tcW w:w="74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7"/>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2008</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7"/>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2007</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561</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538</w:t>
            </w:r>
          </w:p>
        </w:tc>
      </w:tr>
      <w:tr>
        <w:trPr>
          <w:trHeight w:val="157"/>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 expenditures</w:t>
            </w:r>
          </w:p>
        </w:tc>
        <w:tc>
          <w:tcPr>
            <w:tcW w:w="80" w:type="dxa"/>
            <w:vAlign w:val="bottom"/>
          </w:tcPr>
          <w:p>
            <w:pPr>
              <w:spacing w:after="0"/>
              <w:rPr>
                <w:sz w:val="13"/>
                <w:szCs w:val="13"/>
                <w:color w:val="auto"/>
              </w:rPr>
            </w:pPr>
          </w:p>
        </w:tc>
        <w:tc>
          <w:tcPr>
            <w:tcW w:w="72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(272)</w:t>
            </w:r>
          </w:p>
        </w:tc>
      </w:tr>
      <w:tr>
        <w:trPr>
          <w:trHeight w:val="157"/>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divestitures of businesses (net of cash divested) and other sales of assets</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69</w:t>
            </w:r>
          </w:p>
        </w:tc>
      </w:tr>
      <w:tr>
        <w:trPr>
          <w:trHeight w:val="166"/>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Free cash flow(a)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tcPr>
          <w:p>
            <w:pPr>
              <w:spacing w:after="0"/>
              <w:rPr>
                <w:sz w:val="14"/>
                <w:szCs w:val="14"/>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500" w:right="60" w:hanging="493"/>
        <w:spacing w:after="0" w:line="263" w:lineRule="auto"/>
        <w:tabs>
          <w:tab w:leader="none" w:pos="5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included free cash flow, which is a non-GAAP measure of liquidity, in our disclosures because we use this measure in the evaluation and management of our business and believe it is indicative of our ability to pay our quarterly dividends, repurchase our common stock and fund acquisitions and other investments. Free cash flow is not intended to replace the GAAP measure of “Net cash provided by operating activities”, which is the most comparable GAAP measure. However, by subtracting cash used for capital expenditures and adding the cash proceeds from divestitures and other asset sales, we believe free cash flow gives investors greater insight into our liquidity.</w:t>
      </w:r>
    </w:p>
    <w:p>
      <w:pPr>
        <w:spacing w:after="0" w:line="62" w:lineRule="exact"/>
        <w:rPr>
          <w:sz w:val="20"/>
          <w:szCs w:val="20"/>
          <w:color w:val="auto"/>
        </w:rPr>
      </w:pPr>
    </w:p>
    <w:p>
      <w:pPr>
        <w:ind w:right="60" w:firstLine="399"/>
        <w:spacing w:after="0" w:line="269" w:lineRule="auto"/>
        <w:rPr>
          <w:sz w:val="20"/>
          <w:szCs w:val="20"/>
          <w:color w:val="auto"/>
        </w:rPr>
      </w:pPr>
      <w:r>
        <w:rPr>
          <w:rFonts w:ascii="Times New Roman" w:cs="Times New Roman" w:eastAsia="Times New Roman" w:hAnsi="Times New Roman"/>
          <w:sz w:val="13"/>
          <w:szCs w:val="13"/>
          <w:color w:val="auto"/>
        </w:rPr>
        <w:t>We expect that throughout 2008 we may continue to face challenges related to volume losses, the economy and rising fuel prices. We may also begin to face headwinds from customers’ and communities’ changing needs and desires regarding their waste services. For these reasons, we are continuing to implement measures that we believe will grow our business, improve our current operations’ performance and enhance and expand our services.</w:t>
      </w:r>
    </w:p>
    <w:p>
      <w:pPr>
        <w:spacing w:after="0" w:line="58" w:lineRule="exact"/>
        <w:rPr>
          <w:sz w:val="20"/>
          <w:szCs w:val="20"/>
          <w:color w:val="auto"/>
        </w:rPr>
      </w:pPr>
    </w:p>
    <w:p>
      <w:pPr>
        <w:ind w:right="20" w:firstLine="399"/>
        <w:spacing w:after="0" w:line="258" w:lineRule="auto"/>
        <w:rPr>
          <w:sz w:val="20"/>
          <w:szCs w:val="20"/>
          <w:color w:val="auto"/>
        </w:rPr>
      </w:pPr>
      <w:r>
        <w:rPr>
          <w:rFonts w:ascii="Times New Roman" w:cs="Times New Roman" w:eastAsia="Times New Roman" w:hAnsi="Times New Roman"/>
          <w:sz w:val="13"/>
          <w:szCs w:val="13"/>
          <w:color w:val="auto"/>
        </w:rPr>
        <w:t>After terminating the pilot of a new revenue management system in the fourth quarter of 2007, we participated in a scheduled mediation in March 2008 in an attempt to resolve our disputes with the vendor, SAP. The mediation was not successful. We have filed suit against SAP and will pursue all legal remedies available to us. SAP recently filed a general denial to the suit. As a result, we will not be able to deploy a new revenue management system in the foreseeable future and we will continue to operate our current system, although it does not provide the benefits we were expecting from the licensed application. However, we may be able to make enhancements to our current system. Our plans to install a new revenue management system, to make enhancements to our current system and to address the issues with SAP may result in cost increases, each of which could negatively affect our future cash flow and earnings. As we continue to assess the alternatives available to us, we may determine that the best course of action will be to move forward with another software and abandon the SAP revenue management system. If we decide to abandon the SAP software, the abandonment would result in a charge of between $45 million and $55 million.</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Critical Accounting Estimates and Assumptions</w:t>
      </w:r>
    </w:p>
    <w:p>
      <w:pPr>
        <w:spacing w:after="0" w:line="100" w:lineRule="exact"/>
        <w:rPr>
          <w:sz w:val="20"/>
          <w:szCs w:val="20"/>
          <w:color w:val="auto"/>
        </w:rPr>
      </w:pPr>
    </w:p>
    <w:p>
      <w:pPr>
        <w:ind w:right="160" w:firstLine="399"/>
        <w:spacing w:after="0" w:line="286" w:lineRule="auto"/>
        <w:rPr>
          <w:sz w:val="20"/>
          <w:szCs w:val="20"/>
          <w:color w:val="auto"/>
        </w:rPr>
      </w:pPr>
      <w:r>
        <w:rPr>
          <w:rFonts w:ascii="Times New Roman" w:cs="Times New Roman" w:eastAsia="Times New Roman" w:hAnsi="Times New Roman"/>
          <w:sz w:val="13"/>
          <w:szCs w:val="13"/>
          <w:color w:val="auto"/>
        </w:rPr>
        <w:t>In preparing our financial statements, we make numerous estimates and assumptions that affect the accounting for and recognition and disclosure of assets, liabilities, stockholders’ equity, revenues and expenses. We must make</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6" w:name="page27"/>
    <w:bookmarkEnd w:id="26"/>
    <w:p>
      <w:pPr>
        <w:ind w:right="140"/>
        <w:spacing w:after="0" w:line="261" w:lineRule="auto"/>
        <w:rPr>
          <w:sz w:val="20"/>
          <w:szCs w:val="20"/>
          <w:color w:val="auto"/>
        </w:rPr>
      </w:pPr>
      <w:r>
        <w:rPr>
          <w:rFonts w:ascii="Times New Roman" w:cs="Times New Roman" w:eastAsia="Times New Roman" w:hAnsi="Times New Roman"/>
          <w:sz w:val="13"/>
          <w:szCs w:val="13"/>
          <w:color w:val="auto"/>
        </w:rPr>
        <w:t>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as described in Item 7 of our Annual Report on Form 10-K for the year ended December 31, 2007. Actual results could differ materially from the estimates and assumptions that we use in the preparation of our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Operating Revenues</w:t>
      </w:r>
    </w:p>
    <w:p>
      <w:pPr>
        <w:spacing w:after="0" w:line="100" w:lineRule="exact"/>
        <w:rPr>
          <w:sz w:val="20"/>
          <w:szCs w:val="20"/>
          <w:color w:val="auto"/>
        </w:rPr>
      </w:pPr>
    </w:p>
    <w:p>
      <w:pPr>
        <w:ind w:firstLine="399"/>
        <w:spacing w:after="0" w:line="263" w:lineRule="auto"/>
        <w:rPr>
          <w:sz w:val="20"/>
          <w:szCs w:val="20"/>
          <w:color w:val="auto"/>
        </w:rPr>
      </w:pPr>
      <w:r>
        <w:rPr>
          <w:rFonts w:ascii="Times New Roman" w:cs="Times New Roman" w:eastAsia="Times New Roman" w:hAnsi="Times New Roman"/>
          <w:sz w:val="13"/>
          <w:szCs w:val="13"/>
          <w:color w:val="auto"/>
        </w:rPr>
        <w:t>Our operating revenues were $3.3 billion for the three months ended March 31, 2008 compared with $3.2 billion for the three months ended March 31, 2007. We manage and evaluate our operations primarily through our Eastern, Midwest, Southern, Western, Wheelabrator (which includes our waste-to-energy facilities and independent power production plants, or IPPs) and WMRA Groups. These six operating Groups are our reportable segments. Shown below (in millions) is the contribution to revenues during each period provided by our six operating Groups and our Other waste services:</w:t>
      </w:r>
    </w:p>
    <w:p>
      <w:pPr>
        <w:spacing w:after="0" w:line="66"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5"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rPr>
              <w:t>2008</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Eastern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790</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Midwest</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680</w:t>
            </w: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Southern</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913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919</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Western</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853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851</w:t>
            </w: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208</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WMRA</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215</w:t>
            </w: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67</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Intercompany</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(515)</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(542)</w:t>
            </w: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3,188</w:t>
            </w:r>
          </w:p>
        </w:tc>
      </w:tr>
      <w:tr>
        <w:trPr>
          <w:trHeight w:val="29"/>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mix of operating revenues from our major lines of business is reflected in the table below (in millions):</w:t>
      </w:r>
    </w:p>
    <w:p>
      <w:pPr>
        <w:spacing w:after="0" w:line="100"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5"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rPr>
              <w:t>2008</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Collection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2,138</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2,121</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Landfill</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685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720</w:t>
            </w: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Transfer</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380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389</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208</w:t>
            </w: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Recycling</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258</w:t>
            </w:r>
          </w:p>
        </w:tc>
      </w:tr>
      <w:tr>
        <w:trPr>
          <w:trHeight w:val="157"/>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w:t>
            </w:r>
          </w:p>
        </w:tc>
      </w:tr>
      <w:tr>
        <w:trPr>
          <w:trHeight w:val="15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Intercompany</w:t>
            </w: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(515)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(542)</w:t>
            </w:r>
          </w:p>
        </w:tc>
      </w:tr>
      <w:tr>
        <w:trPr>
          <w:trHeight w:val="166"/>
        </w:trPr>
        <w:tc>
          <w:tcPr>
            <w:tcW w:w="8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3,266</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3,188</w:t>
            </w:r>
          </w:p>
        </w:tc>
        <w:tc>
          <w:tcPr>
            <w:tcW w:w="100" w:type="dxa"/>
            <w:vAlign w:val="bottom"/>
          </w:tcPr>
          <w:p>
            <w:pPr>
              <w:spacing w:after="0"/>
              <w:rPr>
                <w:sz w:val="14"/>
                <w:szCs w:val="14"/>
                <w:color w:val="auto"/>
              </w:rPr>
            </w:pPr>
          </w:p>
        </w:tc>
      </w:tr>
    </w:tbl>
    <w:p>
      <w:pPr>
        <w:spacing w:after="0" w:line="86" w:lineRule="exact"/>
        <w:rPr>
          <w:sz w:val="20"/>
          <w:szCs w:val="20"/>
          <w:color w:val="auto"/>
        </w:rPr>
      </w:pPr>
    </w:p>
    <w:p>
      <w:pPr>
        <w:ind w:right="280" w:firstLine="399"/>
        <w:spacing w:after="0" w:line="286" w:lineRule="auto"/>
        <w:rPr>
          <w:sz w:val="20"/>
          <w:szCs w:val="20"/>
          <w:color w:val="auto"/>
        </w:rPr>
      </w:pPr>
      <w:r>
        <w:rPr>
          <w:rFonts w:ascii="Times New Roman" w:cs="Times New Roman" w:eastAsia="Times New Roman" w:hAnsi="Times New Roman"/>
          <w:sz w:val="13"/>
          <w:szCs w:val="13"/>
          <w:color w:val="auto"/>
        </w:rPr>
        <w:t>The decreases in revenues in our collection and transfer lines of business due to third-party volume declines have negatively affected the revenues in our landfill line of business. These volume declines generally have resulted in a decrease in intercompany revenues at our landfills and have not significantly affected the change in our net</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7" w:name="page28"/>
    <w:bookmarkEnd w:id="27"/>
    <w:p>
      <w:pPr>
        <w:ind w:right="400"/>
        <w:spacing w:after="0" w:line="286" w:lineRule="auto"/>
        <w:rPr>
          <w:sz w:val="20"/>
          <w:szCs w:val="20"/>
          <w:color w:val="auto"/>
        </w:rPr>
      </w:pPr>
      <w:r>
        <w:rPr>
          <w:rFonts w:ascii="Times New Roman" w:cs="Times New Roman" w:eastAsia="Times New Roman" w:hAnsi="Times New Roman"/>
          <w:sz w:val="13"/>
          <w:szCs w:val="13"/>
          <w:color w:val="auto"/>
        </w:rPr>
        <w:t>operating revenues for the landfill line of business. Changes in our third-party revenues when comparing the three months ended March 31, 2008 and 2007 are discussed further in the following table and analysis.</w:t>
      </w:r>
    </w:p>
    <w:p>
      <w:pPr>
        <w:spacing w:after="0" w:line="47" w:lineRule="exact"/>
        <w:rPr>
          <w:sz w:val="20"/>
          <w:szCs w:val="20"/>
          <w:color w:val="auto"/>
        </w:rPr>
      </w:pPr>
    </w:p>
    <w:p>
      <w:pPr>
        <w:ind w:right="12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 provides details associated with the period-to-period change in revenues (dollars in millions) along with an explanation of the significant components of current period changes: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center"/>
              <w:ind w:left="39"/>
              <w:spacing w:after="0"/>
              <w:rPr>
                <w:sz w:val="20"/>
                <w:szCs w:val="20"/>
                <w:color w:val="auto"/>
              </w:rPr>
            </w:pPr>
            <w:r>
              <w:rPr>
                <w:rFonts w:ascii="Times New Roman" w:cs="Times New Roman" w:eastAsia="Times New Roman" w:hAnsi="Times New Roman"/>
                <w:sz w:val="10"/>
                <w:szCs w:val="10"/>
                <w:b w:val="1"/>
                <w:bCs w:val="1"/>
                <w:color w:val="auto"/>
              </w:rPr>
              <w:t>Period-to-Period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tcPr>
          <w:p>
            <w:pPr>
              <w:jc w:val="center"/>
              <w:ind w:left="39"/>
              <w:spacing w:after="0" w:line="108" w:lineRule="exact"/>
              <w:rPr>
                <w:sz w:val="20"/>
                <w:szCs w:val="20"/>
                <w:color w:val="auto"/>
              </w:rPr>
            </w:pPr>
            <w:r>
              <w:rPr>
                <w:rFonts w:ascii="Times New Roman" w:cs="Times New Roman" w:eastAsia="Times New Roman" w:hAnsi="Times New Roman"/>
                <w:sz w:val="10"/>
                <w:szCs w:val="10"/>
                <w:b w:val="1"/>
                <w:bCs w:val="1"/>
                <w:color w:val="auto"/>
              </w:rPr>
              <w:t>Change for the</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tcPr>
          <w:p>
            <w:pPr>
              <w:jc w:val="center"/>
              <w:ind w:left="19"/>
              <w:spacing w:after="0" w:line="108" w:lineRule="exact"/>
              <w:rPr>
                <w:sz w:val="20"/>
                <w:szCs w:val="20"/>
                <w:color w:val="auto"/>
              </w:rPr>
            </w:pPr>
            <w:r>
              <w:rPr>
                <w:rFonts w:ascii="Times New Roman" w:cs="Times New Roman" w:eastAsia="Times New Roman" w:hAnsi="Times New Roman"/>
                <w:sz w:val="10"/>
                <w:szCs w:val="10"/>
                <w:b w:val="1"/>
                <w:bCs w:val="1"/>
                <w:color w:val="auto"/>
              </w:rPr>
              <w:t>Three Months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tcPr>
          <w:p>
            <w:pPr>
              <w:jc w:val="center"/>
              <w:ind w:left="39"/>
              <w:spacing w:after="0" w:line="108"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center"/>
              <w:ind w:left="19"/>
              <w:spacing w:after="0"/>
              <w:rPr>
                <w:sz w:val="20"/>
                <w:szCs w:val="20"/>
                <w:color w:val="auto"/>
              </w:rPr>
            </w:pPr>
            <w:r>
              <w:rPr>
                <w:rFonts w:ascii="Times New Roman" w:cs="Times New Roman" w:eastAsia="Times New Roman" w:hAnsi="Times New Roman"/>
                <w:sz w:val="10"/>
                <w:szCs w:val="10"/>
                <w:b w:val="1"/>
                <w:bCs w:val="1"/>
                <w:color w:val="auto"/>
              </w:rPr>
              <w:t>2008 and 2007</w:t>
            </w:r>
          </w:p>
        </w:tc>
        <w:tc>
          <w:tcPr>
            <w:tcW w:w="2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Average yield:</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Base business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57"/>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Commodity</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5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7"/>
        </w:trPr>
        <w:tc>
          <w:tcPr>
            <w:tcW w:w="8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Electricity (IPPs)</w:t>
            </w:r>
          </w:p>
        </w:tc>
        <w:tc>
          <w:tcPr>
            <w:tcW w:w="120" w:type="dxa"/>
            <w:vAlign w:val="bottom"/>
          </w:tcPr>
          <w:p>
            <w:pPr>
              <w:spacing w:after="0"/>
              <w:rPr>
                <w:sz w:val="13"/>
                <w:szCs w:val="13"/>
                <w:color w:val="auto"/>
              </w:rPr>
            </w:pPr>
          </w:p>
        </w:tc>
        <w:tc>
          <w:tcPr>
            <w:tcW w:w="88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Fuel surcharges and mandated fees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5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7"/>
        </w:trPr>
        <w:tc>
          <w:tcPr>
            <w:tcW w:w="866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Volume</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6"/>
              </w:rPr>
              <w:t>(3.9)</w:t>
            </w:r>
          </w:p>
        </w:tc>
        <w:tc>
          <w:tcPr>
            <w:tcW w:w="0" w:type="dxa"/>
            <w:vAlign w:val="bottom"/>
          </w:tcPr>
          <w:p>
            <w:pPr>
              <w:spacing w:after="0"/>
              <w:rPr>
                <w:sz w:val="1"/>
                <w:szCs w:val="1"/>
                <w:color w:val="auto"/>
              </w:rPr>
            </w:pPr>
          </w:p>
        </w:tc>
      </w:tr>
      <w:tr>
        <w:trPr>
          <w:trHeight w:val="157"/>
        </w:trPr>
        <w:tc>
          <w:tcPr>
            <w:tcW w:w="8660" w:type="dxa"/>
            <w:vAlign w:val="bottom"/>
          </w:tcPr>
          <w:p>
            <w:pPr>
              <w:spacing w:after="0"/>
              <w:rPr>
                <w:sz w:val="20"/>
                <w:szCs w:val="20"/>
                <w:color w:val="auto"/>
              </w:rPr>
            </w:pPr>
            <w:r>
              <w:rPr>
                <w:rFonts w:ascii="Times New Roman" w:cs="Times New Roman" w:eastAsia="Times New Roman" w:hAnsi="Times New Roman"/>
                <w:sz w:val="13"/>
                <w:szCs w:val="13"/>
                <w:color w:val="auto"/>
              </w:rPr>
              <w:t>Internal revenue growth</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5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57"/>
        </w:trPr>
        <w:tc>
          <w:tcPr>
            <w:tcW w:w="8660" w:type="dxa"/>
            <w:vAlign w:val="bottom"/>
          </w:tcPr>
          <w:p>
            <w:pPr>
              <w:spacing w:after="0"/>
              <w:rPr>
                <w:sz w:val="20"/>
                <w:szCs w:val="20"/>
                <w:color w:val="auto"/>
              </w:rPr>
            </w:pPr>
            <w:r>
              <w:rPr>
                <w:rFonts w:ascii="Times New Roman" w:cs="Times New Roman" w:eastAsia="Times New Roman" w:hAnsi="Times New Roman"/>
                <w:sz w:val="13"/>
                <w:szCs w:val="13"/>
                <w:color w:val="auto"/>
              </w:rPr>
              <w:t>Divestitures</w:t>
            </w:r>
          </w:p>
        </w:tc>
        <w:tc>
          <w:tcPr>
            <w:tcW w:w="120" w:type="dxa"/>
            <w:vAlign w:val="bottom"/>
          </w:tcPr>
          <w:p>
            <w:pPr>
              <w:spacing w:after="0"/>
              <w:rPr>
                <w:sz w:val="13"/>
                <w:szCs w:val="13"/>
                <w:color w:val="auto"/>
              </w:rPr>
            </w:pPr>
          </w:p>
        </w:tc>
        <w:tc>
          <w:tcPr>
            <w:tcW w:w="78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6"/>
              </w:rPr>
              <w:t>(2.0)</w:t>
            </w:r>
          </w:p>
        </w:tc>
        <w:tc>
          <w:tcPr>
            <w:tcW w:w="0" w:type="dxa"/>
            <w:vAlign w:val="bottom"/>
          </w:tcPr>
          <w:p>
            <w:pPr>
              <w:spacing w:after="0"/>
              <w:rPr>
                <w:sz w:val="1"/>
                <w:szCs w:val="1"/>
                <w:color w:val="auto"/>
              </w:rPr>
            </w:pPr>
          </w:p>
        </w:tc>
      </w:tr>
      <w:tr>
        <w:trPr>
          <w:trHeight w:val="15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5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29"/>
        </w:trPr>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right="6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Base Business </w:t>
      </w:r>
      <w:r>
        <w:rPr>
          <w:rFonts w:ascii="Times New Roman" w:cs="Times New Roman" w:eastAsia="Times New Roman" w:hAnsi="Times New Roman"/>
          <w:sz w:val="13"/>
          <w:szCs w:val="13"/>
          <w:color w:val="auto"/>
        </w:rPr>
        <w:t>— Yield on base business reflects the effect on our revenue from the pricing activities of our collection, transfer, disposal and waste-to-energy operations, exclusive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volume changes. Revenue growth from base business yield includes not only price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62" w:lineRule="exact"/>
        <w:rPr>
          <w:sz w:val="20"/>
          <w:szCs w:val="20"/>
          <w:color w:val="auto"/>
        </w:rPr>
      </w:pPr>
    </w:p>
    <w:p>
      <w:pPr>
        <w:ind w:firstLine="399"/>
        <w:spacing w:after="0" w:line="266" w:lineRule="auto"/>
        <w:rPr>
          <w:sz w:val="20"/>
          <w:szCs w:val="20"/>
          <w:color w:val="auto"/>
        </w:rPr>
      </w:pPr>
      <w:r>
        <w:rPr>
          <w:rFonts w:ascii="Times New Roman" w:cs="Times New Roman" w:eastAsia="Times New Roman" w:hAnsi="Times New Roman"/>
          <w:sz w:val="13"/>
          <w:szCs w:val="13"/>
          <w:color w:val="auto"/>
        </w:rPr>
        <w:t>Our pricing excellence initiative continues to be the primary contributor to our base business yield growth. The increase in base business yield was driven by our collection operations. However, our transfer stations and landfill municipal solid waste streams also contributed significant base business yield improvements. We saw an increase in revenue from yield at our waste-to-energy facilities, largely due to annual rate increases for electricity under long-term contracts and favorable energy market pricing, which is generally indexed to natural gas prices.</w:t>
      </w:r>
    </w:p>
    <w:p>
      <w:pPr>
        <w:spacing w:after="0" w:line="220" w:lineRule="exact"/>
        <w:rPr>
          <w:sz w:val="20"/>
          <w:szCs w:val="20"/>
          <w:color w:val="auto"/>
        </w:rPr>
      </w:pPr>
    </w:p>
    <w:p>
      <w:pPr>
        <w:ind w:right="160" w:firstLine="399"/>
        <w:spacing w:after="0" w:line="286" w:lineRule="auto"/>
        <w:rPr>
          <w:sz w:val="20"/>
          <w:szCs w:val="20"/>
          <w:color w:val="auto"/>
        </w:rPr>
      </w:pPr>
      <w:r>
        <w:rPr>
          <w:rFonts w:ascii="Times New Roman" w:cs="Times New Roman" w:eastAsia="Times New Roman" w:hAnsi="Times New Roman"/>
          <w:sz w:val="13"/>
          <w:szCs w:val="13"/>
          <w:color w:val="auto"/>
        </w:rPr>
        <w:t>Revenues from our environmental fee, which is included in base business yield, were $41 million during the three months ended March 31, 2008, compared with $22 million in the comparable prior year period.</w:t>
      </w:r>
    </w:p>
    <w:p>
      <w:pPr>
        <w:spacing w:after="0" w:line="45" w:lineRule="exact"/>
        <w:rPr>
          <w:sz w:val="20"/>
          <w:szCs w:val="20"/>
          <w:color w:val="auto"/>
        </w:rPr>
      </w:pPr>
    </w:p>
    <w:p>
      <w:pPr>
        <w:ind w:right="6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Commodity </w:t>
      </w:r>
      <w:r>
        <w:rPr>
          <w:rFonts w:ascii="Times New Roman" w:cs="Times New Roman" w:eastAsia="Times New Roman" w:hAnsi="Times New Roman"/>
          <w:sz w:val="13"/>
          <w:szCs w:val="13"/>
          <w:color w:val="auto"/>
        </w:rPr>
        <w:t>— Increases in the prices of recycling commodities contributed $71 million of revenue growth during the first quarter of 2008. As compared with the first quarter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2007, average prices for old corrugated cardboard increased by 23% and average prices for old newsprint increased by 18%. Approximately half of the increase in revenue from yield on our recycling operations is associated with our relatively lower margin brokerage activities.</w:t>
      </w:r>
    </w:p>
    <w:p>
      <w:pPr>
        <w:spacing w:after="0" w:line="54" w:lineRule="exact"/>
        <w:rPr>
          <w:sz w:val="20"/>
          <w:szCs w:val="20"/>
          <w:color w:val="auto"/>
        </w:rPr>
      </w:pPr>
    </w:p>
    <w:p>
      <w:pPr>
        <w:ind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Fuel surcharges and mandated fees </w:t>
      </w:r>
      <w:r>
        <w:rPr>
          <w:rFonts w:ascii="Times New Roman" w:cs="Times New Roman" w:eastAsia="Times New Roman" w:hAnsi="Times New Roman"/>
          <w:sz w:val="13"/>
          <w:szCs w:val="13"/>
          <w:color w:val="auto"/>
        </w:rPr>
        <w:t>— Fuel surcharges increased revenues year-over-year by $43 million. This increase is due to our continued effort to pass on higher fuel costs from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increases in market prices to our customers through fuel surcharges. Although our fuel surcharge program is designed to respond to changes in the market price for fuel, there is a lag in the timing of revenue increases following fuel cost increases. This timing difference has negatively affected our ability to fully recover our cost increases in the first quarter of 2008 due to the continual increase in the market price for fuel during the quarter.</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8" w:name="page29"/>
    <w:bookmarkEnd w:id="28"/>
    <w:p>
      <w:pPr>
        <w:ind w:right="100" w:firstLine="399"/>
        <w:spacing w:after="0" w:line="286" w:lineRule="auto"/>
        <w:rPr>
          <w:sz w:val="20"/>
          <w:szCs w:val="20"/>
          <w:color w:val="auto"/>
        </w:rPr>
      </w:pPr>
      <w:r>
        <w:rPr>
          <w:rFonts w:ascii="Times New Roman" w:cs="Times New Roman" w:eastAsia="Times New Roman" w:hAnsi="Times New Roman"/>
          <w:sz w:val="13"/>
          <w:szCs w:val="13"/>
          <w:color w:val="auto"/>
        </w:rPr>
        <w:t>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i w:val="1"/>
          <w:iCs w:val="1"/>
          <w:color w:val="auto"/>
        </w:rPr>
        <w:t xml:space="preserve">Volume — </w:t>
      </w:r>
      <w:r>
        <w:rPr>
          <w:rFonts w:ascii="Times New Roman" w:cs="Times New Roman" w:eastAsia="Times New Roman" w:hAnsi="Times New Roman"/>
          <w:sz w:val="13"/>
          <w:szCs w:val="13"/>
          <w:color w:val="auto"/>
        </w:rPr>
        <w:t>The $123 million decline in revenues due to lower volumes was driven by declines in our collection volumes and, to a lesser extent, lower disposal volumes.</w:t>
      </w:r>
    </w:p>
    <w:p>
      <w:pPr>
        <w:spacing w:after="0" w:line="98" w:lineRule="exact"/>
        <w:rPr>
          <w:sz w:val="20"/>
          <w:szCs w:val="20"/>
          <w:color w:val="auto"/>
        </w:rPr>
      </w:pPr>
    </w:p>
    <w:p>
      <w:pPr>
        <w:ind w:right="20" w:firstLine="399"/>
        <w:spacing w:after="0" w:line="263" w:lineRule="auto"/>
        <w:rPr>
          <w:sz w:val="20"/>
          <w:szCs w:val="20"/>
          <w:color w:val="auto"/>
        </w:rPr>
      </w:pPr>
      <w:r>
        <w:rPr>
          <w:rFonts w:ascii="Times New Roman" w:cs="Times New Roman" w:eastAsia="Times New Roman" w:hAnsi="Times New Roman"/>
          <w:sz w:val="13"/>
          <w:szCs w:val="13"/>
          <w:color w:val="auto"/>
        </w:rPr>
        <w:t>Volume reductions in the first quarter of 2008 have significantly affected the revenues of each of our collection lines of business, accounting for $109 million of the revenue decrease. Volumes continue to be affected by our focus on improving margins through increased pricing. However, both the continued slowdown in the economy and the harsh winter weather in the Midwest during the first quarter of 2008 also had significant impacts on each of our collection lines of business. Our industrial collection operations experienced the most significant revenue declines due to lower volumes as a result of the significant slowdown in the housing market across the United States.</w:t>
      </w:r>
    </w:p>
    <w:p>
      <w:pPr>
        <w:spacing w:after="0" w:line="62" w:lineRule="exact"/>
        <w:rPr>
          <w:sz w:val="20"/>
          <w:szCs w:val="20"/>
          <w:color w:val="auto"/>
        </w:rPr>
      </w:pPr>
    </w:p>
    <w:p>
      <w:pPr>
        <w:ind w:right="80" w:firstLine="399"/>
        <w:spacing w:after="0" w:line="263" w:lineRule="auto"/>
        <w:rPr>
          <w:sz w:val="20"/>
          <w:szCs w:val="20"/>
          <w:color w:val="auto"/>
        </w:rPr>
      </w:pPr>
      <w:r>
        <w:rPr>
          <w:rFonts w:ascii="Times New Roman" w:cs="Times New Roman" w:eastAsia="Times New Roman" w:hAnsi="Times New Roman"/>
          <w:sz w:val="13"/>
          <w:szCs w:val="13"/>
          <w:color w:val="auto"/>
        </w:rPr>
        <w:t>We also experienced declines in third-party revenue at our landfills due to reduced construction and demolition, municipal solid waste and special waste disposal volumes in the first quarter of 2008. The most significant decline was in our construction and demolition waste stream, which was down due to the significant slowdown in residential construction across the United States. Waste-to-energy revenue from disposal volumes also declined in the first quarter of 2008, largely due to the termination of an operating and maintenance agreement in May 2007.</w:t>
      </w:r>
    </w:p>
    <w:p>
      <w:pPr>
        <w:spacing w:after="0" w:line="60" w:lineRule="exact"/>
        <w:rPr>
          <w:sz w:val="20"/>
          <w:szCs w:val="20"/>
          <w:color w:val="auto"/>
        </w:rPr>
      </w:pPr>
    </w:p>
    <w:p>
      <w:pPr>
        <w:ind w:right="28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Divestitures </w:t>
      </w:r>
      <w:r>
        <w:rPr>
          <w:rFonts w:ascii="Times New Roman" w:cs="Times New Roman" w:eastAsia="Times New Roman" w:hAnsi="Times New Roman"/>
          <w:sz w:val="13"/>
          <w:szCs w:val="13"/>
          <w:color w:val="auto"/>
        </w:rPr>
        <w:t>— Divestitures of under-performing or non-strategic operations accounted for decreased revenues of $61 million in the first quarter of 2008. These divestitures were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primarily comprised of collection operations and, to a lesser extent, recycling and transfer station operations.</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00" w:lineRule="exact"/>
        <w:rPr>
          <w:sz w:val="20"/>
          <w:szCs w:val="20"/>
          <w:color w:val="auto"/>
        </w:rPr>
      </w:pPr>
    </w:p>
    <w:p>
      <w:pPr>
        <w:ind w:right="14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 summarizes the major components of our operating expenses, including the impact of foreign currency translation, for the three-month periods ended March 31 (dollars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5"/>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100" w:type="dxa"/>
            <w:vAlign w:val="bottom"/>
          </w:tcPr>
          <w:p>
            <w:pPr>
              <w:spacing w:after="0"/>
              <w:rPr>
                <w:sz w:val="10"/>
                <w:szCs w:val="10"/>
                <w:color w:val="auto"/>
              </w:rPr>
            </w:pPr>
          </w:p>
        </w:tc>
        <w:tc>
          <w:tcPr>
            <w:tcW w:w="98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Period-to-</w:t>
            </w:r>
          </w:p>
        </w:tc>
        <w:tc>
          <w:tcPr>
            <w:tcW w:w="0" w:type="dxa"/>
            <w:vAlign w:val="bottom"/>
          </w:tcPr>
          <w:p>
            <w:pPr>
              <w:spacing w:after="0"/>
              <w:rPr>
                <w:sz w:val="1"/>
                <w:szCs w:val="1"/>
                <w:color w:val="auto"/>
              </w:rPr>
            </w:pPr>
          </w:p>
        </w:tc>
      </w:tr>
      <w:tr>
        <w:trPr>
          <w:trHeight w:val="108"/>
        </w:trPr>
        <w:tc>
          <w:tcPr>
            <w:tcW w:w="7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3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7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Times New Roman" w:cs="Times New Roman" w:eastAsia="Times New Roman" w:hAnsi="Times New Roman"/>
                <w:sz w:val="10"/>
                <w:szCs w:val="10"/>
                <w:b w:val="1"/>
                <w:bCs w:val="1"/>
                <w:color w:val="auto"/>
              </w:rPr>
              <w:t>2008</w:t>
            </w: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Labor and related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Transfer and disposal costs</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tcPr>
          <w:p>
            <w:pPr>
              <w:spacing w:after="0"/>
              <w:rPr>
                <w:sz w:val="13"/>
                <w:szCs w:val="13"/>
                <w:color w:val="auto"/>
              </w:rPr>
            </w:pPr>
          </w:p>
        </w:tc>
        <w:tc>
          <w:tcPr>
            <w:tcW w:w="580" w:type="dxa"/>
            <w:vAlign w:val="bottom"/>
            <w:gridSpan w:val="2"/>
          </w:tcPr>
          <w:p>
            <w:pPr>
              <w:jc w:val="right"/>
              <w:ind w:right="288"/>
              <w:spacing w:after="0"/>
              <w:rPr>
                <w:sz w:val="20"/>
                <w:szCs w:val="20"/>
                <w:color w:val="auto"/>
              </w:rPr>
            </w:pPr>
            <w:r>
              <w:rPr>
                <w:rFonts w:ascii="Times New Roman" w:cs="Times New Roman" w:eastAsia="Times New Roman" w:hAnsi="Times New Roman"/>
                <w:sz w:val="13"/>
                <w:szCs w:val="13"/>
                <w:color w:val="auto"/>
              </w:rPr>
              <w:t>(23)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5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Maintenance and repairs</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2</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57"/>
        </w:trPr>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Subcontractor costs</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13"/>
                <w:szCs w:val="13"/>
                <w:color w:val="auto"/>
              </w:rPr>
            </w:pPr>
          </w:p>
        </w:tc>
        <w:tc>
          <w:tcPr>
            <w:tcW w:w="580" w:type="dxa"/>
            <w:vAlign w:val="bottom"/>
            <w:gridSpan w:val="2"/>
          </w:tcPr>
          <w:p>
            <w:pPr>
              <w:jc w:val="right"/>
              <w:ind w:right="328"/>
              <w:spacing w:after="0"/>
              <w:rPr>
                <w:sz w:val="20"/>
                <w:szCs w:val="20"/>
                <w:color w:val="auto"/>
              </w:rPr>
            </w:pPr>
            <w:r>
              <w:rPr>
                <w:rFonts w:ascii="Times New Roman" w:cs="Times New Roman" w:eastAsia="Times New Roman" w:hAnsi="Times New Roman"/>
                <w:sz w:val="13"/>
                <w:szCs w:val="13"/>
                <w:color w:val="auto"/>
              </w:rPr>
              <w:t>4</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goods sold</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49</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29.3</w:t>
            </w:r>
          </w:p>
        </w:tc>
        <w:tc>
          <w:tcPr>
            <w:tcW w:w="0" w:type="dxa"/>
            <w:vAlign w:val="bottom"/>
          </w:tcPr>
          <w:p>
            <w:pPr>
              <w:spacing w:after="0"/>
              <w:rPr>
                <w:sz w:val="1"/>
                <w:szCs w:val="1"/>
                <w:color w:val="auto"/>
              </w:rPr>
            </w:pPr>
          </w:p>
        </w:tc>
      </w:tr>
      <w:tr>
        <w:trPr>
          <w:trHeight w:val="157"/>
        </w:trPr>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Fuel</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3"/>
                <w:szCs w:val="13"/>
                <w:color w:val="auto"/>
              </w:rPr>
            </w:pPr>
          </w:p>
        </w:tc>
        <w:tc>
          <w:tcPr>
            <w:tcW w:w="580" w:type="dxa"/>
            <w:vAlign w:val="bottom"/>
            <w:gridSpan w:val="2"/>
          </w:tcPr>
          <w:p>
            <w:pPr>
              <w:jc w:val="right"/>
              <w:ind w:right="328"/>
              <w:spacing w:after="0"/>
              <w:rPr>
                <w:sz w:val="20"/>
                <w:szCs w:val="20"/>
                <w:color w:val="auto"/>
              </w:rPr>
            </w:pPr>
            <w:r>
              <w:rPr>
                <w:rFonts w:ascii="Times New Roman" w:cs="Times New Roman" w:eastAsia="Times New Roman" w:hAnsi="Times New Roman"/>
                <w:sz w:val="13"/>
                <w:szCs w:val="13"/>
                <w:color w:val="auto"/>
              </w:rPr>
              <w:t>39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30.2</w:t>
            </w:r>
          </w:p>
        </w:tc>
        <w:tc>
          <w:tcPr>
            <w:tcW w:w="0" w:type="dxa"/>
            <w:vAlign w:val="bottom"/>
          </w:tcPr>
          <w:p>
            <w:pPr>
              <w:spacing w:after="0"/>
              <w:rPr>
                <w:sz w:val="1"/>
                <w:szCs w:val="1"/>
                <w:color w:val="auto"/>
              </w:rPr>
            </w:pPr>
          </w:p>
        </w:tc>
      </w:tr>
      <w:tr>
        <w:trPr>
          <w:trHeight w:val="15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Disposal and franchise fees and taxes</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8</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57"/>
        </w:trPr>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Landfill operating costs</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3"/>
                <w:szCs w:val="13"/>
                <w:color w:val="auto"/>
              </w:rPr>
            </w:pPr>
          </w:p>
        </w:tc>
        <w:tc>
          <w:tcPr>
            <w:tcW w:w="580" w:type="dxa"/>
            <w:vAlign w:val="bottom"/>
            <w:gridSpan w:val="2"/>
          </w:tcPr>
          <w:p>
            <w:pPr>
              <w:jc w:val="right"/>
              <w:ind w:right="328"/>
              <w:spacing w:after="0"/>
              <w:rPr>
                <w:sz w:val="20"/>
                <w:szCs w:val="20"/>
                <w:color w:val="auto"/>
              </w:rPr>
            </w:pPr>
            <w:r>
              <w:rPr>
                <w:rFonts w:ascii="Times New Roman" w:cs="Times New Roman" w:eastAsia="Times New Roman" w:hAnsi="Times New Roman"/>
                <w:sz w:val="13"/>
                <w:szCs w:val="13"/>
                <w:color w:val="auto"/>
              </w:rPr>
              <w:t>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Risk management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3"/>
                <w:szCs w:val="13"/>
                <w:color w:val="auto"/>
              </w:rPr>
              <w:t>(4)</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57"/>
        </w:trPr>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3"/>
                <w:szCs w:val="13"/>
                <w:color w:val="auto"/>
              </w:rPr>
            </w:pPr>
          </w:p>
        </w:tc>
        <w:tc>
          <w:tcPr>
            <w:tcW w:w="580" w:type="dxa"/>
            <w:vAlign w:val="bottom"/>
            <w:gridSpan w:val="2"/>
          </w:tcPr>
          <w:p>
            <w:pPr>
              <w:jc w:val="right"/>
              <w:ind w:right="288"/>
              <w:spacing w:after="0"/>
              <w:rPr>
                <w:sz w:val="20"/>
                <w:szCs w:val="20"/>
                <w:color w:val="auto"/>
              </w:rPr>
            </w:pPr>
            <w:r>
              <w:rPr>
                <w:rFonts w:ascii="Times New Roman" w:cs="Times New Roman" w:eastAsia="Times New Roman" w:hAnsi="Times New Roman"/>
                <w:sz w:val="13"/>
                <w:szCs w:val="13"/>
                <w:color w:val="auto"/>
              </w:rPr>
              <w:t>(18)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58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399"/>
        <w:spacing w:after="0" w:line="269" w:lineRule="auto"/>
        <w:rPr>
          <w:sz w:val="20"/>
          <w:szCs w:val="20"/>
          <w:color w:val="auto"/>
        </w:rPr>
      </w:pPr>
      <w:r>
        <w:rPr>
          <w:rFonts w:ascii="Times New Roman" w:cs="Times New Roman" w:eastAsia="Times New Roman" w:hAnsi="Times New Roman"/>
          <w:sz w:val="13"/>
          <w:szCs w:val="13"/>
          <w:color w:val="auto"/>
        </w:rPr>
        <w:t>As summarized in the table above, our operating expenses increased by $58 million, or 2.9%, when comparing the three months ended March 31, 2008 with the comparable prior year period. Our operating expenses as a percentage of revenues increased from 63.8% in the first quarter of 2007 to 64.1% in the current period. The increases in our operating expenses during the first quarter of 2008 can largely be attributed to the following economic and market conditions:</w:t>
      </w:r>
    </w:p>
    <w:p>
      <w:pPr>
        <w:spacing w:after="0" w:line="56" w:lineRule="exact"/>
        <w:rPr>
          <w:sz w:val="20"/>
          <w:szCs w:val="20"/>
          <w:color w:val="auto"/>
        </w:rPr>
      </w:pPr>
    </w:p>
    <w:p>
      <w:pPr>
        <w:ind w:left="600" w:right="260" w:hanging="190"/>
        <w:spacing w:after="0" w:line="289" w:lineRule="auto"/>
        <w:tabs>
          <w:tab w:leader="none" w:pos="6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Higher market prices for commodities — </w:t>
      </w:r>
      <w:r>
        <w:rPr>
          <w:rFonts w:ascii="Times New Roman" w:cs="Times New Roman" w:eastAsia="Times New Roman" w:hAnsi="Times New Roman"/>
          <w:sz w:val="13"/>
          <w:szCs w:val="13"/>
          <w:color w:val="auto"/>
        </w:rPr>
        <w:t>Market prices for commodities rose sharply when comparing the first quarter of 2008 with the corresponding prior year period.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significant increase in market prices was the driver of the current quarter increase in cost of goods sold.</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9" w:name="page30"/>
    <w:bookmarkEnd w:id="29"/>
    <w:p>
      <w:pPr>
        <w:ind w:left="600" w:right="120" w:hanging="190"/>
        <w:spacing w:after="0" w:line="289" w:lineRule="auto"/>
        <w:tabs>
          <w:tab w:leader="none" w:pos="6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Fuel cost increases — </w:t>
      </w:r>
      <w:r>
        <w:rPr>
          <w:rFonts w:ascii="Times New Roman" w:cs="Times New Roman" w:eastAsia="Times New Roman" w:hAnsi="Times New Roman"/>
          <w:sz w:val="13"/>
          <w:szCs w:val="13"/>
          <w:color w:val="auto"/>
        </w:rPr>
        <w:t>On average, diesel fuel prices increased 39% from $2.55 per gallon in the first quarter of 2007 to $3.55 per gallon in the first quarter of 2008. Higher fuel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costs caused increases in both our direct fuel costs and our subcontractor costs for the first quarter of 2008.</w:t>
      </w:r>
    </w:p>
    <w:p>
      <w:pPr>
        <w:spacing w:after="0" w:line="33" w:lineRule="exact"/>
        <w:rPr>
          <w:rFonts w:ascii="Times New Roman" w:cs="Times New Roman" w:eastAsia="Times New Roman" w:hAnsi="Times New Roman"/>
          <w:sz w:val="13"/>
          <w:szCs w:val="13"/>
          <w:color w:val="auto"/>
        </w:rPr>
      </w:pPr>
    </w:p>
    <w:p>
      <w:pPr>
        <w:ind w:left="600" w:right="220" w:hanging="190"/>
        <w:spacing w:after="0" w:line="289" w:lineRule="auto"/>
        <w:tabs>
          <w:tab w:leader="none" w:pos="6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Strengthening of the Canadian dollar </w:t>
      </w:r>
      <w:r>
        <w:rPr>
          <w:rFonts w:ascii="Times New Roman" w:cs="Times New Roman" w:eastAsia="Times New Roman" w:hAnsi="Times New Roman"/>
          <w:sz w:val="13"/>
          <w:szCs w:val="13"/>
          <w:color w:val="auto"/>
        </w:rPr>
        <w:t>— When comparing the average exchange rate for the first quarter of 2008 with the first quarter of 2007, the Canadian rate improved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17%, which increased our expenses in all operating cost categories.</w:t>
      </w:r>
    </w:p>
    <w:p>
      <w:pPr>
        <w:spacing w:after="0" w:line="45" w:lineRule="exact"/>
        <w:rPr>
          <w:sz w:val="20"/>
          <w:szCs w:val="20"/>
          <w:color w:val="auto"/>
        </w:rPr>
      </w:pPr>
    </w:p>
    <w:p>
      <w:pPr>
        <w:ind w:firstLine="399"/>
        <w:spacing w:after="0" w:line="269" w:lineRule="auto"/>
        <w:rPr>
          <w:sz w:val="20"/>
          <w:szCs w:val="20"/>
          <w:color w:val="auto"/>
        </w:rPr>
      </w:pPr>
      <w:r>
        <w:rPr>
          <w:rFonts w:ascii="Times New Roman" w:cs="Times New Roman" w:eastAsia="Times New Roman" w:hAnsi="Times New Roman"/>
          <w:sz w:val="13"/>
          <w:szCs w:val="13"/>
          <w:color w:val="auto"/>
        </w:rPr>
        <w:t>After considering the significant impacts that these general economic conditions had on our operating expenses for the first quarter of 2008, we are encouraged that our results continue to reflect our focus on identifying operational efficiencies that translate into cost savings and managing our fixed costs and reducing our variable costs as volumes decline due to our pricing program, divestiture activity and the slowdown in the economy.</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Other items affecting the comparability of our operating expenses by category for the three months ended March 31, 2008 and 2007 include the following:</w:t>
      </w:r>
    </w:p>
    <w:p>
      <w:pPr>
        <w:spacing w:after="0" w:line="94" w:lineRule="exact"/>
        <w:rPr>
          <w:sz w:val="20"/>
          <w:szCs w:val="20"/>
          <w:color w:val="auto"/>
        </w:rPr>
      </w:pPr>
    </w:p>
    <w:p>
      <w:pPr>
        <w:ind w:left="600" w:right="360" w:hanging="190"/>
        <w:spacing w:after="0" w:line="289" w:lineRule="auto"/>
        <w:tabs>
          <w:tab w:leader="none" w:pos="6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Labor and related benefits </w:t>
      </w:r>
      <w:r>
        <w:rPr>
          <w:rFonts w:ascii="Times New Roman" w:cs="Times New Roman" w:eastAsia="Times New Roman" w:hAnsi="Times New Roman"/>
          <w:sz w:val="13"/>
          <w:szCs w:val="13"/>
          <w:color w:val="auto"/>
        </w:rPr>
        <w:t>— higher costs due to annual merit increases and, to a lesser extent, additional overtime and other labor costs attributed to severe winter weather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conditions experienced in our Midwest Group, offset by costs savings provided by our operational improvement initiatives mentioned above;</w:t>
      </w:r>
    </w:p>
    <w:p>
      <w:pPr>
        <w:spacing w:after="0" w:line="33" w:lineRule="exact"/>
        <w:rPr>
          <w:rFonts w:ascii="Times New Roman" w:cs="Times New Roman" w:eastAsia="Times New Roman" w:hAnsi="Times New Roman"/>
          <w:sz w:val="13"/>
          <w:szCs w:val="13"/>
          <w:color w:val="auto"/>
        </w:rPr>
      </w:pPr>
    </w:p>
    <w:p>
      <w:pPr>
        <w:ind w:left="600" w:hanging="190"/>
        <w:spacing w:after="0"/>
        <w:tabs>
          <w:tab w:leader="none" w:pos="6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Transfer and disposal costs </w:t>
      </w:r>
      <w:r>
        <w:rPr>
          <w:rFonts w:ascii="Times New Roman" w:cs="Times New Roman" w:eastAsia="Times New Roman" w:hAnsi="Times New Roman"/>
          <w:sz w:val="13"/>
          <w:szCs w:val="13"/>
          <w:color w:val="auto"/>
        </w:rPr>
        <w:t>— cost decreases due to volume declines and divestitures;</w:t>
      </w:r>
    </w:p>
    <w:p>
      <w:pPr>
        <w:spacing w:after="0" w:line="86" w:lineRule="exact"/>
        <w:rPr>
          <w:rFonts w:ascii="Times New Roman" w:cs="Times New Roman" w:eastAsia="Times New Roman" w:hAnsi="Times New Roman"/>
          <w:sz w:val="13"/>
          <w:szCs w:val="13"/>
          <w:color w:val="auto"/>
        </w:rPr>
      </w:pPr>
    </w:p>
    <w:p>
      <w:pPr>
        <w:ind w:left="600" w:right="220" w:hanging="190"/>
        <w:spacing w:after="0" w:line="289" w:lineRule="auto"/>
        <w:tabs>
          <w:tab w:leader="none" w:pos="6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Maintenance and repairs </w:t>
      </w:r>
      <w:r>
        <w:rPr>
          <w:rFonts w:ascii="Times New Roman" w:cs="Times New Roman" w:eastAsia="Times New Roman" w:hAnsi="Times New Roman"/>
          <w:sz w:val="13"/>
          <w:szCs w:val="13"/>
          <w:color w:val="auto"/>
        </w:rPr>
        <w:t>— cost increases due to changes in the timing of maintenance projects at our waste-to-energy facilities, partially offset by the impact of various fleet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initiatives that favorably affected our maintenance, parts and supplies costs;</w:t>
      </w:r>
    </w:p>
    <w:p>
      <w:pPr>
        <w:spacing w:after="0" w:line="33" w:lineRule="exact"/>
        <w:rPr>
          <w:rFonts w:ascii="Times New Roman" w:cs="Times New Roman" w:eastAsia="Times New Roman" w:hAnsi="Times New Roman"/>
          <w:sz w:val="13"/>
          <w:szCs w:val="13"/>
          <w:color w:val="auto"/>
        </w:rPr>
      </w:pPr>
    </w:p>
    <w:p>
      <w:pPr>
        <w:ind w:left="600" w:right="400" w:hanging="190"/>
        <w:spacing w:after="0" w:line="289" w:lineRule="auto"/>
        <w:tabs>
          <w:tab w:leader="none" w:pos="6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Cost of goods sold </w:t>
      </w:r>
      <w:r>
        <w:rPr>
          <w:rFonts w:ascii="Times New Roman" w:cs="Times New Roman" w:eastAsia="Times New Roman" w:hAnsi="Times New Roman"/>
          <w:sz w:val="13"/>
          <w:szCs w:val="13"/>
          <w:color w:val="auto"/>
        </w:rPr>
        <w:t>— in addition to the sharp rise in market prices for commodities mentioned above, our cost of goods sold are higher due to an increase in our brokerage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activities;</w:t>
      </w:r>
    </w:p>
    <w:p>
      <w:pPr>
        <w:spacing w:after="0" w:line="33" w:lineRule="exact"/>
        <w:rPr>
          <w:rFonts w:ascii="Times New Roman" w:cs="Times New Roman" w:eastAsia="Times New Roman" w:hAnsi="Times New Roman"/>
          <w:sz w:val="13"/>
          <w:szCs w:val="13"/>
          <w:color w:val="auto"/>
        </w:rPr>
      </w:pPr>
    </w:p>
    <w:p>
      <w:pPr>
        <w:ind w:left="600" w:right="380" w:hanging="190"/>
        <w:spacing w:after="0" w:line="289" w:lineRule="auto"/>
        <w:tabs>
          <w:tab w:leader="none" w:pos="6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Disposal and franchise fees and taxes </w:t>
      </w:r>
      <w:r>
        <w:rPr>
          <w:rFonts w:ascii="Times New Roman" w:cs="Times New Roman" w:eastAsia="Times New Roman" w:hAnsi="Times New Roman"/>
          <w:sz w:val="13"/>
          <w:szCs w:val="13"/>
          <w:color w:val="auto"/>
        </w:rPr>
        <w:t>— the favorable resolution of a tax matter in our Eastern Group reduced expenses by $15 million during the first quarter of 2007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$3 million during the first quarter of 2008;</w:t>
      </w:r>
    </w:p>
    <w:p>
      <w:pPr>
        <w:spacing w:after="0" w:line="33" w:lineRule="exact"/>
        <w:rPr>
          <w:rFonts w:ascii="Times New Roman" w:cs="Times New Roman" w:eastAsia="Times New Roman" w:hAnsi="Times New Roman"/>
          <w:sz w:val="13"/>
          <w:szCs w:val="13"/>
          <w:color w:val="auto"/>
        </w:rPr>
      </w:pPr>
    </w:p>
    <w:p>
      <w:pPr>
        <w:ind w:left="600" w:hanging="190"/>
        <w:spacing w:after="0"/>
        <w:tabs>
          <w:tab w:leader="none" w:pos="6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Landfill operating costs </w:t>
      </w:r>
      <w:r>
        <w:rPr>
          <w:rFonts w:ascii="Times New Roman" w:cs="Times New Roman" w:eastAsia="Times New Roman" w:hAnsi="Times New Roman"/>
          <w:sz w:val="13"/>
          <w:szCs w:val="13"/>
          <w:color w:val="auto"/>
        </w:rPr>
        <w:t>— (i) the unfavorable impact of the January 1, 2008 adoption of SFAS No. 157, which resulted in a $6 million charge to landfill operating costs;</w:t>
      </w:r>
    </w:p>
    <w:p>
      <w:pPr>
        <w:spacing w:after="0" w:line="23" w:lineRule="exact"/>
        <w:rPr>
          <w:rFonts w:ascii="Times New Roman" w:cs="Times New Roman" w:eastAsia="Times New Roman" w:hAnsi="Times New Roman"/>
          <w:sz w:val="13"/>
          <w:szCs w:val="13"/>
          <w:color w:val="auto"/>
        </w:rPr>
      </w:pPr>
    </w:p>
    <w:p>
      <w:pPr>
        <w:ind w:left="800" w:hanging="194"/>
        <w:spacing w:after="0"/>
        <w:tabs>
          <w:tab w:leader="none" w:pos="80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leachate collection, trucking, treatment and disposal costs that were attributed in part to higher precipitation levels experienced during the first quarter of 2008; and</w:t>
      </w:r>
    </w:p>
    <w:p>
      <w:pPr>
        <w:spacing w:after="0" w:line="7" w:lineRule="exact"/>
        <w:rPr>
          <w:rFonts w:ascii="Times New Roman" w:cs="Times New Roman" w:eastAsia="Times New Roman" w:hAnsi="Times New Roman"/>
          <w:sz w:val="13"/>
          <w:szCs w:val="13"/>
          <w:color w:val="auto"/>
        </w:rPr>
      </w:pPr>
    </w:p>
    <w:p>
      <w:pPr>
        <w:ind w:left="840" w:hanging="234"/>
        <w:spacing w:after="0"/>
        <w:tabs>
          <w:tab w:leader="none" w:pos="84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$8 million charge taken during the first quarter of 2007 for a revision in our estimate associated with remediation costs at one of our closed landfills;</w:t>
      </w:r>
    </w:p>
    <w:p>
      <w:pPr>
        <w:spacing w:after="0" w:line="70" w:lineRule="exact"/>
        <w:rPr>
          <w:rFonts w:ascii="Times New Roman" w:cs="Times New Roman" w:eastAsia="Times New Roman" w:hAnsi="Times New Roman"/>
          <w:sz w:val="13"/>
          <w:szCs w:val="13"/>
          <w:color w:val="auto"/>
        </w:rPr>
      </w:pPr>
    </w:p>
    <w:p>
      <w:pPr>
        <w:ind w:left="600" w:hanging="190"/>
        <w:spacing w:after="0"/>
        <w:tabs>
          <w:tab w:leader="none" w:pos="6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Risk management — </w:t>
      </w:r>
      <w:r>
        <w:rPr>
          <w:rFonts w:ascii="Times New Roman" w:cs="Times New Roman" w:eastAsia="Times New Roman" w:hAnsi="Times New Roman"/>
          <w:sz w:val="13"/>
          <w:szCs w:val="13"/>
          <w:color w:val="auto"/>
        </w:rPr>
        <w:t>cost decreases due primarily to reduced costs related to workers compensation, partially offset by higher costs associated with auto and general liability; and</w:t>
      </w:r>
    </w:p>
    <w:p>
      <w:pPr>
        <w:spacing w:after="0" w:line="86" w:lineRule="exact"/>
        <w:rPr>
          <w:rFonts w:ascii="Times New Roman" w:cs="Times New Roman" w:eastAsia="Times New Roman" w:hAnsi="Times New Roman"/>
          <w:sz w:val="13"/>
          <w:szCs w:val="13"/>
          <w:color w:val="auto"/>
        </w:rPr>
      </w:pPr>
    </w:p>
    <w:p>
      <w:pPr>
        <w:ind w:left="600" w:right="120" w:hanging="190"/>
        <w:spacing w:after="0" w:line="289" w:lineRule="auto"/>
        <w:tabs>
          <w:tab w:leader="none" w:pos="6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Other — </w:t>
      </w:r>
      <w:r>
        <w:rPr>
          <w:rFonts w:ascii="Times New Roman" w:cs="Times New Roman" w:eastAsia="Times New Roman" w:hAnsi="Times New Roman"/>
          <w:sz w:val="13"/>
          <w:szCs w:val="13"/>
          <w:color w:val="auto"/>
        </w:rPr>
        <w:t>cost decreases due to $21 million of lease termination costs in the first quarter of 2007 associated with purchasing one of our independent power production plants that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was previously operated through a lease agreement, partially offset by a decrease in gains recognized on sales of assets.</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4" w:right="1039" w:bottom="1440" w:gutter="0" w:footer="0" w:header="0"/>
        </w:sectPr>
      </w:pPr>
    </w:p>
    <w:bookmarkStart w:id="30" w:name="page31"/>
    <w:bookmarkEnd w:id="30"/>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Selling, General and Administrative</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following table summarizes the major components of our selling, general and administrative costs for the three-month periods ended March 31 (dollars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20" w:type="dxa"/>
            <w:vAlign w:val="bottom"/>
          </w:tcPr>
          <w:p>
            <w:pPr>
              <w:spacing w:after="0"/>
              <w:rPr>
                <w:sz w:val="10"/>
                <w:szCs w:val="10"/>
                <w:color w:val="auto"/>
              </w:rPr>
            </w:pPr>
          </w:p>
        </w:tc>
        <w:tc>
          <w:tcPr>
            <w:tcW w:w="1380" w:type="dxa"/>
            <w:vAlign w:val="bottom"/>
            <w:gridSpan w:val="5"/>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Period-to-</w:t>
            </w:r>
          </w:p>
        </w:tc>
        <w:tc>
          <w:tcPr>
            <w:tcW w:w="0" w:type="dxa"/>
            <w:vAlign w:val="bottom"/>
          </w:tcPr>
          <w:p>
            <w:pPr>
              <w:spacing w:after="0"/>
              <w:rPr>
                <w:sz w:val="1"/>
                <w:szCs w:val="1"/>
                <w:color w:val="auto"/>
              </w:rPr>
            </w:pPr>
          </w:p>
        </w:tc>
      </w:tr>
      <w:tr>
        <w:trPr>
          <w:trHeight w:val="108"/>
        </w:trPr>
        <w:tc>
          <w:tcPr>
            <w:tcW w:w="7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tcPr>
          <w:p>
            <w:pPr>
              <w:jc w:val="center"/>
              <w:ind w:right="700"/>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520" w:type="dxa"/>
            <w:vAlign w:val="bottom"/>
          </w:tcPr>
          <w:p>
            <w:pPr>
              <w:spacing w:after="0"/>
              <w:rPr>
                <w:sz w:val="11"/>
                <w:szCs w:val="11"/>
                <w:color w:val="auto"/>
              </w:rPr>
            </w:pPr>
          </w:p>
        </w:tc>
        <w:tc>
          <w:tcPr>
            <w:tcW w:w="1380" w:type="dxa"/>
            <w:vAlign w:val="bottom"/>
            <w:gridSpan w:val="5"/>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0" w:type="dxa"/>
            <w:vAlign w:val="bottom"/>
          </w:tcPr>
          <w:p>
            <w:pPr>
              <w:spacing w:after="0"/>
              <w:rPr>
                <w:sz w:val="1"/>
                <w:szCs w:val="1"/>
                <w:color w:val="auto"/>
              </w:rPr>
            </w:pPr>
          </w:p>
        </w:tc>
      </w:tr>
      <w:tr>
        <w:trPr>
          <w:trHeight w:val="98"/>
        </w:trPr>
        <w:tc>
          <w:tcPr>
            <w:tcW w:w="752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2008</w:t>
            </w:r>
          </w:p>
        </w:tc>
        <w:tc>
          <w:tcPr>
            <w:tcW w:w="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40"/>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tcPr>
          <w:p>
            <w:pPr>
              <w:jc w:val="center"/>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29"/>
        </w:trPr>
        <w:tc>
          <w:tcPr>
            <w:tcW w:w="75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Labor and related benefits</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5"/>
              </w:rPr>
              <w:t>$ 217</w:t>
            </w: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$ 209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7"/>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Professional fees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37</w:t>
            </w: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bad debts</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w:t>
            </w: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66.7</w:t>
            </w:r>
          </w:p>
        </w:tc>
        <w:tc>
          <w:tcPr>
            <w:tcW w:w="0" w:type="dxa"/>
            <w:vAlign w:val="bottom"/>
          </w:tcPr>
          <w:p>
            <w:pPr>
              <w:spacing w:after="0"/>
              <w:rPr>
                <w:sz w:val="1"/>
                <w:szCs w:val="1"/>
                <w:color w:val="auto"/>
              </w:rPr>
            </w:pPr>
          </w:p>
        </w:tc>
      </w:tr>
      <w:tr>
        <w:trPr>
          <w:trHeight w:val="157"/>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99</w:t>
            </w: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5"/>
              </w:rPr>
              <w:t>$ 368</w:t>
            </w: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$ 353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9"/>
        </w:trPr>
        <w:tc>
          <w:tcPr>
            <w:tcW w:w="7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right="14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Labor and related benefits </w:t>
      </w:r>
      <w:r>
        <w:rPr>
          <w:rFonts w:ascii="Times New Roman" w:cs="Times New Roman" w:eastAsia="Times New Roman" w:hAnsi="Times New Roman"/>
          <w:sz w:val="13"/>
          <w:szCs w:val="13"/>
          <w:color w:val="auto"/>
        </w:rPr>
        <w:t>— The increases in the first quarter of 2008 are primarily attributable to a continued focus on our sales initiatives. Also contributing to the cost increases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were annual merit raises and an increase in headcount. These increases were partially offset by lower bonus expense.</w:t>
      </w:r>
    </w:p>
    <w:p>
      <w:pPr>
        <w:spacing w:after="0" w:line="43" w:lineRule="exact"/>
        <w:rPr>
          <w:sz w:val="20"/>
          <w:szCs w:val="20"/>
          <w:color w:val="auto"/>
        </w:rPr>
      </w:pPr>
    </w:p>
    <w:p>
      <w:pPr>
        <w:ind w:right="24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Provision for bad debts </w:t>
      </w:r>
      <w:r>
        <w:rPr>
          <w:rFonts w:ascii="Times New Roman" w:cs="Times New Roman" w:eastAsia="Times New Roman" w:hAnsi="Times New Roman"/>
          <w:sz w:val="13"/>
          <w:szCs w:val="13"/>
          <w:color w:val="auto"/>
        </w:rPr>
        <w:t>— The increase in our provision for bad debts is due to the effects of the weakening economy, which has increased collection risks associated with certain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customers.</w:t>
      </w:r>
    </w:p>
    <w:p>
      <w:pPr>
        <w:spacing w:after="0" w:line="43" w:lineRule="exact"/>
        <w:rPr>
          <w:sz w:val="20"/>
          <w:szCs w:val="20"/>
          <w:color w:val="auto"/>
        </w:rPr>
      </w:pPr>
    </w:p>
    <w:p>
      <w:pPr>
        <w:ind w:right="8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Other </w:t>
      </w:r>
      <w:r>
        <w:rPr>
          <w:rFonts w:ascii="Times New Roman" w:cs="Times New Roman" w:eastAsia="Times New Roman" w:hAnsi="Times New Roman"/>
          <w:sz w:val="13"/>
          <w:szCs w:val="13"/>
          <w:color w:val="auto"/>
        </w:rPr>
        <w:t>— Our continued focus on our sales initiatives and identifying new customers resulted in a noteworthy increase in advertising costs in the current year. When comparing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first quarter of 2008 with the comparable prior year period, this increase was largely offset by the impact of the $4 million charge recognized during the first quarter of 2007 as a result of an unclaimed property audit settlement.</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Depreciation and Amortization</w:t>
      </w:r>
    </w:p>
    <w:p>
      <w:pPr>
        <w:spacing w:after="0" w:line="100" w:lineRule="exact"/>
        <w:rPr>
          <w:sz w:val="20"/>
          <w:szCs w:val="20"/>
          <w:color w:val="auto"/>
        </w:rPr>
      </w:pPr>
    </w:p>
    <w:p>
      <w:pPr>
        <w:jc w:val="both"/>
        <w:ind w:right="60" w:firstLine="399"/>
        <w:spacing w:after="0" w:line="269" w:lineRule="auto"/>
        <w:rPr>
          <w:sz w:val="20"/>
          <w:szCs w:val="20"/>
          <w:color w:val="auto"/>
        </w:rPr>
      </w:pPr>
      <w:r>
        <w:rPr>
          <w:rFonts w:ascii="Times New Roman" w:cs="Times New Roman" w:eastAsia="Times New Roman" w:hAnsi="Times New Roman"/>
          <w:sz w:val="13"/>
          <w:szCs w:val="13"/>
          <w:color w:val="auto"/>
        </w:rPr>
        <w:t>Depreciation and amortization expense for the three months ended March 31, 2008 was $297 million, or 9.1% of revenues, compared with $310 million, or 9.7% of revenues, for the comparable prior year period. The decrease in depreciation and amortization expense in the first quarter of 2008 as compared with the prior year period can generally be attributed to landfill volume declines.</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Restructuring</w:t>
      </w:r>
    </w:p>
    <w:p>
      <w:pPr>
        <w:spacing w:after="0" w:line="100" w:lineRule="exact"/>
        <w:rPr>
          <w:sz w:val="20"/>
          <w:szCs w:val="20"/>
          <w:color w:val="auto"/>
        </w:rPr>
      </w:pPr>
    </w:p>
    <w:p>
      <w:pPr>
        <w:ind w:right="160" w:firstLine="399"/>
        <w:spacing w:after="0" w:line="269" w:lineRule="auto"/>
        <w:rPr>
          <w:sz w:val="20"/>
          <w:szCs w:val="20"/>
          <w:color w:val="auto"/>
        </w:rPr>
      </w:pPr>
      <w:r>
        <w:rPr>
          <w:rFonts w:ascii="Times New Roman" w:cs="Times New Roman" w:eastAsia="Times New Roman" w:hAnsi="Times New Roman"/>
          <w:sz w:val="13"/>
          <w:szCs w:val="13"/>
          <w:color w:val="auto"/>
        </w:rPr>
        <w:t>In the first quarter of 2007, we restructured certain operations and functions, resulting in the recognition of a pre-tax charge of $9 million. Approximately $6 million of our restructuring costs was incurred by our Corporate organization, $2 million was incurred by our Midwest Group and $1 million was incurred by our Western Group. These charges included $8 million for employee severance and benefit costs and $1 million related to operating lease agreements.</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(Income) Expense from Divestitures, Asset Impairments and Unusual Items</w:t>
      </w:r>
    </w:p>
    <w:p>
      <w:pPr>
        <w:spacing w:after="0" w:line="98" w:lineRule="exact"/>
        <w:rPr>
          <w:sz w:val="20"/>
          <w:szCs w:val="20"/>
          <w:color w:val="auto"/>
        </w:rPr>
      </w:pPr>
    </w:p>
    <w:p>
      <w:pPr>
        <w:ind w:right="4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(Income) expense from divestitures including held-for-sale impairments </w:t>
      </w:r>
      <w:r>
        <w:rPr>
          <w:rFonts w:ascii="Times New Roman" w:cs="Times New Roman" w:eastAsia="Times New Roman" w:hAnsi="Times New Roman"/>
          <w:sz w:val="13"/>
          <w:szCs w:val="13"/>
          <w:color w:val="auto"/>
        </w:rPr>
        <w:t>— We recognized $2 million of net gains on divestitures during the first quarter of 2008 and $9 million of net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gains on divestitures during the first quarter of 2007. The majority of these net gains relate to divestitures of operations in our Southern and Eastern Groups.</w:t>
      </w:r>
    </w:p>
    <w:p>
      <w:pPr>
        <w:spacing w:after="0" w:line="43" w:lineRule="exact"/>
        <w:rPr>
          <w:sz w:val="20"/>
          <w:szCs w:val="20"/>
          <w:color w:val="auto"/>
        </w:rPr>
      </w:pPr>
    </w:p>
    <w:p>
      <w:pPr>
        <w:ind w:right="34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Impairments of assets held-for-use </w:t>
      </w:r>
      <w:r>
        <w:rPr>
          <w:rFonts w:ascii="Times New Roman" w:cs="Times New Roman" w:eastAsia="Times New Roman" w:hAnsi="Times New Roman"/>
          <w:sz w:val="13"/>
          <w:szCs w:val="13"/>
          <w:color w:val="auto"/>
        </w:rPr>
        <w:t>— During the first quarter of 2007, we recorded impairment charges of $10 million attributable to two landfills in our Southern Group.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impairments were necessary as a result of the re-evaluation of our business alternatives for one landfill and the expiration of a contract that we had expected would be renewed that had significantly contributed to the volumes for the second landfill.</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2" w:right="1019" w:bottom="1440" w:gutter="0" w:footer="0" w:header="0"/>
        </w:sectPr>
      </w:pPr>
    </w:p>
    <w:bookmarkStart w:id="31" w:name="page32"/>
    <w:bookmarkEnd w:id="31"/>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Income From Operations by Reportable Segment</w:t>
      </w:r>
    </w:p>
    <w:p>
      <w:pPr>
        <w:spacing w:after="0" w:line="100" w:lineRule="exact"/>
        <w:rPr>
          <w:sz w:val="20"/>
          <w:szCs w:val="20"/>
          <w:color w:val="auto"/>
        </w:rPr>
      </w:pPr>
    </w:p>
    <w:p>
      <w:pPr>
        <w:ind w:right="54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 summarizes income from operations by reportable segment for the three-month periods ended March 31 and provides explanations of significant factors contributing to the identified variances (dollars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Period-to-</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9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30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4"/>
          </w:tcPr>
          <w:p>
            <w:pPr>
              <w:jc w:val="center"/>
              <w:ind w:left="178"/>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8"/>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2008</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2007</w:t>
            </w: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segments</w:t>
            </w: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Eastern</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57"/>
        </w:trPr>
        <w:tc>
          <w:tcPr>
            <w:tcW w:w="7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Midwest</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89</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(9)</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57"/>
        </w:trPr>
        <w:tc>
          <w:tcPr>
            <w:tcW w:w="72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Southern</w:t>
            </w:r>
          </w:p>
        </w:tc>
        <w:tc>
          <w:tcPr>
            <w:tcW w:w="8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3"/>
                <w:szCs w:val="13"/>
                <w:color w:val="auto"/>
              </w:rPr>
            </w:pPr>
          </w:p>
        </w:tc>
        <w:tc>
          <w:tcPr>
            <w:tcW w:w="640" w:type="dxa"/>
            <w:vAlign w:val="bottom"/>
            <w:gridSpan w:val="2"/>
          </w:tcPr>
          <w:p>
            <w:pPr>
              <w:jc w:val="right"/>
              <w:ind w:right="448"/>
              <w:spacing w:after="0"/>
              <w:rPr>
                <w:sz w:val="20"/>
                <w:szCs w:val="20"/>
                <w:color w:val="auto"/>
              </w:rPr>
            </w:pPr>
            <w:r>
              <w:rPr>
                <w:rFonts w:ascii="Times New Roman" w:cs="Times New Roman" w:eastAsia="Times New Roman" w:hAnsi="Times New Roman"/>
                <w:sz w:val="13"/>
                <w:szCs w:val="13"/>
                <w:color w:val="auto"/>
              </w:rPr>
              <w:t>6</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57"/>
        </w:trPr>
        <w:tc>
          <w:tcPr>
            <w:tcW w:w="7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Western</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158</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3"/>
                <w:szCs w:val="13"/>
                <w:color w:val="auto"/>
              </w:rPr>
              <w:t>4</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57"/>
        </w:trPr>
        <w:tc>
          <w:tcPr>
            <w:tcW w:w="72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Wheelabrator</w:t>
            </w:r>
          </w:p>
        </w:tc>
        <w:tc>
          <w:tcPr>
            <w:tcW w:w="8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58</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3"/>
                <w:szCs w:val="13"/>
                <w:color w:val="auto"/>
              </w:rPr>
            </w:pPr>
          </w:p>
        </w:tc>
        <w:tc>
          <w:tcPr>
            <w:tcW w:w="640" w:type="dxa"/>
            <w:vAlign w:val="bottom"/>
            <w:gridSpan w:val="2"/>
          </w:tcPr>
          <w:p>
            <w:pPr>
              <w:jc w:val="right"/>
              <w:ind w:right="448"/>
              <w:spacing w:after="0"/>
              <w:rPr>
                <w:sz w:val="20"/>
                <w:szCs w:val="20"/>
                <w:color w:val="auto"/>
              </w:rPr>
            </w:pPr>
            <w:r>
              <w:rPr>
                <w:rFonts w:ascii="Times New Roman" w:cs="Times New Roman" w:eastAsia="Times New Roman" w:hAnsi="Times New Roman"/>
                <w:sz w:val="13"/>
                <w:szCs w:val="13"/>
                <w:color w:val="auto"/>
                <w:w w:val="91"/>
              </w:rPr>
              <w:t>22</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61.1</w:t>
            </w:r>
          </w:p>
        </w:tc>
        <w:tc>
          <w:tcPr>
            <w:tcW w:w="0" w:type="dxa"/>
            <w:vAlign w:val="bottom"/>
          </w:tcPr>
          <w:p>
            <w:pPr>
              <w:spacing w:after="0"/>
              <w:rPr>
                <w:sz w:val="1"/>
                <w:szCs w:val="1"/>
                <w:color w:val="auto"/>
              </w:rPr>
            </w:pPr>
          </w:p>
        </w:tc>
      </w:tr>
      <w:tr>
        <w:trPr>
          <w:trHeight w:val="157"/>
        </w:trPr>
        <w:tc>
          <w:tcPr>
            <w:tcW w:w="7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WMRA</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57"/>
        </w:trPr>
        <w:tc>
          <w:tcPr>
            <w:tcW w:w="7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64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5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638</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3"/>
                <w:szCs w:val="13"/>
                <w:color w:val="auto"/>
                <w:w w:val="91"/>
              </w:rPr>
              <w:t>11</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57"/>
        </w:trPr>
        <w:tc>
          <w:tcPr>
            <w:tcW w:w="7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Corporate and Other</w:t>
            </w:r>
          </w:p>
        </w:tc>
        <w:tc>
          <w:tcPr>
            <w:tcW w:w="8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(127)</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3"/>
                <w:szCs w:val="13"/>
                <w:color w:val="auto"/>
              </w:rPr>
            </w:pPr>
          </w:p>
        </w:tc>
        <w:tc>
          <w:tcPr>
            <w:tcW w:w="640" w:type="dxa"/>
            <w:vAlign w:val="bottom"/>
            <w:gridSpan w:val="2"/>
          </w:tcPr>
          <w:p>
            <w:pPr>
              <w:jc w:val="right"/>
              <w:ind w:right="448"/>
              <w:spacing w:after="0"/>
              <w:rPr>
                <w:sz w:val="20"/>
                <w:szCs w:val="20"/>
                <w:color w:val="auto"/>
              </w:rPr>
            </w:pPr>
            <w:r>
              <w:rPr>
                <w:rFonts w:ascii="Times New Roman" w:cs="Times New Roman" w:eastAsia="Times New Roman" w:hAnsi="Times New Roman"/>
                <w:sz w:val="13"/>
                <w:szCs w:val="13"/>
                <w:color w:val="auto"/>
                <w:w w:val="91"/>
              </w:rPr>
              <w:t>19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5"/>
              </w:rPr>
              <w:t>(13.0)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511</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3"/>
                <w:szCs w:val="13"/>
                <w:color w:val="auto"/>
                <w:w w:val="91"/>
              </w:rPr>
              <w:t>30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9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00" w:hanging="493"/>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Percentage change does not provide a meaningful comparison.</w:t>
      </w:r>
    </w:p>
    <w:p>
      <w:pPr>
        <w:spacing w:after="0" w:line="94" w:lineRule="exact"/>
        <w:rPr>
          <w:sz w:val="20"/>
          <w:szCs w:val="20"/>
          <w:color w:val="auto"/>
        </w:rPr>
      </w:pPr>
    </w:p>
    <w:p>
      <w:pPr>
        <w:ind w:right="10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Operating segments </w:t>
      </w:r>
      <w:r>
        <w:rPr>
          <w:rFonts w:ascii="Times New Roman" w:cs="Times New Roman" w:eastAsia="Times New Roman" w:hAnsi="Times New Roman"/>
          <w:sz w:val="13"/>
          <w:szCs w:val="13"/>
          <w:color w:val="auto"/>
        </w:rPr>
        <w:t>— During the three months ended March 31, 2008 increased yield on base business as a result of our pricing strategies, particularly in our collection operations,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our continued focus on controlling costs through operating efficiencies have continued to be key contributors to our year-over-year operating margin improvement. The positive impact of these factors has been partially offset by declines in revenues due to lower volumes. The volume declines are generally the result of pricing competition, the significant downturn in residential construction and the slowdown of the general economic environment that began in 2007. Additionally, in 2008, the operating income of all of our geographic groups has been unfavorably affected by increases in fuel costs that have not been fully recovered through our fuel surcharge.</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Other significant items affecting the comparability of the operating segments’ results of operations for the three-month periods ended March 31, 2008 and 2007 are summarized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below:</w:t>
      </w:r>
    </w:p>
    <w:p>
      <w:pPr>
        <w:spacing w:after="0" w:line="81" w:lineRule="exact"/>
        <w:rPr>
          <w:sz w:val="20"/>
          <w:szCs w:val="20"/>
          <w:color w:val="auto"/>
        </w:rPr>
      </w:pPr>
    </w:p>
    <w:p>
      <w:pPr>
        <w:ind w:left="400" w:right="60" w:firstLine="383"/>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Eastern </w:t>
      </w:r>
      <w:r>
        <w:rPr>
          <w:rFonts w:ascii="Times New Roman" w:cs="Times New Roman" w:eastAsia="Times New Roman" w:hAnsi="Times New Roman"/>
          <w:sz w:val="13"/>
          <w:szCs w:val="13"/>
          <w:color w:val="auto"/>
        </w:rPr>
        <w:t>— The Group’s operating income for the three months ended March 31, 2007 included a $15 million decrease in disposal fees and taxes due to the favorable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resolution of a disposal tax matter. The same disposal tax matter resulted in a $3 million decrease in disposal fees and taxes in the first quarter of 2008. The impact of the disposal tax resolution in both periods is included as a reduction to “Operating” expenses in our Statements of Operations.</w:t>
      </w:r>
    </w:p>
    <w:p>
      <w:pPr>
        <w:spacing w:after="0" w:line="54" w:lineRule="exact"/>
        <w:rPr>
          <w:sz w:val="20"/>
          <w:szCs w:val="20"/>
          <w:color w:val="auto"/>
        </w:rPr>
      </w:pPr>
    </w:p>
    <w:p>
      <w:pPr>
        <w:ind w:left="400" w:right="2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Midwest </w:t>
      </w:r>
      <w:r>
        <w:rPr>
          <w:rFonts w:ascii="Times New Roman" w:cs="Times New Roman" w:eastAsia="Times New Roman" w:hAnsi="Times New Roman"/>
          <w:sz w:val="13"/>
          <w:szCs w:val="13"/>
          <w:color w:val="auto"/>
        </w:rPr>
        <w:t>— During the first quarter of 2008, the Group was negatively affected by unfavorable weather conditions and an increase in bad debt expense that can be attributed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downturn in the general economic environment.</w:t>
      </w:r>
    </w:p>
    <w:p>
      <w:pPr>
        <w:spacing w:after="0" w:line="43" w:lineRule="exact"/>
        <w:rPr>
          <w:sz w:val="20"/>
          <w:szCs w:val="20"/>
          <w:color w:val="auto"/>
        </w:rPr>
      </w:pPr>
    </w:p>
    <w:p>
      <w:pPr>
        <w:ind w:left="400" w:right="10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Southern </w:t>
      </w:r>
      <w:r>
        <w:rPr>
          <w:rFonts w:ascii="Times New Roman" w:cs="Times New Roman" w:eastAsia="Times New Roman" w:hAnsi="Times New Roman"/>
          <w:sz w:val="13"/>
          <w:szCs w:val="13"/>
          <w:color w:val="auto"/>
        </w:rPr>
        <w:t>— The Group recognized $3 million of divestiture gains during the first quarter of 2008 and $7 million during the first quarter of 2007. In 2007, the impact of gains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on divestitures was more than offset by $10 million of impairment charges attributable to two landfills.</w:t>
      </w:r>
    </w:p>
    <w:p>
      <w:pPr>
        <w:spacing w:after="0" w:line="43" w:lineRule="exact"/>
        <w:rPr>
          <w:sz w:val="20"/>
          <w:szCs w:val="20"/>
          <w:color w:val="auto"/>
        </w:rPr>
      </w:pPr>
    </w:p>
    <w:p>
      <w:pPr>
        <w:ind w:left="400" w:firstLine="383"/>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Western </w:t>
      </w:r>
      <w:r>
        <w:rPr>
          <w:rFonts w:ascii="Times New Roman" w:cs="Times New Roman" w:eastAsia="Times New Roman" w:hAnsi="Times New Roman"/>
          <w:sz w:val="13"/>
          <w:szCs w:val="13"/>
          <w:color w:val="auto"/>
        </w:rPr>
        <w:t>— During the first quarter of 2008, the Group’s operating results were favorably affected by a reduction in landfill amortization expense as a result of changes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certain estimates related to our final capping, closure and post-closure obligations. This favorable impact was offset, in part, by an increase in bad debt expense due to the downturn in the general economic environment.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2" w:right="1019" w:bottom="1440" w:gutter="0" w:footer="0" w:header="0"/>
        </w:sectPr>
      </w:pPr>
    </w:p>
    <w:bookmarkStart w:id="32" w:name="page33"/>
    <w:bookmarkEnd w:id="32"/>
    <w:p>
      <w:pPr>
        <w:ind w:left="400" w:right="8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Wheelabrator </w:t>
      </w:r>
      <w:r>
        <w:rPr>
          <w:rFonts w:ascii="Times New Roman" w:cs="Times New Roman" w:eastAsia="Times New Roman" w:hAnsi="Times New Roman"/>
          <w:sz w:val="13"/>
          <w:szCs w:val="13"/>
          <w:color w:val="auto"/>
        </w:rPr>
        <w:t>— During the first quarter of 2007, the Group purchased an independent power production plant that it had previously operated through a lease agreement.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early termination of the lease agreement resulted in a $21 million charge to “Operating” expenses.</w:t>
      </w:r>
    </w:p>
    <w:p>
      <w:pPr>
        <w:spacing w:after="0" w:line="43" w:lineRule="exact"/>
        <w:rPr>
          <w:sz w:val="20"/>
          <w:szCs w:val="20"/>
          <w:color w:val="auto"/>
        </w:rPr>
      </w:pPr>
    </w:p>
    <w:p>
      <w:pPr>
        <w:ind w:left="400" w:right="20" w:firstLine="383"/>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WMRA </w:t>
      </w:r>
      <w:r>
        <w:rPr>
          <w:rFonts w:ascii="Times New Roman" w:cs="Times New Roman" w:eastAsia="Times New Roman" w:hAnsi="Times New Roman"/>
          <w:sz w:val="13"/>
          <w:szCs w:val="13"/>
          <w:color w:val="auto"/>
        </w:rPr>
        <w:t>— In the first quarters of 2007 and 2008, the Group’s operating income benefited from substantial increases in market prices for commodities. In addition, the Group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experienced income growth due to an increased focus on maintaining or reducing rebates made to suppliers. During the first quarter of 2008, the Group increased its brokerage activities, which contributed to an increase in their operating revenues. However, due to the low-margin nature of this business, which is acceptable to us because of the relatively low capital investment required, the Group’s operating margins have declined. Higher than normal operating expenses in the first quarter of 2008 also negatively affected the Group’s operating margins.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Significant items affecting the comparability of the remaining components of our results of operations for the three-month periods ended March 31, 2008 and 2007 are summarized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below:</w:t>
      </w:r>
    </w:p>
    <w:p>
      <w:pPr>
        <w:spacing w:after="0" w:line="81" w:lineRule="exact"/>
        <w:rPr>
          <w:sz w:val="20"/>
          <w:szCs w:val="20"/>
          <w:color w:val="auto"/>
        </w:rPr>
      </w:pPr>
    </w:p>
    <w:p>
      <w:pPr>
        <w:ind w:left="400" w:right="48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Other </w:t>
      </w:r>
      <w:r>
        <w:rPr>
          <w:rFonts w:ascii="Times New Roman" w:cs="Times New Roman" w:eastAsia="Times New Roman" w:hAnsi="Times New Roman"/>
          <w:sz w:val="13"/>
          <w:szCs w:val="13"/>
          <w:color w:val="auto"/>
        </w:rPr>
        <w:t>— The changes in operating results are largely due to certain quarter-end adjustments recorded in consolidation related to our reportable segments that were not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included in the measure of segment income from operations used to assess their performance for the periods disclosed.</w:t>
      </w:r>
    </w:p>
    <w:p>
      <w:pPr>
        <w:spacing w:after="0" w:line="43" w:lineRule="exact"/>
        <w:rPr>
          <w:sz w:val="20"/>
          <w:szCs w:val="20"/>
          <w:color w:val="auto"/>
        </w:rPr>
      </w:pPr>
    </w:p>
    <w:p>
      <w:pPr>
        <w:ind w:left="400" w:right="120" w:firstLine="383"/>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Corporate and Other </w:t>
      </w:r>
      <w:r>
        <w:rPr>
          <w:rFonts w:ascii="Times New Roman" w:cs="Times New Roman" w:eastAsia="Times New Roman" w:hAnsi="Times New Roman"/>
          <w:sz w:val="13"/>
          <w:szCs w:val="13"/>
          <w:color w:val="auto"/>
        </w:rPr>
        <w:t>— The decline in expenses in the first quarter of 2008 as compared with the first quarter of 2007 is primarily due to (i) lower bonus expense in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current year; (ii) the recognition of approximately $6 million of restructuring charges during the first quarter of 2007 for employee severance and benefit costs; and (iii) a $4 million charge during the first quarter of 2007 as a result of a settlement reached with one of the states participating in our unclaimed property audits. These cost decreases were partially offset by an increase in advertising costs in the current year.</w:t>
      </w: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Other Components of Net Income</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following table summarizes the other major components of our net income for the three-month periods ended March 31 (dollars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00" w:type="dxa"/>
            <w:vAlign w:val="bottom"/>
          </w:tcPr>
          <w:p>
            <w:pPr>
              <w:spacing w:after="0"/>
              <w:rPr>
                <w:sz w:val="10"/>
                <w:szCs w:val="10"/>
                <w:color w:val="auto"/>
              </w:rPr>
            </w:pPr>
          </w:p>
        </w:tc>
        <w:tc>
          <w:tcPr>
            <w:tcW w:w="1560" w:type="dxa"/>
            <w:vAlign w:val="bottom"/>
            <w:gridSpan w:val="6"/>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780" w:type="dxa"/>
            <w:vAlign w:val="bottom"/>
            <w:vMerge w:val="restart"/>
          </w:tcPr>
          <w:p>
            <w:pPr>
              <w:jc w:val="center"/>
              <w:ind w:left="239"/>
              <w:spacing w:after="0"/>
              <w:rPr>
                <w:sz w:val="20"/>
                <w:szCs w:val="20"/>
                <w:color w:val="auto"/>
              </w:rPr>
            </w:pPr>
            <w:r>
              <w:rPr>
                <w:rFonts w:ascii="Times New Roman" w:cs="Times New Roman" w:eastAsia="Times New Roman" w:hAnsi="Times New Roman"/>
                <w:sz w:val="10"/>
                <w:szCs w:val="10"/>
                <w:b w:val="1"/>
                <w:bCs w:val="1"/>
                <w:color w:val="auto"/>
              </w:rPr>
              <w:t>Period-to-</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200" w:type="dxa"/>
            <w:vAlign w:val="bottom"/>
          </w:tcPr>
          <w:p>
            <w:pPr>
              <w:spacing w:after="0"/>
              <w:rPr>
                <w:sz w:val="11"/>
                <w:szCs w:val="11"/>
                <w:color w:val="auto"/>
              </w:rPr>
            </w:pPr>
          </w:p>
        </w:tc>
        <w:tc>
          <w:tcPr>
            <w:tcW w:w="860" w:type="dxa"/>
            <w:vAlign w:val="bottom"/>
            <w:tcBorders>
              <w:bottom w:val="single" w:sz="8" w:color="auto"/>
            </w:tcBorders>
            <w:gridSpan w:val="4"/>
          </w:tcPr>
          <w:p>
            <w:pPr>
              <w:jc w:val="center"/>
              <w:ind w:left="259"/>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jc w:val="center"/>
              <w:ind w:left="219"/>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7200" w:type="dxa"/>
            <w:vAlign w:val="bottom"/>
          </w:tcPr>
          <w:p>
            <w:pPr>
              <w:spacing w:after="0"/>
              <w:rPr>
                <w:sz w:val="8"/>
                <w:szCs w:val="8"/>
                <w:color w:val="auto"/>
              </w:rPr>
            </w:pPr>
          </w:p>
        </w:tc>
        <w:tc>
          <w:tcPr>
            <w:tcW w:w="380" w:type="dxa"/>
            <w:vAlign w:val="bottom"/>
            <w:tcBorders>
              <w:bottom w:val="single" w:sz="8" w:color="auto"/>
            </w:tcBorders>
          </w:tcPr>
          <w:p>
            <w:pPr>
              <w:jc w:val="right"/>
              <w:ind w:right="19"/>
              <w:spacing w:after="0" w:line="98" w:lineRule="exact"/>
              <w:rPr>
                <w:sz w:val="20"/>
                <w:szCs w:val="20"/>
                <w:color w:val="auto"/>
              </w:rPr>
            </w:pPr>
            <w:r>
              <w:rPr>
                <w:rFonts w:ascii="Times New Roman" w:cs="Times New Roman" w:eastAsia="Times New Roman" w:hAnsi="Times New Roman"/>
                <w:sz w:val="10"/>
                <w:szCs w:val="10"/>
                <w:b w:val="1"/>
                <w:bCs w:val="1"/>
                <w:color w:val="auto"/>
              </w:rPr>
              <w:t>2008</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2007</w:t>
            </w:r>
          </w:p>
        </w:tc>
        <w:tc>
          <w:tcPr>
            <w:tcW w:w="380" w:type="dxa"/>
            <w:vAlign w:val="bottom"/>
          </w:tcPr>
          <w:p>
            <w:pPr>
              <w:spacing w:after="0"/>
              <w:rPr>
                <w:sz w:val="8"/>
                <w:szCs w:val="8"/>
                <w:color w:val="auto"/>
              </w:rPr>
            </w:pPr>
          </w:p>
        </w:tc>
        <w:tc>
          <w:tcPr>
            <w:tcW w:w="780" w:type="dxa"/>
            <w:vAlign w:val="bottom"/>
            <w:tcBorders>
              <w:bottom w:val="single" w:sz="8" w:color="auto"/>
            </w:tcBorders>
          </w:tcPr>
          <w:p>
            <w:pPr>
              <w:jc w:val="center"/>
              <w:ind w:left="219"/>
              <w:spacing w:after="0" w:line="9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(122)</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(135)</w:t>
            </w:r>
          </w:p>
        </w:tc>
        <w:tc>
          <w:tcPr>
            <w:tcW w:w="7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3"/>
                <w:szCs w:val="13"/>
                <w:color w:val="auto"/>
              </w:rPr>
              <w:t>$  13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18</w:t>
            </w:r>
          </w:p>
        </w:tc>
        <w:tc>
          <w:tcPr>
            <w:tcW w:w="780" w:type="dxa"/>
            <w:vAlign w:val="bottom"/>
          </w:tcPr>
          <w:p>
            <w:pPr>
              <w:jc w:val="right"/>
              <w:ind w:right="379"/>
              <w:spacing w:after="0"/>
              <w:rPr>
                <w:sz w:val="20"/>
                <w:szCs w:val="20"/>
                <w:color w:val="auto"/>
              </w:rPr>
            </w:pPr>
            <w:r>
              <w:rPr>
                <w:rFonts w:ascii="Times New Roman" w:cs="Times New Roman" w:eastAsia="Times New Roman" w:hAnsi="Times New Roman"/>
                <w:sz w:val="13"/>
                <w:szCs w:val="13"/>
                <w:color w:val="auto"/>
              </w:rPr>
              <w:t>(13)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 net losses of unconsolidated entities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(24)</w:t>
            </w:r>
          </w:p>
        </w:tc>
        <w:tc>
          <w:tcPr>
            <w:tcW w:w="7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3"/>
                <w:szCs w:val="13"/>
                <w:color w:val="auto"/>
              </w:rPr>
              <w:t>22</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(10)</w:t>
            </w:r>
          </w:p>
        </w:tc>
        <w:tc>
          <w:tcPr>
            <w:tcW w:w="780" w:type="dxa"/>
            <w:vAlign w:val="bottom"/>
          </w:tcPr>
          <w:p>
            <w:pPr>
              <w:jc w:val="right"/>
              <w:ind w:right="419"/>
              <w:spacing w:after="0"/>
              <w:rPr>
                <w:sz w:val="20"/>
                <w:szCs w:val="20"/>
                <w:color w:val="auto"/>
              </w:rPr>
            </w:pPr>
            <w:r>
              <w:rPr>
                <w:rFonts w:ascii="Times New Roman" w:cs="Times New Roman" w:eastAsia="Times New Roman" w:hAnsi="Times New Roman"/>
                <w:sz w:val="13"/>
                <w:szCs w:val="13"/>
                <w:color w:val="auto"/>
              </w:rPr>
              <w:t>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net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3"/>
                <w:szCs w:val="13"/>
                <w:color w:val="auto"/>
              </w:rPr>
              <w:t>(1)</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144</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93</w:t>
            </w:r>
          </w:p>
        </w:tc>
        <w:tc>
          <w:tcPr>
            <w:tcW w:w="780" w:type="dxa"/>
            <w:vAlign w:val="bottom"/>
          </w:tcPr>
          <w:p>
            <w:pPr>
              <w:jc w:val="right"/>
              <w:ind w:right="419"/>
              <w:spacing w:after="0"/>
              <w:rPr>
                <w:sz w:val="20"/>
                <w:szCs w:val="20"/>
                <w:color w:val="auto"/>
              </w:rPr>
            </w:pPr>
            <w:r>
              <w:rPr>
                <w:rFonts w:ascii="Times New Roman" w:cs="Times New Roman" w:eastAsia="Times New Roman" w:hAnsi="Times New Roman"/>
                <w:sz w:val="13"/>
                <w:szCs w:val="13"/>
                <w:color w:val="auto"/>
              </w:rPr>
              <w:t>51</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82359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500" w:right="140" w:hanging="493"/>
        <w:spacing w:after="0" w:line="286" w:lineRule="auto"/>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Percentage change does not provide a meaningful comparison. Refer to the explanations of these items below for a discussion of the relationship between current period and prior year period activity.</w:t>
      </w:r>
    </w:p>
    <w:p>
      <w:pPr>
        <w:spacing w:after="0" w:line="43" w:lineRule="exact"/>
        <w:rPr>
          <w:sz w:val="20"/>
          <w:szCs w:val="20"/>
          <w:color w:val="auto"/>
        </w:rPr>
      </w:pPr>
    </w:p>
    <w:p>
      <w:pPr>
        <w:jc w:val="both"/>
        <w:ind w:right="200" w:firstLine="399"/>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Interest expense </w:t>
      </w:r>
      <w:r>
        <w:rPr>
          <w:rFonts w:ascii="Times New Roman" w:cs="Times New Roman" w:eastAsia="Times New Roman" w:hAnsi="Times New Roman"/>
          <w:sz w:val="13"/>
          <w:szCs w:val="13"/>
          <w:color w:val="auto"/>
        </w:rPr>
        <w:t>— The decrease in interest expense when comparing the three months ended March 31, 2008 with the comparable prior year period is generally related to (i)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maturity of higher rate debt that we have effectively refinanced at lower interest rates and (ii) a decline in market interest rates, which has reduced the interest expense associated with our interest rate swaps and our variable rate debt.</w:t>
      </w:r>
    </w:p>
    <w:p>
      <w:pPr>
        <w:spacing w:after="0" w:line="56" w:lineRule="exact"/>
        <w:rPr>
          <w:sz w:val="20"/>
          <w:szCs w:val="20"/>
          <w:color w:val="auto"/>
        </w:rPr>
      </w:pPr>
    </w:p>
    <w:p>
      <w:pPr>
        <w:ind w:right="40" w:firstLine="399"/>
        <w:spacing w:after="0" w:line="263" w:lineRule="auto"/>
        <w:rPr>
          <w:sz w:val="20"/>
          <w:szCs w:val="20"/>
          <w:color w:val="auto"/>
        </w:rPr>
      </w:pPr>
      <w:r>
        <w:rPr>
          <w:rFonts w:ascii="Times New Roman" w:cs="Times New Roman" w:eastAsia="Times New Roman" w:hAnsi="Times New Roman"/>
          <w:sz w:val="13"/>
          <w:szCs w:val="13"/>
          <w:color w:val="auto"/>
        </w:rPr>
        <w:t>These interest expense reductions were offset in part by the impact of higher average debt balances. We plan to repay $244 million of 8.75% senior notes during the second quarter of 2008, which will reduce our debt balances and the weighted average interest rate of our senior notes. The senior notes mature in 2018, but become callable by us in May 2008. Upon redemption, we expect to recognize a credit to interest expense of approximately $10 million for the immediate recognition of fair value adjustments associated with terminated interest rate swaps that had been deferred and were being amortized over the life of the debt.</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4" w:right="1019" w:bottom="1440" w:gutter="0" w:footer="0" w:header="0"/>
        </w:sectPr>
      </w:pPr>
    </w:p>
    <w:bookmarkStart w:id="33" w:name="page34"/>
    <w:bookmarkEnd w:id="33"/>
    <w:p>
      <w:pPr>
        <w:ind w:right="20" w:firstLine="399"/>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Interest income </w:t>
      </w:r>
      <w:r>
        <w:rPr>
          <w:rFonts w:ascii="Times New Roman" w:cs="Times New Roman" w:eastAsia="Times New Roman" w:hAnsi="Times New Roman"/>
          <w:sz w:val="13"/>
          <w:szCs w:val="13"/>
          <w:color w:val="auto"/>
        </w:rPr>
        <w:t>— Decreases in our average cash and investment balances on a year-over-year basis resulted in a decline in interest income when comparing the three months ended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March 31, 2008 with the comparable prior year period. In addition, interest income for the first quarter of 2007 included $7 million of interest income received in connection with a favorable resolution of a disposal tax matter in our Eastern Group. The favorable resolution of this matter also had a $15 million favorable impact on our disposal fees and taxes, which are a component of our “Operating” expenses.</w:t>
      </w:r>
    </w:p>
    <w:p>
      <w:pPr>
        <w:spacing w:after="0" w:line="55" w:lineRule="exact"/>
        <w:rPr>
          <w:sz w:val="20"/>
          <w:szCs w:val="20"/>
          <w:color w:val="auto"/>
        </w:rPr>
      </w:pPr>
    </w:p>
    <w:p>
      <w:pPr>
        <w:jc w:val="both"/>
        <w:ind w:right="60" w:firstLine="399"/>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 xml:space="preserve">Equity in net losses of unconsolidated entities </w:t>
      </w:r>
      <w:r>
        <w:rPr>
          <w:rFonts w:ascii="Times New Roman" w:cs="Times New Roman" w:eastAsia="Times New Roman" w:hAnsi="Times New Roman"/>
          <w:sz w:val="13"/>
          <w:szCs w:val="13"/>
          <w:color w:val="auto"/>
        </w:rPr>
        <w:t>— The significant decline in these losses in 2008 as compared with the prior year period is due to the expiration of our investments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two coal-based, synthetic fuel production facilities that have driven our equity losses for the last several years. The equity losses generated by the facilities have been more than offset by the tax benefits realized as a result of the investments’ generation of Section 45K tax credits.</w:t>
      </w:r>
    </w:p>
    <w:p>
      <w:pPr>
        <w:spacing w:after="0" w:line="52"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Provision for income taxes </w:t>
      </w:r>
      <w:r>
        <w:rPr>
          <w:rFonts w:ascii="Times New Roman" w:cs="Times New Roman" w:eastAsia="Times New Roman" w:hAnsi="Times New Roman"/>
          <w:sz w:val="13"/>
          <w:szCs w:val="13"/>
          <w:color w:val="auto"/>
        </w:rPr>
        <w:t>— We recorded a provision for income taxes of $144 million during the first quarter of 2008, representing an effective tax rate of 37.5%, compared with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provision for income taxes of $93 million during the first quarter of 2007, representing a 28.1% effective tax rate. The significant increase in our provision for income taxes and our effective tax rate in 2008 is primarily due to (i) a $26 million decrease in the benefit of Section 45K tax credits due to the expiration of these tax credits at the end of 2007; and (ii) the impact of tax audit settlements. The settlement of tax audits reduced our provision for income taxes by $6 million during the first quarter of 2008 compared with a $16 million reduction of our provision for income taxes during the first quarter of 2007. The increase in our provision for income taxes when comparing the first quarter of 2008 with the prior year period is also due to the increase in our pre-tax income.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Summary of Cash and Cash Equivalents, Restricted Trust and Escrow Accounts and Debt Obligations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following is a summary of our cash, restricted trust and escrow accounts and debt obligations as of March 31, 2008 and December 31, 2007 (dollars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7"/>
        </w:trPr>
        <w:tc>
          <w:tcPr>
            <w:tcW w:w="7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0"/>
                <w:szCs w:val="10"/>
                <w:b w:val="1"/>
                <w:bCs w:val="1"/>
                <w:color w:val="auto"/>
              </w:rPr>
              <w:t>2008</w:t>
            </w: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0"/>
                <w:szCs w:val="10"/>
                <w:b w:val="1"/>
                <w:bCs w:val="1"/>
                <w:color w:val="auto"/>
              </w:rPr>
              <w:t>2007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466</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348</w:t>
            </w:r>
          </w:p>
        </w:tc>
        <w:tc>
          <w:tcPr>
            <w:tcW w:w="0" w:type="dxa"/>
            <w:vAlign w:val="bottom"/>
          </w:tcPr>
          <w:p>
            <w:pPr>
              <w:spacing w:after="0"/>
              <w:rPr>
                <w:sz w:val="1"/>
                <w:szCs w:val="1"/>
                <w:color w:val="auto"/>
              </w:rPr>
            </w:pPr>
          </w:p>
        </w:tc>
      </w:tr>
      <w:tr>
        <w:trPr>
          <w:trHeight w:val="167"/>
        </w:trPr>
        <w:tc>
          <w:tcPr>
            <w:tcW w:w="7780" w:type="dxa"/>
            <w:vAlign w:val="bottom"/>
          </w:tcPr>
          <w:p>
            <w:pPr>
              <w:spacing w:after="0"/>
              <w:rPr>
                <w:sz w:val="20"/>
                <w:szCs w:val="20"/>
                <w:color w:val="auto"/>
              </w:rPr>
            </w:pPr>
            <w:r>
              <w:rPr>
                <w:rFonts w:ascii="Times New Roman" w:cs="Times New Roman" w:eastAsia="Times New Roman" w:hAnsi="Times New Roman"/>
                <w:sz w:val="13"/>
                <w:szCs w:val="13"/>
                <w:color w:val="auto"/>
              </w:rPr>
              <w:t>Restricted trust and escrow accounts: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Tax-exempt bond funds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157"/>
        </w:trPr>
        <w:tc>
          <w:tcPr>
            <w:tcW w:w="7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Closure, post-closure and environmental remediation funds</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15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Debt service funds</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57"/>
        </w:trPr>
        <w:tc>
          <w:tcPr>
            <w:tcW w:w="7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restricted trust and escrow accounts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377</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418</w:t>
            </w:r>
          </w:p>
        </w:tc>
        <w:tc>
          <w:tcPr>
            <w:tcW w:w="0" w:type="dxa"/>
            <w:vAlign w:val="bottom"/>
          </w:tcPr>
          <w:p>
            <w:pPr>
              <w:spacing w:after="0"/>
              <w:rPr>
                <w:sz w:val="1"/>
                <w:szCs w:val="1"/>
                <w:color w:val="auto"/>
              </w:rPr>
            </w:pPr>
          </w:p>
        </w:tc>
      </w:tr>
      <w:tr>
        <w:trPr>
          <w:trHeight w:val="167"/>
        </w:trPr>
        <w:tc>
          <w:tcPr>
            <w:tcW w:w="7780" w:type="dxa"/>
            <w:vAlign w:val="bottom"/>
          </w:tcPr>
          <w:p>
            <w:pPr>
              <w:spacing w:after="0"/>
              <w:rPr>
                <w:sz w:val="20"/>
                <w:szCs w:val="20"/>
                <w:color w:val="auto"/>
              </w:rPr>
            </w:pPr>
            <w:r>
              <w:rPr>
                <w:rFonts w:ascii="Times New Roman" w:cs="Times New Roman" w:eastAsia="Times New Roman" w:hAnsi="Times New Roman"/>
                <w:sz w:val="13"/>
                <w:szCs w:val="13"/>
                <w:color w:val="auto"/>
              </w:rPr>
              <w:t>Debt:</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portion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490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329</w:t>
            </w:r>
          </w:p>
        </w:tc>
        <w:tc>
          <w:tcPr>
            <w:tcW w:w="0" w:type="dxa"/>
            <w:vAlign w:val="bottom"/>
          </w:tcPr>
          <w:p>
            <w:pPr>
              <w:spacing w:after="0"/>
              <w:rPr>
                <w:sz w:val="1"/>
                <w:szCs w:val="1"/>
                <w:color w:val="auto"/>
              </w:rPr>
            </w:pPr>
          </w:p>
        </w:tc>
      </w:tr>
      <w:tr>
        <w:trPr>
          <w:trHeight w:val="157"/>
        </w:trPr>
        <w:tc>
          <w:tcPr>
            <w:tcW w:w="7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portion</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8,229</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8,008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debt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8,719</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8,337</w:t>
            </w:r>
          </w:p>
        </w:tc>
        <w:tc>
          <w:tcPr>
            <w:tcW w:w="0" w:type="dxa"/>
            <w:vAlign w:val="bottom"/>
          </w:tcPr>
          <w:p>
            <w:pPr>
              <w:spacing w:after="0"/>
              <w:rPr>
                <w:sz w:val="1"/>
                <w:szCs w:val="1"/>
                <w:color w:val="auto"/>
              </w:rPr>
            </w:pPr>
          </w:p>
        </w:tc>
      </w:tr>
      <w:tr>
        <w:trPr>
          <w:trHeight w:val="29"/>
        </w:trPr>
        <w:tc>
          <w:tcPr>
            <w:tcW w:w="77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Percentage of total debt at variable interest rates</w:t>
            </w: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34"/>
        </w:trPr>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in carrying value of debt due to hedge accounting for interest rate swaps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399"/>
        <w:spacing w:after="0" w:line="269" w:lineRule="auto"/>
        <w:rPr>
          <w:sz w:val="20"/>
          <w:szCs w:val="20"/>
          <w:color w:val="auto"/>
        </w:rPr>
      </w:pPr>
      <w:r>
        <w:rPr>
          <w:rFonts w:ascii="Times New Roman" w:cs="Times New Roman" w:eastAsia="Times New Roman" w:hAnsi="Times New Roman"/>
          <w:sz w:val="13"/>
          <w:szCs w:val="13"/>
          <w:color w:val="auto"/>
        </w:rPr>
        <w:t>Changes in our outstanding debt balances from December 31, 2007 to March 31, 2008 can primarily be attributed to (i) $803 million of cash borrowings, including $594 million in net proceeds from the March 2008 issuance of $600 million of 6.1% senior notes; (ii) the cash repayment of $544 million of outstanding borrowings at their scheduled maturities; (iii) non-cash proceeds from tax-exempt borrowings of $49 million; (iv) a $52 million increase in the carrying value of our debt due to hedge accounting for interest rate swaps; and (v) the impacts of</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2"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color w:val="auto"/>
        </w:rPr>
        <w:t>accounting for other non-cash changes in our balances due to foreign currency translation, interest and capital leases.</w:t>
      </w:r>
    </w:p>
    <w:p>
      <w:pPr>
        <w:spacing w:after="0" w:line="96" w:lineRule="exact"/>
        <w:rPr>
          <w:sz w:val="20"/>
          <w:szCs w:val="20"/>
          <w:color w:val="auto"/>
        </w:rPr>
      </w:pPr>
    </w:p>
    <w:p>
      <w:pPr>
        <w:ind w:right="20" w:firstLine="399"/>
        <w:spacing w:after="0" w:line="269" w:lineRule="auto"/>
        <w:rPr>
          <w:sz w:val="20"/>
          <w:szCs w:val="20"/>
          <w:color w:val="auto"/>
        </w:rPr>
      </w:pPr>
      <w:r>
        <w:rPr>
          <w:rFonts w:ascii="Times New Roman" w:cs="Times New Roman" w:eastAsia="Times New Roman" w:hAnsi="Times New Roman"/>
          <w:sz w:val="13"/>
          <w:szCs w:val="13"/>
          <w:color w:val="auto"/>
        </w:rPr>
        <w:t>We plan to use a portion of the proceeds from the March 2008 senior note offering to repay $244 million of 8.75% senior notes that mature in 2018, but become callable by us in May 2008. On March 12, 2008, we notified note holders of our intention to call these notes in May 2008. Accordingly, these notes have been classified as current as of March 31, 2008. The $244 million of 8.75% senior notes was classified as long-term as of December 31, 2007 based on our intent and ability to refinance the debt on a long-term basis.</w:t>
      </w:r>
    </w:p>
    <w:p>
      <w:pPr>
        <w:spacing w:after="0" w:line="58" w:lineRule="exact"/>
        <w:rPr>
          <w:sz w:val="20"/>
          <w:szCs w:val="20"/>
          <w:color w:val="auto"/>
        </w:rPr>
      </w:pPr>
    </w:p>
    <w:p>
      <w:pPr>
        <w:ind w:right="180" w:firstLine="399"/>
        <w:spacing w:after="0" w:line="286" w:lineRule="auto"/>
        <w:rPr>
          <w:sz w:val="20"/>
          <w:szCs w:val="20"/>
          <w:color w:val="auto"/>
        </w:rPr>
      </w:pPr>
      <w:r>
        <w:rPr>
          <w:rFonts w:ascii="Times New Roman" w:cs="Times New Roman" w:eastAsia="Times New Roman" w:hAnsi="Times New Roman"/>
          <w:sz w:val="13"/>
          <w:szCs w:val="13"/>
          <w:color w:val="auto"/>
        </w:rPr>
        <w:t>We have $1.1 billion of scheduled debt maturities during the next twelve months. We have classified $659 million of these borrowings as long-term as of March 31, 2008 based on our intent and ability to refinance these borrowings on a long-term basis.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Summary of Cash Flow Activity</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following is a summary of our cash flows for the three-month periods ended March 31 (in millions):</w:t>
      </w:r>
    </w:p>
    <w:p>
      <w:pPr>
        <w:spacing w:after="0" w:line="10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Three Months</w:t>
      </w: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Ended</w:t>
      </w:r>
    </w:p>
    <w:p>
      <w:pPr>
        <w:jc w:val="center"/>
        <w:ind w:left="8480"/>
        <w:spacing w:after="0" w:line="235" w:lineRule="auto"/>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8"/>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2008</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8"/>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2007</w:t>
            </w:r>
          </w:p>
        </w:tc>
        <w:tc>
          <w:tcPr>
            <w:tcW w:w="100" w:type="dxa"/>
            <w:vAlign w:val="bottom"/>
          </w:tcPr>
          <w:p>
            <w:pPr>
              <w:spacing w:after="0"/>
              <w:rPr>
                <w:sz w:val="8"/>
                <w:szCs w:val="8"/>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3"/>
                <w:szCs w:val="13"/>
                <w:color w:val="auto"/>
              </w:rPr>
              <w:t>561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538</w:t>
            </w:r>
          </w:p>
        </w:tc>
      </w:tr>
      <w:tr>
        <w:trPr>
          <w:trHeight w:val="182"/>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400" w:type="dxa"/>
            <w:vAlign w:val="bottom"/>
          </w:tcPr>
          <w:p>
            <w:pPr>
              <w:jc w:val="right"/>
              <w:ind w:right="3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w:t>
            </w:r>
          </w:p>
        </w:tc>
      </w:tr>
      <w:tr>
        <w:trPr>
          <w:trHeight w:val="29"/>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4" w:lineRule="exact"/>
        <w:rPr>
          <w:sz w:val="20"/>
          <w:szCs w:val="20"/>
          <w:color w:val="auto"/>
        </w:rPr>
      </w:pPr>
    </w:p>
    <w:p>
      <w:pPr>
        <w:ind w:right="28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Net Cash Provided by Operating Activities </w:t>
      </w:r>
      <w:r>
        <w:rPr>
          <w:rFonts w:ascii="Times New Roman" w:cs="Times New Roman" w:eastAsia="Times New Roman" w:hAnsi="Times New Roman"/>
          <w:sz w:val="13"/>
          <w:szCs w:val="13"/>
          <w:color w:val="auto"/>
        </w:rPr>
        <w:t>— The most significant items affecting the comparison of our operating cash flows for the first quarter of 2008 and the first quarter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2007 are summarized below:</w:t>
      </w:r>
    </w:p>
    <w:p>
      <w:pPr>
        <w:spacing w:after="0" w:line="43" w:lineRule="exact"/>
        <w:rPr>
          <w:sz w:val="20"/>
          <w:szCs w:val="20"/>
          <w:color w:val="auto"/>
        </w:rPr>
      </w:pPr>
    </w:p>
    <w:p>
      <w:pPr>
        <w:ind w:left="600" w:right="140" w:hanging="190"/>
        <w:spacing w:after="0" w:line="289" w:lineRule="auto"/>
        <w:tabs>
          <w:tab w:leader="none" w:pos="6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Earnings improvements </w:t>
      </w:r>
      <w:r>
        <w:rPr>
          <w:rFonts w:ascii="Times New Roman" w:cs="Times New Roman" w:eastAsia="Times New Roman" w:hAnsi="Times New Roman"/>
          <w:sz w:val="13"/>
          <w:szCs w:val="13"/>
          <w:color w:val="auto"/>
        </w:rPr>
        <w:t>— Our income from operations, net of depreciation and amortization, increased by $17 million, on a year-over-year basis, which positively affected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cash flows from operations in 2008.</w:t>
      </w:r>
    </w:p>
    <w:p>
      <w:pPr>
        <w:spacing w:after="0" w:line="33" w:lineRule="exact"/>
        <w:rPr>
          <w:rFonts w:ascii="Times New Roman" w:cs="Times New Roman" w:eastAsia="Times New Roman" w:hAnsi="Times New Roman"/>
          <w:sz w:val="13"/>
          <w:szCs w:val="13"/>
          <w:color w:val="auto"/>
        </w:rPr>
      </w:pPr>
    </w:p>
    <w:p>
      <w:pPr>
        <w:ind w:left="600" w:right="220" w:hanging="190"/>
        <w:spacing w:after="0" w:line="289" w:lineRule="auto"/>
        <w:tabs>
          <w:tab w:leader="none" w:pos="6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Increased income tax payments — </w:t>
      </w:r>
      <w:r>
        <w:rPr>
          <w:rFonts w:ascii="Times New Roman" w:cs="Times New Roman" w:eastAsia="Times New Roman" w:hAnsi="Times New Roman"/>
          <w:sz w:val="13"/>
          <w:szCs w:val="13"/>
          <w:color w:val="auto"/>
        </w:rPr>
        <w:t>Cash paid for income taxes, net of excess tax benefits associated with equity-based transactions, was approximately $20 million higher on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year-over-year basis.</w:t>
      </w:r>
    </w:p>
    <w:p>
      <w:pPr>
        <w:spacing w:after="0" w:line="33" w:lineRule="exact"/>
        <w:rPr>
          <w:rFonts w:ascii="Times New Roman" w:cs="Times New Roman" w:eastAsia="Times New Roman" w:hAnsi="Times New Roman"/>
          <w:sz w:val="13"/>
          <w:szCs w:val="13"/>
          <w:color w:val="auto"/>
        </w:rPr>
      </w:pPr>
    </w:p>
    <w:p>
      <w:pPr>
        <w:ind w:left="600" w:right="180" w:hanging="190"/>
        <w:spacing w:after="0" w:line="289" w:lineRule="auto"/>
        <w:tabs>
          <w:tab w:leader="none" w:pos="6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Increased cash from trade receivable collections — </w:t>
      </w:r>
      <w:r>
        <w:rPr>
          <w:rFonts w:ascii="Times New Roman" w:cs="Times New Roman" w:eastAsia="Times New Roman" w:hAnsi="Times New Roman"/>
          <w:sz w:val="13"/>
          <w:szCs w:val="13"/>
          <w:color w:val="auto"/>
        </w:rPr>
        <w:t>The change in our receivables balances, net of effects of acquisitions and divestitures, favorably affected the comparison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cash flows from operations by approximately $15 million.</w:t>
      </w:r>
    </w:p>
    <w:p>
      <w:pPr>
        <w:spacing w:after="0" w:line="33" w:lineRule="exact"/>
        <w:rPr>
          <w:rFonts w:ascii="Times New Roman" w:cs="Times New Roman" w:eastAsia="Times New Roman" w:hAnsi="Times New Roman"/>
          <w:sz w:val="13"/>
          <w:szCs w:val="13"/>
          <w:color w:val="auto"/>
        </w:rPr>
      </w:pPr>
    </w:p>
    <w:p>
      <w:pPr>
        <w:ind w:left="600" w:right="180" w:hanging="190"/>
        <w:spacing w:after="0" w:line="271" w:lineRule="auto"/>
        <w:tabs>
          <w:tab w:leader="none" w:pos="6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Decreased bonus payments — </w:t>
      </w:r>
      <w:r>
        <w:rPr>
          <w:rFonts w:ascii="Times New Roman" w:cs="Times New Roman" w:eastAsia="Times New Roman" w:hAnsi="Times New Roman"/>
          <w:sz w:val="13"/>
          <w:szCs w:val="13"/>
          <w:color w:val="auto"/>
        </w:rPr>
        <w:t>Our bonus payments for 2007, which were paid in the first quarter of 2008, were lower than bonus payments for 2006 paid in 2007 due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relative strength of our financial performance against incentive plan measures in 2006 as compared with 2007. The comparative changes in our liabilities for bonuses favorably affected the comparison of our cash flow from operations by approximately $15 million.</w:t>
      </w:r>
    </w:p>
    <w:p>
      <w:pPr>
        <w:spacing w:after="0" w:line="54" w:lineRule="exact"/>
        <w:rPr>
          <w:sz w:val="20"/>
          <w:szCs w:val="20"/>
          <w:color w:val="auto"/>
        </w:rPr>
      </w:pPr>
    </w:p>
    <w:p>
      <w:pPr>
        <w:ind w:right="10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Net Cash Used in Investing Activities </w:t>
      </w:r>
      <w:r>
        <w:rPr>
          <w:rFonts w:ascii="Times New Roman" w:cs="Times New Roman" w:eastAsia="Times New Roman" w:hAnsi="Times New Roman"/>
          <w:sz w:val="13"/>
          <w:szCs w:val="13"/>
          <w:color w:val="auto"/>
        </w:rPr>
        <w:t>— The most significant items affecting the comparison of our investing cash flows for the first quarter of 2008 and the first quarter of 2007 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summarized below:</w:t>
      </w:r>
    </w:p>
    <w:p>
      <w:pPr>
        <w:spacing w:after="0" w:line="43" w:lineRule="exact"/>
        <w:rPr>
          <w:sz w:val="20"/>
          <w:szCs w:val="20"/>
          <w:color w:val="auto"/>
        </w:rPr>
      </w:pPr>
    </w:p>
    <w:p>
      <w:pPr>
        <w:ind w:left="600" w:right="20" w:hanging="190"/>
        <w:spacing w:after="0" w:line="264" w:lineRule="auto"/>
        <w:tabs>
          <w:tab w:leader="none" w:pos="6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Acquisitions and divestitures </w:t>
      </w:r>
      <w:r>
        <w:rPr>
          <w:rFonts w:ascii="Times New Roman" w:cs="Times New Roman" w:eastAsia="Times New Roman" w:hAnsi="Times New Roman"/>
          <w:sz w:val="13"/>
          <w:szCs w:val="13"/>
          <w:color w:val="auto"/>
        </w:rPr>
        <w:t>— Proceeds from divestitures (net of cash divested) and other sales of assets were $14 million in the first quarter of 2008 compared with $69 million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the first quarter of 2007. Our spending on acquisitions increased from $2 million in the first quarter of 2007 to $69 million in the first quarter of 2008. The decline in proceeds from divestitures and increase in acquisition spending reflect the shift from our focus on the divestiture of under-performing and non-strategic operations in 2007 to our current focus on accretive acquisitions and other investments that will contribute to improved future results of operations and enhance and expand our existing service offerings.</w:t>
      </w:r>
    </w:p>
    <w:p>
      <w:pPr>
        <w:spacing w:after="0" w:line="49" w:lineRule="exact"/>
        <w:rPr>
          <w:rFonts w:ascii="Times New Roman" w:cs="Times New Roman" w:eastAsia="Times New Roman" w:hAnsi="Times New Roman"/>
          <w:sz w:val="13"/>
          <w:szCs w:val="13"/>
          <w:color w:val="auto"/>
        </w:rPr>
      </w:pPr>
    </w:p>
    <w:p>
      <w:pPr>
        <w:ind w:left="600" w:right="200" w:hanging="190"/>
        <w:spacing w:after="0" w:line="289" w:lineRule="auto"/>
        <w:tabs>
          <w:tab w:leader="none" w:pos="6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Capital expenditures and net receipts from restricted funds — </w:t>
      </w:r>
      <w:r>
        <w:rPr>
          <w:rFonts w:ascii="Times New Roman" w:cs="Times New Roman" w:eastAsia="Times New Roman" w:hAnsi="Times New Roman"/>
          <w:sz w:val="13"/>
          <w:szCs w:val="13"/>
          <w:color w:val="auto"/>
        </w:rPr>
        <w:t>We used $213 million during the first quarter of 2008 for capital expenditures compared with $272 million in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first quarter of 2007. Net funds received from our restricted trust and escrow accounts contributed $77 million to our investing activities in the first</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5" w:name="page36"/>
    <w:bookmarkEnd w:id="35"/>
    <w:p>
      <w:pPr>
        <w:ind w:left="600" w:right="400"/>
        <w:spacing w:after="0" w:line="286" w:lineRule="auto"/>
        <w:rPr>
          <w:sz w:val="20"/>
          <w:szCs w:val="20"/>
          <w:color w:val="auto"/>
        </w:rPr>
      </w:pPr>
      <w:r>
        <w:rPr>
          <w:rFonts w:ascii="Times New Roman" w:cs="Times New Roman" w:eastAsia="Times New Roman" w:hAnsi="Times New Roman"/>
          <w:sz w:val="13"/>
          <w:szCs w:val="13"/>
          <w:color w:val="auto"/>
        </w:rPr>
        <w:t>quarter of 2008 compared with $34 million the first quarter of 2007. This increase is generally due to the issuance of $49 million of tax-exempt bonds during the quarter to support our on-going capital needs.</w:t>
      </w:r>
    </w:p>
    <w:p>
      <w:pPr>
        <w:spacing w:after="0" w:line="45" w:lineRule="exact"/>
        <w:rPr>
          <w:sz w:val="20"/>
          <w:szCs w:val="20"/>
          <w:color w:val="auto"/>
        </w:rPr>
      </w:pPr>
    </w:p>
    <w:p>
      <w:pPr>
        <w:ind w:left="600" w:right="40" w:hanging="190"/>
        <w:spacing w:after="0" w:line="271" w:lineRule="auto"/>
        <w:tabs>
          <w:tab w:leader="none" w:pos="6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Purchases and sales of short-term investments — </w:t>
      </w:r>
      <w:r>
        <w:rPr>
          <w:rFonts w:ascii="Times New Roman" w:cs="Times New Roman" w:eastAsia="Times New Roman" w:hAnsi="Times New Roman"/>
          <w:sz w:val="13"/>
          <w:szCs w:val="13"/>
          <w:color w:val="auto"/>
        </w:rPr>
        <w:t>Net sales of short-term investments provided $138 million of cash during the first quarter of 2007, which was used to contribute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the funding of our common stock repurchases, dividend payments and debt repayments. We did not hold any short-term investments at December 31, 2007 or during the first quarter of 2008.</w:t>
      </w:r>
    </w:p>
    <w:p>
      <w:pPr>
        <w:spacing w:after="0" w:line="54" w:lineRule="exact"/>
        <w:rPr>
          <w:sz w:val="20"/>
          <w:szCs w:val="20"/>
          <w:color w:val="auto"/>
        </w:rPr>
      </w:pPr>
    </w:p>
    <w:p>
      <w:pPr>
        <w:ind w:right="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Net Cash Used in Financing Activities </w:t>
      </w:r>
      <w:r>
        <w:rPr>
          <w:rFonts w:ascii="Times New Roman" w:cs="Times New Roman" w:eastAsia="Times New Roman" w:hAnsi="Times New Roman"/>
          <w:sz w:val="13"/>
          <w:szCs w:val="13"/>
          <w:color w:val="auto"/>
        </w:rPr>
        <w:t>— The most significant items affecting the comparison of our financing cash flows for the first quarter of 2008 and the first quarter of 2007 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summarized below:</w:t>
      </w:r>
    </w:p>
    <w:p>
      <w:pPr>
        <w:spacing w:after="0" w:line="43" w:lineRule="exact"/>
        <w:rPr>
          <w:sz w:val="20"/>
          <w:szCs w:val="20"/>
          <w:color w:val="auto"/>
        </w:rPr>
      </w:pPr>
    </w:p>
    <w:p>
      <w:pPr>
        <w:ind w:left="600" w:hanging="190"/>
        <w:spacing w:after="0"/>
        <w:tabs>
          <w:tab w:leader="none" w:pos="6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Share repurchases and dividend payments — </w:t>
      </w:r>
      <w:r>
        <w:rPr>
          <w:rFonts w:ascii="Times New Roman" w:cs="Times New Roman" w:eastAsia="Times New Roman" w:hAnsi="Times New Roman"/>
          <w:sz w:val="13"/>
          <w:szCs w:val="13"/>
          <w:color w:val="auto"/>
        </w:rPr>
        <w:t>During the first quarter of 2008, we repurchased 9.1 million shares of our common stock in open market transactions for</w:t>
      </w:r>
    </w:p>
    <w:p>
      <w:pPr>
        <w:spacing w:after="0" w:line="23" w:lineRule="exact"/>
        <w:rPr>
          <w:rFonts w:ascii="Times New Roman" w:cs="Times New Roman" w:eastAsia="Times New Roman" w:hAnsi="Times New Roman"/>
          <w:sz w:val="13"/>
          <w:szCs w:val="13"/>
          <w:color w:val="auto"/>
        </w:rPr>
      </w:pPr>
    </w:p>
    <w:p>
      <w:pPr>
        <w:ind w:left="600" w:right="44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$293 million. Approximately $12 million of our first quarter 2008 share repurchases was paid in April 2008. We repurchased 14.7 million shares of our common stock for $511 million during the first quarter of 2007, of which approximately $24 million was paid in April 2007.</w:t>
      </w:r>
    </w:p>
    <w:p>
      <w:pPr>
        <w:spacing w:after="0" w:line="61" w:lineRule="exact"/>
        <w:rPr>
          <w:sz w:val="20"/>
          <w:szCs w:val="20"/>
          <w:color w:val="auto"/>
        </w:rPr>
      </w:pPr>
    </w:p>
    <w:p>
      <w:pPr>
        <w:ind w:left="600" w:firstLine="375"/>
        <w:spacing w:after="0" w:line="269" w:lineRule="auto"/>
        <w:rPr>
          <w:sz w:val="20"/>
          <w:szCs w:val="20"/>
          <w:color w:val="auto"/>
        </w:rPr>
      </w:pPr>
      <w:r>
        <w:rPr>
          <w:rFonts w:ascii="Times New Roman" w:cs="Times New Roman" w:eastAsia="Times New Roman" w:hAnsi="Times New Roman"/>
          <w:sz w:val="13"/>
          <w:szCs w:val="13"/>
          <w:color w:val="auto"/>
        </w:rPr>
        <w:t>We paid $133 million in cash dividends in the first quarter of 2008 compared with $126 million in the first quarter of 2007. The increase in dividend payments is due to our quarterly per share dividend increasing from $0.24 in 2007 to $0.27 in 2008, partially offset by a reduction in the number of our outstanding shares as a result of our share repurchase program.</w:t>
      </w:r>
    </w:p>
    <w:p>
      <w:pPr>
        <w:spacing w:after="0" w:line="58" w:lineRule="exact"/>
        <w:rPr>
          <w:sz w:val="20"/>
          <w:szCs w:val="20"/>
          <w:color w:val="auto"/>
        </w:rPr>
      </w:pPr>
    </w:p>
    <w:p>
      <w:pPr>
        <w:ind w:left="600" w:right="320" w:firstLine="375"/>
        <w:spacing w:after="0" w:line="286" w:lineRule="auto"/>
        <w:rPr>
          <w:sz w:val="20"/>
          <w:szCs w:val="20"/>
          <w:color w:val="auto"/>
        </w:rPr>
      </w:pPr>
      <w:r>
        <w:rPr>
          <w:rFonts w:ascii="Times New Roman" w:cs="Times New Roman" w:eastAsia="Times New Roman" w:hAnsi="Times New Roman"/>
          <w:sz w:val="13"/>
          <w:szCs w:val="13"/>
          <w:color w:val="auto"/>
        </w:rPr>
        <w:t>Share repurchases and dividend payments during the remainder of 2008 will be made at the discretion of the Board of Directors and management, and will depend on various factors, including our net earnings, financial condition, cash required for future acquisitions and other factors the Board may deem relevant.</w:t>
      </w:r>
    </w:p>
    <w:p>
      <w:pPr>
        <w:spacing w:after="0" w:line="45" w:lineRule="exact"/>
        <w:rPr>
          <w:sz w:val="20"/>
          <w:szCs w:val="20"/>
          <w:color w:val="auto"/>
        </w:rPr>
      </w:pPr>
    </w:p>
    <w:p>
      <w:pPr>
        <w:ind w:left="600" w:right="60" w:hanging="190"/>
        <w:spacing w:after="0" w:line="289" w:lineRule="auto"/>
        <w:tabs>
          <w:tab w:leader="none" w:pos="6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Net debt borrowings (repayments) — </w:t>
      </w:r>
      <w:r>
        <w:rPr>
          <w:rFonts w:ascii="Times New Roman" w:cs="Times New Roman" w:eastAsia="Times New Roman" w:hAnsi="Times New Roman"/>
          <w:sz w:val="13"/>
          <w:szCs w:val="13"/>
          <w:color w:val="auto"/>
        </w:rPr>
        <w:t>Net debt borrowings were $259 million for the three months ended March 31, 2008 and net debt repayments were $108 million for the three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months ended March 31, 2007. The following summarizes our most significant cash borrowings and debt repayments made during each period (in millions):</w:t>
      </w:r>
    </w:p>
    <w:p>
      <w:pPr>
        <w:spacing w:after="0" w:line="4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2008</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2007</w:t>
            </w:r>
          </w:p>
        </w:tc>
        <w:tc>
          <w:tcPr>
            <w:tcW w:w="100" w:type="dxa"/>
            <w:vAlign w:val="bottom"/>
          </w:tcPr>
          <w:p>
            <w:pPr>
              <w:spacing w:after="0"/>
              <w:rPr>
                <w:sz w:val="8"/>
                <w:szCs w:val="8"/>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Borrowings</w:t>
            </w: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Revolving credit facility</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50</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Canadian credit facility</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134</w:t>
            </w:r>
          </w:p>
        </w:tc>
      </w:tr>
      <w:tr>
        <w:trPr>
          <w:trHeight w:val="157"/>
        </w:trPr>
        <w:tc>
          <w:tcPr>
            <w:tcW w:w="8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Senior Notes</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134</w:t>
            </w:r>
          </w:p>
        </w:tc>
      </w:tr>
      <w:tr>
        <w:trPr>
          <w:trHeight w:val="157"/>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Repayments</w:t>
            </w:r>
            <w:r>
              <w:rPr>
                <w:rFonts w:ascii="Times New Roman" w:cs="Times New Roman" w:eastAsia="Times New Roman" w:hAnsi="Times New Roman"/>
                <w:sz w:val="13"/>
                <w:szCs w:val="13"/>
                <w:color w:val="auto"/>
              </w:rPr>
              <w:t>:</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Revolving credit facility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8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Canadian credit facility</w:t>
            </w:r>
          </w:p>
        </w:tc>
        <w:tc>
          <w:tcPr>
            <w:tcW w:w="80" w:type="dxa"/>
            <w:vAlign w:val="bottom"/>
          </w:tcPr>
          <w:p>
            <w:pPr>
              <w:spacing w:after="0"/>
              <w:rPr>
                <w:sz w:val="13"/>
                <w:szCs w:val="13"/>
                <w:color w:val="auto"/>
              </w:rPr>
            </w:pPr>
          </w:p>
        </w:tc>
        <w:tc>
          <w:tcPr>
            <w:tcW w:w="72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57"/>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Tax exempt bonds</w:t>
            </w: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7"/>
        </w:trPr>
        <w:tc>
          <w:tcPr>
            <w:tcW w:w="8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Capital leases and other debt</w:t>
            </w:r>
          </w:p>
        </w:tc>
        <w:tc>
          <w:tcPr>
            <w:tcW w:w="80" w:type="dxa"/>
            <w:vAlign w:val="bottom"/>
          </w:tcPr>
          <w:p>
            <w:pPr>
              <w:spacing w:after="0"/>
              <w:rPr>
                <w:sz w:val="13"/>
                <w:szCs w:val="13"/>
                <w:color w:val="auto"/>
              </w:rPr>
            </w:pPr>
          </w:p>
        </w:tc>
        <w:tc>
          <w:tcPr>
            <w:tcW w:w="72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r>
      <w:tr>
        <w:trPr>
          <w:trHeight w:val="166"/>
        </w:trPr>
        <w:tc>
          <w:tcPr>
            <w:tcW w:w="870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Net borrowings (repayments)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bl>
    <w:p>
      <w:pPr>
        <w:spacing w:after="0" w:line="84" w:lineRule="exact"/>
        <w:rPr>
          <w:sz w:val="20"/>
          <w:szCs w:val="20"/>
          <w:color w:val="auto"/>
        </w:rPr>
      </w:pPr>
    </w:p>
    <w:p>
      <w:pPr>
        <w:ind w:left="600" w:right="40" w:hanging="190"/>
        <w:spacing w:after="0" w:line="289" w:lineRule="auto"/>
        <w:tabs>
          <w:tab w:leader="none" w:pos="6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Proceeds and tax benefits from the exercise of options and warrants — </w:t>
      </w:r>
      <w:r>
        <w:rPr>
          <w:rFonts w:ascii="Times New Roman" w:cs="Times New Roman" w:eastAsia="Times New Roman" w:hAnsi="Times New Roman"/>
          <w:sz w:val="13"/>
          <w:szCs w:val="13"/>
          <w:color w:val="auto"/>
        </w:rPr>
        <w:t>The exercise of common stock options and warrants and the related excess tax benefits generated a total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$12 million of financing cash inflows during the first quarter of 2008, compared with $41 million for the first quarter of 2007.</w:t>
      </w:r>
    </w:p>
    <w:p>
      <w:pPr>
        <w:spacing w:after="0" w:line="33" w:lineRule="exact"/>
        <w:rPr>
          <w:rFonts w:ascii="Times New Roman" w:cs="Times New Roman" w:eastAsia="Times New Roman" w:hAnsi="Times New Roman"/>
          <w:sz w:val="13"/>
          <w:szCs w:val="13"/>
          <w:color w:val="auto"/>
        </w:rPr>
      </w:pPr>
    </w:p>
    <w:p>
      <w:pPr>
        <w:ind w:left="600" w:right="20" w:hanging="190"/>
        <w:spacing w:after="0" w:line="289" w:lineRule="auto"/>
        <w:tabs>
          <w:tab w:leader="none" w:pos="6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Change in cash overdraft position — </w:t>
      </w:r>
      <w:r>
        <w:rPr>
          <w:rFonts w:ascii="Times New Roman" w:cs="Times New Roman" w:eastAsia="Times New Roman" w:hAnsi="Times New Roman"/>
          <w:sz w:val="13"/>
          <w:szCs w:val="13"/>
          <w:color w:val="auto"/>
        </w:rPr>
        <w:t>Changes in our cash overdraft position are reflected as “Other” financing activities in the Condensed Consolidated Statement of Cash Flows.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There are often significant</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6" w:name="page37"/>
    <w:bookmarkEnd w:id="36"/>
    <w:p>
      <w:pPr>
        <w:ind w:left="600"/>
        <w:spacing w:after="0"/>
        <w:rPr>
          <w:sz w:val="20"/>
          <w:szCs w:val="20"/>
          <w:color w:val="auto"/>
        </w:rPr>
      </w:pPr>
      <w:r>
        <w:rPr>
          <w:rFonts w:ascii="Times New Roman" w:cs="Times New Roman" w:eastAsia="Times New Roman" w:hAnsi="Times New Roman"/>
          <w:sz w:val="13"/>
          <w:szCs w:val="13"/>
          <w:color w:val="auto"/>
        </w:rPr>
        <w:t>changes in our overdraft positions at period ends, which are generally attributable to the timing of cash deposits.</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Liquidity Impacts of Uncertain Tax Positions</w:t>
      </w:r>
    </w:p>
    <w:p>
      <w:pPr>
        <w:spacing w:after="0" w:line="61" w:lineRule="exact"/>
        <w:rPr>
          <w:sz w:val="20"/>
          <w:szCs w:val="20"/>
          <w:color w:val="auto"/>
        </w:rPr>
      </w:pPr>
    </w:p>
    <w:p>
      <w:pPr>
        <w:ind w:firstLine="399"/>
        <w:spacing w:after="0" w:line="263" w:lineRule="auto"/>
        <w:rPr>
          <w:sz w:val="20"/>
          <w:szCs w:val="20"/>
          <w:color w:val="auto"/>
        </w:rPr>
      </w:pPr>
      <w:r>
        <w:rPr>
          <w:rFonts w:ascii="Times New Roman" w:cs="Times New Roman" w:eastAsia="Times New Roman" w:hAnsi="Times New Roman"/>
          <w:sz w:val="13"/>
          <w:szCs w:val="13"/>
          <w:color w:val="auto"/>
        </w:rPr>
        <w:t>We have liabilities associated with unrecognized tax benefits and related interest. These liabilities are primarily included as a 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57" w:lineRule="exact"/>
        <w:rPr>
          <w:sz w:val="20"/>
          <w:szCs w:val="20"/>
          <w:color w:val="auto"/>
        </w:rPr>
      </w:pPr>
    </w:p>
    <w:p>
      <w:pPr>
        <w:ind w:firstLine="399"/>
        <w:spacing w:after="0" w:line="264" w:lineRule="auto"/>
        <w:rPr>
          <w:sz w:val="20"/>
          <w:szCs w:val="20"/>
          <w:color w:val="auto"/>
        </w:rPr>
      </w:pPr>
      <w:r>
        <w:rPr>
          <w:rFonts w:ascii="Times New Roman" w:cs="Times New Roman" w:eastAsia="Times New Roman" w:hAnsi="Times New Roman"/>
          <w:sz w:val="13"/>
          <w:szCs w:val="13"/>
          <w:color w:val="auto"/>
        </w:rPr>
        <w:t xml:space="preserve">We are party to guarantee arrangements with unconsolidated entities as discussed in the </w:t>
      </w:r>
      <w:r>
        <w:rPr>
          <w:rFonts w:ascii="Times New Roman" w:cs="Times New Roman" w:eastAsia="Times New Roman" w:hAnsi="Times New Roman"/>
          <w:sz w:val="13"/>
          <w:szCs w:val="13"/>
          <w:i w:val="1"/>
          <w:iCs w:val="1"/>
          <w:color w:val="auto"/>
        </w:rPr>
        <w:t>Guarantees</w:t>
      </w:r>
      <w:r>
        <w:rPr>
          <w:rFonts w:ascii="Times New Roman" w:cs="Times New Roman" w:eastAsia="Times New Roman" w:hAnsi="Times New Roman"/>
          <w:sz w:val="13"/>
          <w:szCs w:val="13"/>
          <w:color w:val="auto"/>
        </w:rPr>
        <w:t xml:space="preserve"> section of Note 7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three months ended March 31, 2008 nor are they expected to have a material impact on our future financial position, results of operations or liquidity.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Seasonal Trends and Inflation</w:t>
      </w:r>
    </w:p>
    <w:p>
      <w:pPr>
        <w:spacing w:after="0" w:line="59" w:lineRule="exact"/>
        <w:rPr>
          <w:sz w:val="20"/>
          <w:szCs w:val="20"/>
          <w:color w:val="auto"/>
        </w:rPr>
      </w:pPr>
    </w:p>
    <w:p>
      <w:pPr>
        <w:ind w:right="80" w:firstLine="399"/>
        <w:spacing w:after="0" w:line="258" w:lineRule="auto"/>
        <w:rPr>
          <w:sz w:val="20"/>
          <w:szCs w:val="20"/>
          <w:color w:val="auto"/>
        </w:rPr>
      </w:pPr>
      <w:r>
        <w:rPr>
          <w:rFonts w:ascii="Times New Roman" w:cs="Times New Roman" w:eastAsia="Times New Roman" w:hAnsi="Times New Roman"/>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in 2004 and 2005, can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25" w:lineRule="exact"/>
        <w:rPr>
          <w:sz w:val="20"/>
          <w:szCs w:val="20"/>
          <w:color w:val="auto"/>
        </w:rPr>
      </w:pPr>
    </w:p>
    <w:p>
      <w:pPr>
        <w:ind w:right="100" w:firstLine="399"/>
        <w:spacing w:after="0" w:line="269" w:lineRule="auto"/>
        <w:rPr>
          <w:sz w:val="20"/>
          <w:szCs w:val="20"/>
          <w:color w:val="auto"/>
        </w:rPr>
      </w:pPr>
      <w:r>
        <w:rPr>
          <w:rFonts w:ascii="Times New Roman" w:cs="Times New Roman" w:eastAsia="Times New Roman" w:hAnsi="Times New Roman"/>
          <w:sz w:val="13"/>
          <w:szCs w:val="13"/>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3"/>
          <w:szCs w:val="13"/>
          <w:b w:val="1"/>
          <w:bCs w:val="1"/>
          <w:i w:val="1"/>
          <w:iCs w:val="1"/>
          <w:color w:val="auto"/>
        </w:rPr>
        <w:t>Controls and Procedures.</w:t>
      </w:r>
    </w:p>
    <w:p>
      <w:pPr>
        <w:spacing w:after="0" w:line="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Effectiveness of Controls and Procedures</w:t>
      </w:r>
    </w:p>
    <w:p>
      <w:pPr>
        <w:spacing w:after="0" w:line="61" w:lineRule="exact"/>
        <w:rPr>
          <w:sz w:val="20"/>
          <w:szCs w:val="20"/>
          <w:color w:val="auto"/>
        </w:rPr>
      </w:pPr>
    </w:p>
    <w:p>
      <w:pPr>
        <w:ind w:right="120" w:firstLine="399"/>
        <w:spacing w:after="0" w:line="261" w:lineRule="auto"/>
        <w:rPr>
          <w:sz w:val="20"/>
          <w:szCs w:val="20"/>
          <w:color w:val="auto"/>
        </w:rPr>
      </w:pPr>
      <w:r>
        <w:rPr>
          <w:rFonts w:ascii="Times New Roman" w:cs="Times New Roman" w:eastAsia="Times New Roman" w:hAnsi="Times New Roman"/>
          <w:sz w:val="13"/>
          <w:szCs w:val="13"/>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in ensuring that we are able to collect, process and disclose the information we are required to disclose in the reports we file with the SEC within required time periods.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7" w:name="page38"/>
    <w:bookmarkEnd w:id="37"/>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73"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1.</w:t>
      </w:r>
      <w:r>
        <w:rPr>
          <w:sz w:val="20"/>
          <w:szCs w:val="20"/>
          <w:color w:val="auto"/>
        </w:rPr>
        <w:tab/>
      </w:r>
      <w:r>
        <w:rPr>
          <w:rFonts w:ascii="Times New Roman" w:cs="Times New Roman" w:eastAsia="Times New Roman" w:hAnsi="Times New Roman"/>
          <w:sz w:val="12"/>
          <w:szCs w:val="12"/>
          <w:b w:val="1"/>
          <w:bCs w:val="1"/>
          <w:i w:val="1"/>
          <w:iCs w:val="1"/>
          <w:color w:val="auto"/>
        </w:rPr>
        <w:t>Legal Proceedings.</w:t>
      </w:r>
    </w:p>
    <w:p>
      <w:pPr>
        <w:spacing w:after="0" w:line="98" w:lineRule="exact"/>
        <w:rPr>
          <w:sz w:val="20"/>
          <w:szCs w:val="20"/>
          <w:color w:val="auto"/>
        </w:rPr>
      </w:pPr>
    </w:p>
    <w:p>
      <w:pPr>
        <w:ind w:left="680" w:right="1200" w:firstLine="399"/>
        <w:spacing w:after="0" w:line="289" w:lineRule="auto"/>
        <w:rPr>
          <w:sz w:val="20"/>
          <w:szCs w:val="20"/>
          <w:color w:val="auto"/>
        </w:rPr>
      </w:pPr>
      <w:r>
        <w:rPr>
          <w:rFonts w:ascii="Times New Roman" w:cs="Times New Roman" w:eastAsia="Times New Roman" w:hAnsi="Times New Roman"/>
          <w:sz w:val="13"/>
          <w:szCs w:val="13"/>
          <w:color w:val="auto"/>
        </w:rPr>
        <w:t xml:space="preserve">Information regarding our legal proceedings can be found under the “Litigation” section of Note 7, </w:t>
      </w:r>
      <w:r>
        <w:rPr>
          <w:rFonts w:ascii="Times New Roman" w:cs="Times New Roman" w:eastAsia="Times New Roman" w:hAnsi="Times New Roman"/>
          <w:sz w:val="13"/>
          <w:szCs w:val="13"/>
          <w:i w:val="1"/>
          <w:iCs w:val="1"/>
          <w:color w:val="auto"/>
        </w:rPr>
        <w:t>Commitments and Contingencies,</w:t>
      </w:r>
      <w:r>
        <w:rPr>
          <w:rFonts w:ascii="Times New Roman" w:cs="Times New Roman" w:eastAsia="Times New Roman" w:hAnsi="Times New Roman"/>
          <w:sz w:val="13"/>
          <w:szCs w:val="13"/>
          <w:color w:val="auto"/>
        </w:rPr>
        <w:t xml:space="preserve"> to the Condensed Consolidated Financial Statements.</w:t>
      </w:r>
    </w:p>
    <w:p>
      <w:pPr>
        <w:spacing w:after="0" w:line="120" w:lineRule="exact"/>
        <w:rPr>
          <w:sz w:val="20"/>
          <w:szCs w:val="20"/>
          <w:color w:val="auto"/>
        </w:rPr>
      </w:pPr>
    </w:p>
    <w:p>
      <w:pPr>
        <w:ind w:left="680"/>
        <w:spacing w:after="0"/>
        <w:tabs>
          <w:tab w:leader="none" w:pos="1580" w:val="left"/>
        </w:tabs>
        <w:rPr>
          <w:sz w:val="20"/>
          <w:szCs w:val="20"/>
          <w:color w:val="auto"/>
        </w:rPr>
      </w:pPr>
      <w:r>
        <w:rPr>
          <w:rFonts w:ascii="Times New Roman" w:cs="Times New Roman" w:eastAsia="Times New Roman" w:hAnsi="Times New Roman"/>
          <w:sz w:val="13"/>
          <w:szCs w:val="13"/>
          <w:b w:val="1"/>
          <w:bCs w:val="1"/>
          <w:color w:val="auto"/>
        </w:rPr>
        <w:t>Item 1A.</w:t>
      </w:r>
      <w:r>
        <w:rPr>
          <w:sz w:val="20"/>
          <w:szCs w:val="20"/>
          <w:color w:val="auto"/>
        </w:rPr>
        <w:tab/>
      </w:r>
      <w:r>
        <w:rPr>
          <w:rFonts w:ascii="Times New Roman" w:cs="Times New Roman" w:eastAsia="Times New Roman" w:hAnsi="Times New Roman"/>
          <w:sz w:val="13"/>
          <w:szCs w:val="13"/>
          <w:b w:val="1"/>
          <w:bCs w:val="1"/>
          <w:i w:val="1"/>
          <w:iCs w:val="1"/>
          <w:color w:val="auto"/>
        </w:rPr>
        <w:t>Risk Factors.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There have been no material changes from risk factors previously disclosed in our Form 10-K for the year ended December 31, 2007 in response to Item 1A to Part I of Form 10-K.</w:t>
      </w:r>
    </w:p>
    <w:p>
      <w:pPr>
        <w:spacing w:after="0" w:line="171"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3"/>
          <w:szCs w:val="13"/>
          <w:b w:val="1"/>
          <w:bCs w:val="1"/>
          <w:i w:val="1"/>
          <w:iCs w:val="1"/>
          <w:color w:val="auto"/>
        </w:rPr>
        <w:t>Unregistered Sales of Equity Securities and Use of Proceeds.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Our Board of Directors has approved a capital allocation program that provides a maximum of $1,458 million in combined cash dividends and common stock repurchases in 2008.</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All of the common stock repurchases made in 2008 have been pursuant to this capital allocation program. The following table summarizes our first quarter 2008 activity:</w:t>
      </w:r>
    </w:p>
    <w:p>
      <w:pPr>
        <w:spacing w:after="0" w:line="2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10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Total Number of</w:t>
            </w:r>
          </w:p>
        </w:tc>
        <w:tc>
          <w:tcPr>
            <w:tcW w:w="220" w:type="dxa"/>
            <w:vAlign w:val="bottom"/>
          </w:tcPr>
          <w:p>
            <w:pPr>
              <w:spacing w:after="0"/>
              <w:rPr>
                <w:sz w:val="10"/>
                <w:szCs w:val="10"/>
                <w:color w:val="auto"/>
              </w:rPr>
            </w:pPr>
          </w:p>
        </w:tc>
        <w:tc>
          <w:tcPr>
            <w:tcW w:w="1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Average</w:t>
            </w:r>
          </w:p>
        </w:tc>
        <w:tc>
          <w:tcPr>
            <w:tcW w:w="1780" w:type="dxa"/>
            <w:vAlign w:val="bottom"/>
            <w:gridSpan w:val="2"/>
          </w:tcPr>
          <w:p>
            <w:pPr>
              <w:jc w:val="center"/>
              <w:ind w:right="420"/>
              <w:spacing w:after="0" w:line="108" w:lineRule="exact"/>
              <w:rPr>
                <w:sz w:val="20"/>
                <w:szCs w:val="20"/>
                <w:color w:val="auto"/>
              </w:rPr>
            </w:pPr>
            <w:r>
              <w:rPr>
                <w:rFonts w:ascii="Times New Roman" w:cs="Times New Roman" w:eastAsia="Times New Roman" w:hAnsi="Times New Roman"/>
                <w:sz w:val="10"/>
                <w:szCs w:val="10"/>
                <w:b w:val="1"/>
                <w:bCs w:val="1"/>
                <w:color w:val="auto"/>
              </w:rPr>
              <w:t>Shares Purchased as</w:t>
            </w:r>
          </w:p>
        </w:tc>
        <w:tc>
          <w:tcPr>
            <w:tcW w:w="22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100" w:type="dxa"/>
            <w:vAlign w:val="bottom"/>
            <w:gridSpan w:val="3"/>
          </w:tcPr>
          <w:p>
            <w:pPr>
              <w:jc w:val="center"/>
              <w:ind w:right="400"/>
              <w:spacing w:after="0" w:line="108"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780" w:type="dxa"/>
            <w:vAlign w:val="bottom"/>
            <w:gridSpan w:val="2"/>
          </w:tcPr>
          <w:p>
            <w:pPr>
              <w:jc w:val="center"/>
              <w:ind w:right="400"/>
              <w:spacing w:after="0" w:line="108" w:lineRule="exact"/>
              <w:rPr>
                <w:sz w:val="20"/>
                <w:szCs w:val="20"/>
                <w:color w:val="auto"/>
              </w:rPr>
            </w:pPr>
            <w:r>
              <w:rPr>
                <w:rFonts w:ascii="Times New Roman" w:cs="Times New Roman" w:eastAsia="Times New Roman" w:hAnsi="Times New Roman"/>
                <w:sz w:val="10"/>
                <w:szCs w:val="10"/>
                <w:b w:val="1"/>
                <w:bCs w:val="1"/>
                <w:color w:val="auto"/>
              </w:rPr>
              <w:t>Part of Publicly</w:t>
            </w:r>
          </w:p>
        </w:tc>
        <w:tc>
          <w:tcPr>
            <w:tcW w:w="220" w:type="dxa"/>
            <w:vAlign w:val="bottom"/>
          </w:tcPr>
          <w:p>
            <w:pPr>
              <w:spacing w:after="0"/>
              <w:rPr>
                <w:sz w:val="9"/>
                <w:szCs w:val="9"/>
                <w:color w:val="auto"/>
              </w:rPr>
            </w:pPr>
          </w:p>
        </w:tc>
        <w:tc>
          <w:tcPr>
            <w:tcW w:w="1960" w:type="dxa"/>
            <w:vAlign w:val="bottom"/>
            <w:gridSpan w:val="2"/>
          </w:tcPr>
          <w:p>
            <w:pPr>
              <w:jc w:val="center"/>
              <w:ind w:right="320"/>
              <w:spacing w:after="0" w:line="108" w:lineRule="exact"/>
              <w:rPr>
                <w:sz w:val="20"/>
                <w:szCs w:val="20"/>
                <w:color w:val="auto"/>
              </w:rPr>
            </w:pPr>
            <w:r>
              <w:rPr>
                <w:rFonts w:ascii="Times New Roman" w:cs="Times New Roman" w:eastAsia="Times New Roman" w:hAnsi="Times New Roman"/>
                <w:sz w:val="10"/>
                <w:szCs w:val="10"/>
                <w:b w:val="1"/>
                <w:bCs w:val="1"/>
                <w:color w:val="auto"/>
              </w:rPr>
              <w:t>Dollar Value of Shares that</w:t>
            </w:r>
          </w:p>
        </w:tc>
        <w:tc>
          <w:tcPr>
            <w:tcW w:w="0" w:type="dxa"/>
            <w:vAlign w:val="bottom"/>
          </w:tcPr>
          <w:p>
            <w:pPr>
              <w:spacing w:after="0"/>
              <w:rPr>
                <w:sz w:val="1"/>
                <w:szCs w:val="1"/>
                <w:color w:val="auto"/>
              </w:rPr>
            </w:pPr>
          </w:p>
        </w:tc>
      </w:tr>
      <w:tr>
        <w:trPr>
          <w:trHeight w:val="118"/>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u w:val="single" w:color="auto"/>
                <w:color w:val="auto"/>
              </w:rPr>
              <w:t>P</w:t>
            </w:r>
            <w:r>
              <w:rPr>
                <w:rFonts w:ascii="Times New Roman" w:cs="Times New Roman" w:eastAsia="Times New Roman" w:hAnsi="Times New Roman"/>
                <w:sz w:val="10"/>
                <w:szCs w:val="10"/>
                <w:b w:val="1"/>
                <w:bCs w:val="1"/>
                <w:color w:val="auto"/>
              </w:rPr>
              <w:t>eriod</w:t>
            </w: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Price Paid</w:t>
            </w: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Announced Plans or</w:t>
            </w:r>
          </w:p>
        </w:tc>
        <w:tc>
          <w:tcPr>
            <w:tcW w:w="220" w:type="dxa"/>
            <w:vAlign w:val="bottom"/>
          </w:tcPr>
          <w:p>
            <w:pPr>
              <w:spacing w:after="0"/>
              <w:rPr>
                <w:sz w:val="10"/>
                <w:szCs w:val="10"/>
                <w:color w:val="auto"/>
              </w:rPr>
            </w:pPr>
          </w:p>
        </w:tc>
        <w:tc>
          <w:tcPr>
            <w:tcW w:w="19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May yet be Purchased Under</w:t>
            </w:r>
          </w:p>
        </w:tc>
        <w:tc>
          <w:tcPr>
            <w:tcW w:w="0" w:type="dxa"/>
            <w:vAlign w:val="bottom"/>
          </w:tcPr>
          <w:p>
            <w:pPr>
              <w:spacing w:after="0"/>
              <w:rPr>
                <w:sz w:val="1"/>
                <w:szCs w:val="1"/>
                <w:color w:val="auto"/>
              </w:rPr>
            </w:pPr>
          </w:p>
        </w:tc>
      </w:tr>
      <w:tr>
        <w:trPr>
          <w:trHeight w:val="127"/>
        </w:trPr>
        <w:tc>
          <w:tcPr>
            <w:tcW w:w="3720" w:type="dxa"/>
            <w:vAlign w:val="bottom"/>
            <w:gridSpan w:val="2"/>
            <w:vMerge w:val="continue"/>
          </w:tcPr>
          <w:p>
            <w:pPr>
              <w:spacing w:after="0"/>
              <w:rPr>
                <w:sz w:val="11"/>
                <w:szCs w:val="11"/>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Purchased</w:t>
            </w:r>
          </w:p>
        </w:tc>
        <w:tc>
          <w:tcPr>
            <w:tcW w:w="100" w:type="dxa"/>
            <w:vAlign w:val="bottom"/>
          </w:tcPr>
          <w:p>
            <w:pPr>
              <w:spacing w:after="0"/>
              <w:rPr>
                <w:sz w:val="11"/>
                <w:szCs w:val="11"/>
                <w:color w:val="auto"/>
              </w:rPr>
            </w:pPr>
          </w:p>
        </w:tc>
        <w:tc>
          <w:tcPr>
            <w:tcW w:w="110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per Share(a)</w:t>
            </w: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Programs</w:t>
            </w:r>
          </w:p>
        </w:tc>
        <w:tc>
          <w:tcPr>
            <w:tcW w:w="220" w:type="dxa"/>
            <w:vAlign w:val="bottom"/>
          </w:tcPr>
          <w:p>
            <w:pPr>
              <w:spacing w:after="0"/>
              <w:rPr>
                <w:sz w:val="11"/>
                <w:szCs w:val="11"/>
                <w:color w:val="auto"/>
              </w:rPr>
            </w:pPr>
          </w:p>
        </w:tc>
        <w:tc>
          <w:tcPr>
            <w:tcW w:w="19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the Plans or Programs(b)</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 — 31</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4,665,000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31.24</w:t>
            </w:r>
          </w:p>
        </w:tc>
        <w:tc>
          <w:tcPr>
            <w:tcW w:w="1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4,665,000</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1,305 Million</w:t>
            </w:r>
          </w:p>
        </w:tc>
        <w:tc>
          <w:tcPr>
            <w:tcW w:w="0" w:type="dxa"/>
            <w:vAlign w:val="bottom"/>
          </w:tcPr>
          <w:p>
            <w:pPr>
              <w:spacing w:after="0"/>
              <w:rPr>
                <w:sz w:val="1"/>
                <w:szCs w:val="1"/>
                <w:color w:val="auto"/>
              </w:rPr>
            </w:pPr>
          </w:p>
        </w:tc>
      </w:tr>
      <w:tr>
        <w:trPr>
          <w:trHeight w:val="157"/>
        </w:trPr>
        <w:tc>
          <w:tcPr>
            <w:tcW w:w="3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February 1 — 29</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1,693,476</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33.28</w:t>
            </w: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1,693,476</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1,248 Million</w:t>
            </w:r>
          </w:p>
        </w:tc>
        <w:tc>
          <w:tcPr>
            <w:tcW w:w="0" w:type="dxa"/>
            <w:vAlign w:val="bottom"/>
          </w:tcPr>
          <w:p>
            <w:pPr>
              <w:spacing w:after="0"/>
              <w:rPr>
                <w:sz w:val="1"/>
                <w:szCs w:val="1"/>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March 1 — 31</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2,709,469</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33.38</w:t>
            </w:r>
          </w:p>
        </w:tc>
        <w:tc>
          <w:tcPr>
            <w:tcW w:w="1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2,709,469</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1,158 Million</w:t>
            </w:r>
          </w:p>
        </w:tc>
        <w:tc>
          <w:tcPr>
            <w:tcW w:w="0" w:type="dxa"/>
            <w:vAlign w:val="bottom"/>
          </w:tcPr>
          <w:p>
            <w:pPr>
              <w:spacing w:after="0"/>
              <w:rPr>
                <w:sz w:val="1"/>
                <w:szCs w:val="1"/>
                <w:color w:val="auto"/>
              </w:rPr>
            </w:pPr>
          </w:p>
        </w:tc>
      </w:tr>
      <w:tr>
        <w:trPr>
          <w:trHeight w:val="166"/>
        </w:trPr>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9,067,945</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32.26</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9,067,945</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80" w:hanging="493"/>
        <w:spacing w:after="0"/>
        <w:tabs>
          <w:tab w:leader="none" w:pos="11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amount represents the weighted average price paid per share and includes a per share commission paid for all repurchases.</w:t>
      </w:r>
    </w:p>
    <w:p>
      <w:pPr>
        <w:spacing w:after="0" w:line="47" w:lineRule="exact"/>
        <w:rPr>
          <w:rFonts w:ascii="Times New Roman" w:cs="Times New Roman" w:eastAsia="Times New Roman" w:hAnsi="Times New Roman"/>
          <w:sz w:val="13"/>
          <w:szCs w:val="13"/>
          <w:color w:val="auto"/>
        </w:rPr>
      </w:pPr>
    </w:p>
    <w:p>
      <w:pPr>
        <w:ind w:left="1180" w:right="880" w:hanging="493"/>
        <w:spacing w:after="0" w:line="261" w:lineRule="auto"/>
        <w:tabs>
          <w:tab w:leader="none" w:pos="11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period presented, the maximum dollar value of shares that may yet be purchased under the program has been provided net of the dividends declared and paid in the first quarter of 2008. However, this amount does not include the impact of dividend payments we expect to make throughout the remainder of 2008 as a result of future dividend declarations. The approximate maximum dollar value of shares that may yet be purchased under the program is not necessarily an indication of the amount we intend to repurchase during the remainder of the year. As discussed above, the amount of capital available for share repurchases and dividend payments during 2008 is $1,584 million. During the three months ended March 31, 2008, we paid $133 million in dividends.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6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Item 6.</w:t>
            </w:r>
          </w:p>
        </w:tc>
        <w:tc>
          <w:tcPr>
            <w:tcW w:w="10200" w:type="dxa"/>
            <w:vAlign w:val="bottom"/>
            <w:gridSpan w:val="3"/>
          </w:tcPr>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Exhibits.</w:t>
            </w:r>
          </w:p>
        </w:tc>
        <w:tc>
          <w:tcPr>
            <w:tcW w:w="0" w:type="dxa"/>
            <w:vAlign w:val="bottom"/>
          </w:tcPr>
          <w:p>
            <w:pPr>
              <w:spacing w:after="0"/>
              <w:rPr>
                <w:sz w:val="1"/>
                <w:szCs w:val="1"/>
                <w:color w:val="auto"/>
              </w:rPr>
            </w:pPr>
          </w:p>
        </w:tc>
      </w:tr>
      <w:tr>
        <w:trPr>
          <w:trHeight w:val="187"/>
        </w:trPr>
        <w:tc>
          <w:tcPr>
            <w:tcW w:w="1260" w:type="dxa"/>
            <w:vAlign w:val="bottom"/>
          </w:tcPr>
          <w:p>
            <w:pPr>
              <w:ind w:left="78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4840" w:type="dxa"/>
            <w:vAlign w:val="bottom"/>
          </w:tcPr>
          <w:p>
            <w:pPr>
              <w:spacing w:after="0"/>
              <w:rPr>
                <w:sz w:val="16"/>
                <w:szCs w:val="16"/>
                <w:color w:val="auto"/>
              </w:rPr>
            </w:pPr>
          </w:p>
        </w:tc>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37"/>
        </w:trPr>
        <w:tc>
          <w:tcPr>
            <w:tcW w:w="1260" w:type="dxa"/>
            <w:vAlign w:val="bottom"/>
          </w:tcPr>
          <w:p>
            <w:pPr>
              <w:ind w:left="960"/>
              <w:spacing w:after="0"/>
              <w:rPr>
                <w:sz w:val="20"/>
                <w:szCs w:val="20"/>
                <w:color w:val="auto"/>
              </w:rPr>
            </w:pPr>
            <w:r>
              <w:rPr>
                <w:rFonts w:ascii="Times New Roman" w:cs="Times New Roman" w:eastAsia="Times New Roman" w:hAnsi="Times New Roman"/>
                <w:sz w:val="10"/>
                <w:szCs w:val="10"/>
                <w:b w:val="1"/>
                <w:bCs w:val="1"/>
                <w:color w:val="auto"/>
              </w:rPr>
              <w:t>No.</w:t>
            </w:r>
          </w:p>
        </w:tc>
        <w:tc>
          <w:tcPr>
            <w:tcW w:w="4840" w:type="dxa"/>
            <w:vAlign w:val="bottom"/>
          </w:tcPr>
          <w:p>
            <w:pPr>
              <w:spacing w:after="0"/>
              <w:rPr>
                <w:sz w:val="11"/>
                <w:szCs w:val="11"/>
                <w:color w:val="auto"/>
              </w:rPr>
            </w:pPr>
          </w:p>
        </w:tc>
        <w:tc>
          <w:tcPr>
            <w:tcW w:w="5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12</w:t>
            </w:r>
          </w:p>
        </w:tc>
        <w:tc>
          <w:tcPr>
            <w:tcW w:w="4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Computation of Ratio of Earnings to Fixed Charges.</w:t>
            </w:r>
          </w:p>
        </w:tc>
        <w:tc>
          <w:tcPr>
            <w:tcW w:w="80" w:type="dxa"/>
            <w:vAlign w:val="bottom"/>
            <w:tcBorders>
              <w:top w:val="single" w:sz="8" w:color="auto"/>
            </w:tcBorders>
          </w:tcPr>
          <w:p>
            <w:pPr>
              <w:spacing w:after="0"/>
              <w:rPr>
                <w:sz w:val="15"/>
                <w:szCs w:val="15"/>
                <w:color w:val="auto"/>
              </w:rPr>
            </w:pPr>
          </w:p>
        </w:tc>
        <w:tc>
          <w:tcPr>
            <w:tcW w:w="5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31.1</w:t>
            </w:r>
          </w:p>
        </w:tc>
        <w:tc>
          <w:tcPr>
            <w:tcW w:w="102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Certification Pursuant to Rule 15d —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1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31.2</w:t>
            </w:r>
          </w:p>
        </w:tc>
        <w:tc>
          <w:tcPr>
            <w:tcW w:w="102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Certification Pursuant to Rule 15d —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Officer.</w:t>
            </w:r>
          </w:p>
        </w:tc>
        <w:tc>
          <w:tcPr>
            <w:tcW w:w="0" w:type="dxa"/>
            <w:vAlign w:val="bottom"/>
          </w:tcPr>
          <w:p>
            <w:pPr>
              <w:spacing w:after="0"/>
              <w:rPr>
                <w:sz w:val="1"/>
                <w:szCs w:val="1"/>
                <w:color w:val="auto"/>
              </w:rPr>
            </w:pPr>
          </w:p>
        </w:tc>
      </w:tr>
      <w:tr>
        <w:trPr>
          <w:trHeight w:val="157"/>
        </w:trPr>
        <w:tc>
          <w:tcPr>
            <w:tcW w:w="1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32.1</w:t>
            </w:r>
          </w:p>
        </w:tc>
        <w:tc>
          <w:tcPr>
            <w:tcW w:w="102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Certification Pursuant to 18 U.S.C. §1350 of David P. Steiner, Chief Executive Officer.</w:t>
            </w:r>
          </w:p>
        </w:tc>
        <w:tc>
          <w:tcPr>
            <w:tcW w:w="0" w:type="dxa"/>
            <w:vAlign w:val="bottom"/>
          </w:tcPr>
          <w:p>
            <w:pPr>
              <w:spacing w:after="0"/>
              <w:rPr>
                <w:sz w:val="1"/>
                <w:szCs w:val="1"/>
                <w:color w:val="auto"/>
              </w:rPr>
            </w:pPr>
          </w:p>
        </w:tc>
      </w:tr>
      <w:tr>
        <w:trPr>
          <w:trHeight w:val="171"/>
        </w:trPr>
        <w:tc>
          <w:tcPr>
            <w:tcW w:w="1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32.2</w:t>
            </w:r>
          </w:p>
        </w:tc>
        <w:tc>
          <w:tcPr>
            <w:tcW w:w="102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442"/>
        </w:trPr>
        <w:tc>
          <w:tcPr>
            <w:tcW w:w="1260" w:type="dxa"/>
            <w:vAlign w:val="bottom"/>
          </w:tcPr>
          <w:p>
            <w:pPr>
              <w:spacing w:after="0"/>
              <w:rPr>
                <w:sz w:val="24"/>
                <w:szCs w:val="24"/>
                <w:color w:val="auto"/>
              </w:rPr>
            </w:pPr>
          </w:p>
        </w:tc>
        <w:tc>
          <w:tcPr>
            <w:tcW w:w="4840" w:type="dxa"/>
            <w:vAlign w:val="bottom"/>
          </w:tcPr>
          <w:p>
            <w:pPr>
              <w:ind w:left="4360"/>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60" w:type="dxa"/>
            <w:vAlign w:val="bottom"/>
            <w:tcBorders>
              <w:bottom w:val="single" w:sz="8" w:color="808080"/>
            </w:tcBorders>
          </w:tcPr>
          <w:p>
            <w:pPr>
              <w:spacing w:after="0"/>
              <w:rPr>
                <w:sz w:val="14"/>
                <w:szCs w:val="14"/>
                <w:color w:val="auto"/>
              </w:rPr>
            </w:pPr>
          </w:p>
        </w:tc>
        <w:tc>
          <w:tcPr>
            <w:tcW w:w="4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38" w:name="page39"/>
    <w:bookmarkEnd w:id="38"/>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98" w:lineRule="exact"/>
        <w:rPr>
          <w:sz w:val="20"/>
          <w:szCs w:val="20"/>
          <w:color w:val="auto"/>
        </w:rPr>
      </w:pPr>
    </w:p>
    <w:p>
      <w:pPr>
        <w:ind w:right="139" w:firstLine="399"/>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00"/>
        <w:spacing w:after="0"/>
        <w:tabs>
          <w:tab w:leader="none" w:pos="5280" w:val="left"/>
        </w:tabs>
        <w:rPr>
          <w:sz w:val="20"/>
          <w:szCs w:val="20"/>
          <w:color w:val="auto"/>
        </w:rPr>
      </w:pPr>
      <w:r>
        <w:rPr>
          <w:rFonts w:ascii="Times New Roman" w:cs="Times New Roman" w:eastAsia="Times New Roman" w:hAnsi="Times New Roman"/>
          <w:sz w:val="13"/>
          <w:szCs w:val="13"/>
          <w:color w:val="auto"/>
        </w:rPr>
        <w:t>By:</w:t>
        <w:tab/>
        <w:t>/s/ ROBERT G. SIMPSON</w:t>
      </w:r>
    </w:p>
    <w:p>
      <w:pPr>
        <w:spacing w:after="0" w:line="27"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color w:val="auto"/>
        </w:rPr>
        <w:t>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-92710</wp:posOffset>
            </wp:positionV>
            <wp:extent cx="353377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Senior Vice President and</w:t>
      </w:r>
    </w:p>
    <w:p>
      <w:pPr>
        <w:spacing w:after="0" w:line="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Chief Financial Officer</w:t>
      </w:r>
    </w:p>
    <w:p>
      <w:pPr>
        <w:spacing w:after="0" w:line="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p>
      <w:pPr>
        <w:spacing w:after="0" w:line="3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00"/>
        <w:spacing w:after="0"/>
        <w:tabs>
          <w:tab w:leader="none" w:pos="5280" w:val="left"/>
        </w:tabs>
        <w:rPr>
          <w:sz w:val="20"/>
          <w:szCs w:val="20"/>
          <w:color w:val="auto"/>
        </w:rPr>
      </w:pPr>
      <w:r>
        <w:rPr>
          <w:rFonts w:ascii="Times New Roman" w:cs="Times New Roman" w:eastAsia="Times New Roman" w:hAnsi="Times New Roman"/>
          <w:sz w:val="13"/>
          <w:szCs w:val="13"/>
          <w:color w:val="auto"/>
        </w:rPr>
        <w:t>By:</w:t>
        <w:tab/>
        <w:t>/s/ GREG 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13335</wp:posOffset>
            </wp:positionV>
            <wp:extent cx="353377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color w:val="auto"/>
        </w:rPr>
        <w:t>Greg A. Robertson</w:t>
      </w:r>
    </w:p>
    <w:p>
      <w:pPr>
        <w:spacing w:after="0" w:line="1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Vice President and</w:t>
      </w:r>
    </w:p>
    <w:p>
      <w:pPr>
        <w:spacing w:after="0" w:line="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Chief Accounting Officer</w:t>
      </w:r>
    </w:p>
    <w:p>
      <w:pPr>
        <w:spacing w:after="0" w:line="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(Principal Accounting Officer)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April 29, 2008</w:t>
      </w:r>
    </w:p>
    <w:p>
      <w:pPr>
        <w:spacing w:after="0" w:line="2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59"/>
          </w:cols>
          <w:pgMar w:left="900" w:top="744"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9060" w:type="dxa"/>
            <w:vAlign w:val="bottom"/>
            <w:gridSpan w:val="3"/>
          </w:tcPr>
          <w:p>
            <w:pPr>
              <w:ind w:left="3900"/>
              <w:spacing w:after="0"/>
              <w:rPr>
                <w:sz w:val="20"/>
                <w:szCs w:val="20"/>
                <w:color w:val="auto"/>
              </w:rPr>
            </w:pPr>
            <w:r>
              <w:rPr>
                <w:rFonts w:ascii="Times New Roman" w:cs="Times New Roman" w:eastAsia="Times New Roman" w:hAnsi="Times New Roman"/>
                <w:sz w:val="13"/>
                <w:szCs w:val="13"/>
                <w:b w:val="1"/>
                <w:bCs w:val="1"/>
                <w:color w:val="auto"/>
              </w:rPr>
              <w:t>EXHIBIT INDEX</w:t>
            </w:r>
          </w:p>
        </w:tc>
        <w:tc>
          <w:tcPr>
            <w:tcW w:w="0" w:type="dxa"/>
            <w:vAlign w:val="bottom"/>
          </w:tcPr>
          <w:p>
            <w:pPr>
              <w:spacing w:after="0"/>
              <w:rPr>
                <w:sz w:val="1"/>
                <w:szCs w:val="1"/>
                <w:color w:val="auto"/>
              </w:rPr>
            </w:pPr>
          </w:p>
        </w:tc>
      </w:tr>
      <w:tr>
        <w:trPr>
          <w:trHeight w:val="265"/>
        </w:trPr>
        <w:tc>
          <w:tcPr>
            <w:tcW w:w="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4840" w:type="dxa"/>
            <w:vAlign w:val="bottom"/>
          </w:tcPr>
          <w:p>
            <w:pPr>
              <w:spacing w:after="0"/>
              <w:rPr>
                <w:sz w:val="23"/>
                <w:szCs w:val="23"/>
                <w:color w:val="auto"/>
              </w:rPr>
            </w:pPr>
          </w:p>
        </w:tc>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37"/>
        </w:trPr>
        <w:tc>
          <w:tcPr>
            <w:tcW w:w="4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No.</w:t>
            </w:r>
          </w:p>
        </w:tc>
        <w:tc>
          <w:tcPr>
            <w:tcW w:w="4840" w:type="dxa"/>
            <w:vAlign w:val="bottom"/>
          </w:tcPr>
          <w:p>
            <w:pPr>
              <w:spacing w:after="0"/>
              <w:rPr>
                <w:sz w:val="11"/>
                <w:szCs w:val="11"/>
                <w:color w:val="auto"/>
              </w:rPr>
            </w:pPr>
          </w:p>
        </w:tc>
        <w:tc>
          <w:tcPr>
            <w:tcW w:w="4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12</w:t>
            </w:r>
          </w:p>
        </w:tc>
        <w:tc>
          <w:tcPr>
            <w:tcW w:w="4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Computation of Ratio of Earnings to Fixed Charges.</w:t>
            </w:r>
          </w:p>
        </w:tc>
        <w:tc>
          <w:tcPr>
            <w:tcW w:w="80" w:type="dxa"/>
            <w:vAlign w:val="bottom"/>
            <w:tcBorders>
              <w:top w:val="single" w:sz="8" w:color="auto"/>
            </w:tcBorders>
          </w:tcPr>
          <w:p>
            <w:pPr>
              <w:spacing w:after="0"/>
              <w:rPr>
                <w:sz w:val="15"/>
                <w:szCs w:val="15"/>
                <w:color w:val="auto"/>
              </w:rPr>
            </w:pPr>
          </w:p>
        </w:tc>
        <w:tc>
          <w:tcPr>
            <w:tcW w:w="4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31.1</w:t>
            </w:r>
          </w:p>
        </w:tc>
        <w:tc>
          <w:tcPr>
            <w:tcW w:w="90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Certification Pursuant to Rule 15d —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31.2</w:t>
            </w:r>
          </w:p>
        </w:tc>
        <w:tc>
          <w:tcPr>
            <w:tcW w:w="90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Certification Pursuant to Rule 15d —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480" w:type="dxa"/>
            <w:vAlign w:val="bottom"/>
          </w:tcPr>
          <w:p>
            <w:pPr>
              <w:spacing w:after="0"/>
              <w:rPr>
                <w:sz w:val="13"/>
                <w:szCs w:val="13"/>
                <w:color w:val="auto"/>
              </w:rPr>
            </w:pPr>
          </w:p>
        </w:tc>
        <w:tc>
          <w:tcPr>
            <w:tcW w:w="906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Officer.</w:t>
            </w:r>
          </w:p>
        </w:tc>
        <w:tc>
          <w:tcPr>
            <w:tcW w:w="0" w:type="dxa"/>
            <w:vAlign w:val="bottom"/>
          </w:tcPr>
          <w:p>
            <w:pPr>
              <w:spacing w:after="0"/>
              <w:rPr>
                <w:sz w:val="1"/>
                <w:szCs w:val="1"/>
                <w:color w:val="auto"/>
              </w:rPr>
            </w:pPr>
          </w:p>
        </w:tc>
      </w:tr>
      <w:tr>
        <w:trPr>
          <w:trHeight w:val="157"/>
        </w:trPr>
        <w:tc>
          <w:tcPr>
            <w:tcW w:w="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32.1</w:t>
            </w:r>
          </w:p>
        </w:tc>
        <w:tc>
          <w:tcPr>
            <w:tcW w:w="90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Certification Pursuant to 18 U.S.C. §1350 of David P. Steiner, Chief Executive Officer.</w:t>
            </w:r>
          </w:p>
        </w:tc>
        <w:tc>
          <w:tcPr>
            <w:tcW w:w="0" w:type="dxa"/>
            <w:vAlign w:val="bottom"/>
          </w:tcPr>
          <w:p>
            <w:pPr>
              <w:spacing w:after="0"/>
              <w:rPr>
                <w:sz w:val="1"/>
                <w:szCs w:val="1"/>
                <w:color w:val="auto"/>
              </w:rPr>
            </w:pPr>
          </w:p>
        </w:tc>
      </w:tr>
      <w:tr>
        <w:trPr>
          <w:trHeight w:val="171"/>
        </w:trPr>
        <w:tc>
          <w:tcPr>
            <w:tcW w:w="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32.2</w:t>
            </w:r>
          </w:p>
        </w:tc>
        <w:tc>
          <w:tcPr>
            <w:tcW w:w="90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452"/>
        </w:trPr>
        <w:tc>
          <w:tcPr>
            <w:tcW w:w="480" w:type="dxa"/>
            <w:vAlign w:val="bottom"/>
          </w:tcPr>
          <w:p>
            <w:pPr>
              <w:spacing w:after="0"/>
              <w:rPr>
                <w:sz w:val="24"/>
                <w:szCs w:val="24"/>
                <w:color w:val="auto"/>
              </w:rPr>
            </w:pPr>
          </w:p>
        </w:tc>
        <w:tc>
          <w:tcPr>
            <w:tcW w:w="4840" w:type="dxa"/>
            <w:vAlign w:val="bottom"/>
          </w:tcPr>
          <w:p>
            <w:pPr>
              <w:ind w:left="4360"/>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40"/>
          </w:cols>
          <w:pgMar w:left="1000" w:top="744" w:right="1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3"/>
          <w:szCs w:val="13"/>
          <w:b w:val="1"/>
          <w:bCs w:val="1"/>
          <w:color w:val="auto"/>
        </w:rPr>
        <w:t>EXHIBIT 12</w:t>
      </w:r>
    </w:p>
    <w:p>
      <w:pPr>
        <w:spacing w:after="0" w:line="25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b w:val="1"/>
          <w:bCs w:val="1"/>
          <w:color w:val="auto"/>
        </w:rPr>
        <w:t>COMPUTATION OF RATIO OF EARNINGS TO FIXED CHARGES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86"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1300" w:type="dxa"/>
            <w:vAlign w:val="bottom"/>
          </w:tcPr>
          <w:p>
            <w:pPr>
              <w:spacing w:after="0"/>
              <w:rPr>
                <w:sz w:val="8"/>
                <w:szCs w:val="8"/>
                <w:color w:val="auto"/>
              </w:rPr>
            </w:pPr>
          </w:p>
        </w:tc>
        <w:tc>
          <w:tcPr>
            <w:tcW w:w="74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2008</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2007</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 losses in equity investments and minority interests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368</w:t>
            </w:r>
          </w:p>
        </w:tc>
      </w:tr>
      <w:tr>
        <w:trPr>
          <w:trHeight w:val="157"/>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Fixed charges deducted from income:</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135</w:t>
            </w:r>
          </w:p>
        </w:tc>
      </w:tr>
      <w:tr>
        <w:trPr>
          <w:trHeight w:val="157"/>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Implicit interest in rents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w:t>
            </w:r>
          </w:p>
        </w:tc>
      </w:tr>
      <w:tr>
        <w:trPr>
          <w:trHeight w:val="20"/>
        </w:trPr>
        <w:tc>
          <w:tcPr>
            <w:tcW w:w="13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7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155</w:t>
            </w:r>
          </w:p>
        </w:tc>
      </w:tr>
      <w:tr>
        <w:trPr>
          <w:trHeight w:val="171"/>
        </w:trPr>
        <w:tc>
          <w:tcPr>
            <w:tcW w:w="87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Earnings available for fixed charges(a)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100" w:type="dxa"/>
            <w:vAlign w:val="bottom"/>
          </w:tcPr>
          <w:p>
            <w:pPr>
              <w:spacing w:after="0"/>
              <w:rPr>
                <w:sz w:val="14"/>
                <w:szCs w:val="14"/>
                <w:color w:val="auto"/>
              </w:rPr>
            </w:pPr>
          </w:p>
        </w:tc>
      </w:tr>
      <w:tr>
        <w:trPr>
          <w:trHeight w:val="16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135</w:t>
            </w:r>
          </w:p>
        </w:tc>
      </w:tr>
      <w:tr>
        <w:trPr>
          <w:trHeight w:val="157"/>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Capitalized interest</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r>
      <w:tr>
        <w:trPr>
          <w:trHeight w:val="157"/>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Implicit interest in rents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w:t>
            </w:r>
          </w:p>
        </w:tc>
      </w:tr>
      <w:tr>
        <w:trPr>
          <w:trHeight w:val="171"/>
        </w:trPr>
        <w:tc>
          <w:tcPr>
            <w:tcW w:w="87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fixed charges(a)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tcPr>
          <w:p>
            <w:pPr>
              <w:spacing w:after="0"/>
              <w:rPr>
                <w:sz w:val="14"/>
                <w:szCs w:val="14"/>
                <w:color w:val="auto"/>
              </w:rPr>
            </w:pPr>
          </w:p>
        </w:tc>
      </w:tr>
      <w:tr>
        <w:trPr>
          <w:trHeight w:val="172"/>
        </w:trPr>
        <w:tc>
          <w:tcPr>
            <w:tcW w:w="8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Ratio of earnings to fixed charges</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3.9x</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3.3x</w:t>
            </w:r>
          </w:p>
        </w:tc>
      </w:tr>
      <w:tr>
        <w:trPr>
          <w:trHeight w:val="108"/>
        </w:trPr>
        <w:tc>
          <w:tcPr>
            <w:tcW w:w="1300" w:type="dxa"/>
            <w:vAlign w:val="bottom"/>
            <w:tcBorders>
              <w:bottom w:val="single" w:sz="8" w:color="auto"/>
            </w:tcBorders>
          </w:tcPr>
          <w:p>
            <w:pPr>
              <w:spacing w:after="0"/>
              <w:rPr>
                <w:sz w:val="9"/>
                <w:szCs w:val="9"/>
                <w:color w:val="auto"/>
              </w:rPr>
            </w:pPr>
          </w:p>
        </w:tc>
        <w:tc>
          <w:tcPr>
            <w:tcW w:w="7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500" w:right="80" w:hanging="493"/>
        <w:spacing w:after="0" w:line="269" w:lineRule="auto"/>
        <w:tabs>
          <w:tab w:leader="none" w:pos="5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interest may be assessed by taxing authorities on any underpayment of income tax, such amounts are classified as a component of income tax expense in our Statements of Operations. For purposes of this disclosure, we have elected to exclude interest expense related to income tax matters from our measurements of “Earnings available for fixed charges” and “Total fixed charges” for all periods presented.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980"/>
          </w:cols>
          <w:pgMar w:left="900" w:top="724" w:right="10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CERTIFICATION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David P. Steiner, certify that:</w:t>
      </w:r>
    </w:p>
    <w:p>
      <w:pPr>
        <w:spacing w:after="0" w:line="96" w:lineRule="exact"/>
        <w:rPr>
          <w:sz w:val="20"/>
          <w:szCs w:val="20"/>
          <w:color w:val="auto"/>
        </w:rPr>
      </w:pPr>
    </w:p>
    <w:p>
      <w:pPr>
        <w:ind w:left="540" w:hanging="134"/>
        <w:spacing w:after="0"/>
        <w:tabs>
          <w:tab w:leader="none" w:pos="5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Waste Management, Inc.;</w:t>
      </w:r>
    </w:p>
    <w:p>
      <w:pPr>
        <w:spacing w:after="0" w:line="96" w:lineRule="exact"/>
        <w:rPr>
          <w:rFonts w:ascii="Times New Roman" w:cs="Times New Roman" w:eastAsia="Times New Roman" w:hAnsi="Times New Roman"/>
          <w:sz w:val="13"/>
          <w:szCs w:val="13"/>
          <w:color w:val="auto"/>
        </w:rPr>
      </w:pPr>
    </w:p>
    <w:p>
      <w:pPr>
        <w:ind w:right="140" w:firstLine="406"/>
        <w:spacing w:after="0" w:line="286" w:lineRule="auto"/>
        <w:tabs>
          <w:tab w:leader="none" w:pos="53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Times New Roman" w:cs="Times New Roman" w:eastAsia="Times New Roman" w:hAnsi="Times New Roman"/>
          <w:sz w:val="13"/>
          <w:szCs w:val="13"/>
          <w:color w:val="auto"/>
        </w:rPr>
      </w:pPr>
    </w:p>
    <w:p>
      <w:pPr>
        <w:ind w:right="220" w:firstLine="406"/>
        <w:spacing w:after="0" w:line="286" w:lineRule="auto"/>
        <w:tabs>
          <w:tab w:leader="none" w:pos="53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Times New Roman" w:cs="Times New Roman" w:eastAsia="Times New Roman" w:hAnsi="Times New Roman"/>
          <w:sz w:val="13"/>
          <w:szCs w:val="13"/>
          <w:color w:val="auto"/>
        </w:rPr>
      </w:pPr>
    </w:p>
    <w:p>
      <w:pPr>
        <w:ind w:right="20" w:firstLine="406"/>
        <w:spacing w:after="0" w:line="286" w:lineRule="auto"/>
        <w:tabs>
          <w:tab w:leader="none" w:pos="528"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6" w:lineRule="exact"/>
        <w:rPr>
          <w:rFonts w:ascii="Times New Roman" w:cs="Times New Roman" w:eastAsia="Times New Roman" w:hAnsi="Times New Roman"/>
          <w:sz w:val="13"/>
          <w:szCs w:val="13"/>
          <w:color w:val="auto"/>
        </w:rPr>
      </w:pPr>
    </w:p>
    <w:p>
      <w:pPr>
        <w:ind w:left="920" w:hanging="131"/>
        <w:spacing w:after="0"/>
        <w:tabs>
          <w:tab w:leader="none" w:pos="920"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w:t>
      </w:r>
    </w:p>
    <w:p>
      <w:pPr>
        <w:spacing w:after="0" w:line="21" w:lineRule="exact"/>
        <w:rPr>
          <w:rFonts w:ascii="Times New Roman" w:cs="Times New Roman" w:eastAsia="Times New Roman" w:hAnsi="Times New Roman"/>
          <w:sz w:val="13"/>
          <w:szCs w:val="13"/>
          <w:color w:val="auto"/>
        </w:rPr>
      </w:pPr>
    </w:p>
    <w:p>
      <w:pPr>
        <w:ind w:left="400" w:right="8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3"/>
          <w:szCs w:val="13"/>
          <w:color w:val="auto"/>
        </w:rPr>
      </w:pPr>
    </w:p>
    <w:p>
      <w:pPr>
        <w:ind w:left="400" w:right="20" w:firstLine="389"/>
        <w:spacing w:after="0" w:line="286" w:lineRule="auto"/>
        <w:tabs>
          <w:tab w:leader="none" w:pos="914"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3"/>
          <w:szCs w:val="13"/>
          <w:color w:val="auto"/>
        </w:rPr>
      </w:pPr>
    </w:p>
    <w:p>
      <w:pPr>
        <w:ind w:left="400" w:right="420" w:firstLine="389"/>
        <w:spacing w:after="0" w:line="286" w:lineRule="auto"/>
        <w:tabs>
          <w:tab w:leader="none" w:pos="907"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3"/>
          <w:szCs w:val="13"/>
          <w:color w:val="auto"/>
        </w:rPr>
      </w:pPr>
    </w:p>
    <w:p>
      <w:pPr>
        <w:ind w:left="400" w:right="80" w:firstLine="389"/>
        <w:spacing w:after="0" w:line="286" w:lineRule="auto"/>
        <w:tabs>
          <w:tab w:leader="none" w:pos="914"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6" w:lineRule="exact"/>
        <w:rPr>
          <w:rFonts w:ascii="Times New Roman" w:cs="Times New Roman" w:eastAsia="Times New Roman" w:hAnsi="Times New Roman"/>
          <w:sz w:val="13"/>
          <w:szCs w:val="13"/>
          <w:color w:val="auto"/>
        </w:rPr>
      </w:pPr>
    </w:p>
    <w:p>
      <w:pPr>
        <w:ind w:right="120" w:firstLine="406"/>
        <w:spacing w:after="0" w:line="286" w:lineRule="auto"/>
        <w:tabs>
          <w:tab w:leader="none" w:pos="528"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6" w:lineRule="exact"/>
        <w:rPr>
          <w:rFonts w:ascii="Times New Roman" w:cs="Times New Roman" w:eastAsia="Times New Roman" w:hAnsi="Times New Roman"/>
          <w:sz w:val="13"/>
          <w:szCs w:val="13"/>
          <w:color w:val="auto"/>
        </w:rPr>
      </w:pPr>
    </w:p>
    <w:p>
      <w:pPr>
        <w:ind w:left="400" w:right="20" w:firstLine="389"/>
        <w:spacing w:after="0" w:line="286" w:lineRule="auto"/>
        <w:tabs>
          <w:tab w:leader="none" w:pos="907"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13"/>
          <w:szCs w:val="13"/>
          <w:color w:val="auto"/>
        </w:rPr>
      </w:pPr>
    </w:p>
    <w:p>
      <w:pPr>
        <w:ind w:left="920" w:hanging="131"/>
        <w:spacing w:after="0"/>
        <w:tabs>
          <w:tab w:leader="none" w:pos="920"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p>
      <w:pPr>
        <w:ind w:left="4900"/>
        <w:spacing w:after="0"/>
        <w:tabs>
          <w:tab w:leader="none" w:pos="5280" w:val="left"/>
        </w:tabs>
        <w:rPr>
          <w:sz w:val="20"/>
          <w:szCs w:val="20"/>
          <w:color w:val="auto"/>
        </w:rPr>
      </w:pPr>
      <w:r>
        <w:rPr>
          <w:rFonts w:ascii="Times New Roman" w:cs="Times New Roman" w:eastAsia="Times New Roman" w:hAnsi="Times New Roman"/>
          <w:sz w:val="13"/>
          <w:szCs w:val="13"/>
          <w:color w:val="auto"/>
        </w:rPr>
        <w:t>By:</w:t>
        <w:tab/>
        <w:t>/s/ David P. Steiner</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-92710</wp:posOffset>
            </wp:positionV>
            <wp:extent cx="353377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i w:val="1"/>
          <w:iCs w:val="1"/>
          <w:color w:val="auto"/>
        </w:rPr>
        <w:t>Chief Executive Officer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April 29, 2008</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980"/>
          </w:cols>
          <w:pgMar w:left="900" w:top="724" w:right="10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CERTIFICATION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Robert G. Simpson, certify that:</w:t>
      </w:r>
    </w:p>
    <w:p>
      <w:pPr>
        <w:spacing w:after="0" w:line="96" w:lineRule="exact"/>
        <w:rPr>
          <w:sz w:val="20"/>
          <w:szCs w:val="20"/>
          <w:color w:val="auto"/>
        </w:rPr>
      </w:pPr>
    </w:p>
    <w:p>
      <w:pPr>
        <w:ind w:left="540" w:hanging="134"/>
        <w:spacing w:after="0"/>
        <w:tabs>
          <w:tab w:leader="none" w:pos="5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Waste Management, Inc.;</w:t>
      </w:r>
    </w:p>
    <w:p>
      <w:pPr>
        <w:spacing w:after="0" w:line="96" w:lineRule="exact"/>
        <w:rPr>
          <w:rFonts w:ascii="Times New Roman" w:cs="Times New Roman" w:eastAsia="Times New Roman" w:hAnsi="Times New Roman"/>
          <w:sz w:val="13"/>
          <w:szCs w:val="13"/>
          <w:color w:val="auto"/>
        </w:rPr>
      </w:pPr>
    </w:p>
    <w:p>
      <w:pPr>
        <w:ind w:right="140" w:firstLine="406"/>
        <w:spacing w:after="0" w:line="286" w:lineRule="auto"/>
        <w:tabs>
          <w:tab w:leader="none" w:pos="53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Times New Roman" w:cs="Times New Roman" w:eastAsia="Times New Roman" w:hAnsi="Times New Roman"/>
          <w:sz w:val="13"/>
          <w:szCs w:val="13"/>
          <w:color w:val="auto"/>
        </w:rPr>
      </w:pPr>
    </w:p>
    <w:p>
      <w:pPr>
        <w:ind w:right="220" w:firstLine="406"/>
        <w:spacing w:after="0" w:line="286" w:lineRule="auto"/>
        <w:tabs>
          <w:tab w:leader="none" w:pos="53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Times New Roman" w:cs="Times New Roman" w:eastAsia="Times New Roman" w:hAnsi="Times New Roman"/>
          <w:sz w:val="13"/>
          <w:szCs w:val="13"/>
          <w:color w:val="auto"/>
        </w:rPr>
      </w:pPr>
    </w:p>
    <w:p>
      <w:pPr>
        <w:ind w:right="20" w:firstLine="406"/>
        <w:spacing w:after="0" w:line="286" w:lineRule="auto"/>
        <w:tabs>
          <w:tab w:leader="none" w:pos="528"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6" w:lineRule="exact"/>
        <w:rPr>
          <w:rFonts w:ascii="Times New Roman" w:cs="Times New Roman" w:eastAsia="Times New Roman" w:hAnsi="Times New Roman"/>
          <w:sz w:val="13"/>
          <w:szCs w:val="13"/>
          <w:color w:val="auto"/>
        </w:rPr>
      </w:pPr>
    </w:p>
    <w:p>
      <w:pPr>
        <w:ind w:left="920" w:hanging="131"/>
        <w:spacing w:after="0"/>
        <w:tabs>
          <w:tab w:leader="none" w:pos="92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w:t>
      </w:r>
    </w:p>
    <w:p>
      <w:pPr>
        <w:spacing w:after="0" w:line="21" w:lineRule="exact"/>
        <w:rPr>
          <w:rFonts w:ascii="Times New Roman" w:cs="Times New Roman" w:eastAsia="Times New Roman" w:hAnsi="Times New Roman"/>
          <w:sz w:val="13"/>
          <w:szCs w:val="13"/>
          <w:color w:val="auto"/>
        </w:rPr>
      </w:pPr>
    </w:p>
    <w:p>
      <w:pPr>
        <w:ind w:left="400" w:right="8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3"/>
          <w:szCs w:val="13"/>
          <w:color w:val="auto"/>
        </w:rPr>
      </w:pPr>
    </w:p>
    <w:p>
      <w:pPr>
        <w:ind w:left="400" w:right="20" w:firstLine="389"/>
        <w:spacing w:after="0" w:line="286" w:lineRule="auto"/>
        <w:tabs>
          <w:tab w:leader="none" w:pos="914"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3"/>
          <w:szCs w:val="13"/>
          <w:color w:val="auto"/>
        </w:rPr>
      </w:pPr>
    </w:p>
    <w:p>
      <w:pPr>
        <w:ind w:left="400" w:right="420" w:firstLine="389"/>
        <w:spacing w:after="0" w:line="286" w:lineRule="auto"/>
        <w:tabs>
          <w:tab w:leader="none" w:pos="907"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3"/>
          <w:szCs w:val="13"/>
          <w:color w:val="auto"/>
        </w:rPr>
      </w:pPr>
    </w:p>
    <w:p>
      <w:pPr>
        <w:ind w:left="400" w:right="80" w:firstLine="389"/>
        <w:spacing w:after="0" w:line="286" w:lineRule="auto"/>
        <w:tabs>
          <w:tab w:leader="none" w:pos="914"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6" w:lineRule="exact"/>
        <w:rPr>
          <w:rFonts w:ascii="Times New Roman" w:cs="Times New Roman" w:eastAsia="Times New Roman" w:hAnsi="Times New Roman"/>
          <w:sz w:val="13"/>
          <w:szCs w:val="13"/>
          <w:color w:val="auto"/>
        </w:rPr>
      </w:pPr>
    </w:p>
    <w:p>
      <w:pPr>
        <w:ind w:right="120" w:firstLine="406"/>
        <w:spacing w:after="0" w:line="286" w:lineRule="auto"/>
        <w:tabs>
          <w:tab w:leader="none" w:pos="528"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6" w:lineRule="exact"/>
        <w:rPr>
          <w:rFonts w:ascii="Times New Roman" w:cs="Times New Roman" w:eastAsia="Times New Roman" w:hAnsi="Times New Roman"/>
          <w:sz w:val="13"/>
          <w:szCs w:val="13"/>
          <w:color w:val="auto"/>
        </w:rPr>
      </w:pPr>
    </w:p>
    <w:p>
      <w:pPr>
        <w:ind w:left="400" w:right="20" w:firstLine="389"/>
        <w:spacing w:after="0" w:line="286" w:lineRule="auto"/>
        <w:tabs>
          <w:tab w:leader="none" w:pos="907"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13"/>
          <w:szCs w:val="13"/>
          <w:color w:val="auto"/>
        </w:rPr>
      </w:pPr>
    </w:p>
    <w:p>
      <w:pPr>
        <w:ind w:left="920" w:hanging="131"/>
        <w:spacing w:after="0"/>
        <w:tabs>
          <w:tab w:leader="none" w:pos="92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p>
      <w:pPr>
        <w:ind w:left="4900"/>
        <w:spacing w:after="0"/>
        <w:tabs>
          <w:tab w:leader="none" w:pos="5280" w:val="left"/>
        </w:tabs>
        <w:rPr>
          <w:sz w:val="20"/>
          <w:szCs w:val="20"/>
          <w:color w:val="auto"/>
        </w:rPr>
      </w:pPr>
      <w:r>
        <w:rPr>
          <w:rFonts w:ascii="Times New Roman" w:cs="Times New Roman" w:eastAsia="Times New Roman" w:hAnsi="Times New Roman"/>
          <w:sz w:val="13"/>
          <w:szCs w:val="13"/>
          <w:color w:val="auto"/>
        </w:rPr>
        <w:t>By:</w:t>
        <w:tab/>
        <w:t>/s/ Robert G. Simpson</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auto"/>
        </w:rPr>
        <w:t>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-92710</wp:posOffset>
            </wp:positionV>
            <wp:extent cx="353377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i w:val="1"/>
          <w:iCs w:val="1"/>
          <w:color w:val="auto"/>
        </w:rPr>
        <w:t>Senior Vice President and Chief Financial Officer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April 29, 2008</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980"/>
          </w:cols>
          <w:pgMar w:left="900" w:top="724" w:right="10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83" w:lineRule="exact"/>
        <w:rPr>
          <w:sz w:val="20"/>
          <w:szCs w:val="20"/>
          <w:color w:val="auto"/>
        </w:rPr>
      </w:pPr>
    </w:p>
    <w:p>
      <w:pPr>
        <w:ind w:right="120" w:firstLine="399"/>
        <w:spacing w:after="0" w:line="269" w:lineRule="auto"/>
        <w:rPr>
          <w:sz w:val="20"/>
          <w:szCs w:val="20"/>
          <w:color w:val="auto"/>
        </w:rPr>
      </w:pPr>
      <w:r>
        <w:rPr>
          <w:rFonts w:ascii="Times New Roman" w:cs="Times New Roman" w:eastAsia="Times New Roman" w:hAnsi="Times New Roman"/>
          <w:sz w:val="13"/>
          <w:szCs w:val="13"/>
          <w:color w:val="auto"/>
        </w:rPr>
        <w:t>In connection with the Quarterly Report of Waste Management, Inc. (the “Company”) on Form 10-Q for the period ended March 31, 2008 as filed with the Securities and Exchange Commission on the date hereof (the “Report”), I, David P. Steiner, Chief Executive Officer of the Company, certify, pursuant to 18 U.S.C. § 1350, as adopted pursuant to § 906 of the Sarbanes-Oxley Act of 2002, that:</w:t>
      </w:r>
    </w:p>
    <w:p>
      <w:pPr>
        <w:spacing w:after="0" w:line="58" w:lineRule="exact"/>
        <w:rPr>
          <w:sz w:val="20"/>
          <w:szCs w:val="20"/>
          <w:color w:val="auto"/>
        </w:rPr>
      </w:pPr>
    </w:p>
    <w:p>
      <w:pPr>
        <w:ind w:left="980" w:hanging="191"/>
        <w:spacing w:after="0"/>
        <w:tabs>
          <w:tab w:leader="none" w:pos="9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96" w:lineRule="exact"/>
        <w:rPr>
          <w:rFonts w:ascii="Times New Roman" w:cs="Times New Roman" w:eastAsia="Times New Roman" w:hAnsi="Times New Roman"/>
          <w:sz w:val="13"/>
          <w:szCs w:val="13"/>
          <w:color w:val="auto"/>
        </w:rPr>
      </w:pPr>
    </w:p>
    <w:p>
      <w:pPr>
        <w:ind w:left="980" w:hanging="191"/>
        <w:spacing w:after="0"/>
        <w:tabs>
          <w:tab w:leader="none" w:pos="9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9" w:lineRule="exact"/>
        <w:rPr>
          <w:sz w:val="20"/>
          <w:szCs w:val="20"/>
          <w:color w:val="auto"/>
        </w:rPr>
      </w:pPr>
    </w:p>
    <w:p>
      <w:pPr>
        <w:ind w:left="4900"/>
        <w:spacing w:after="0"/>
        <w:tabs>
          <w:tab w:leader="none" w:pos="5280" w:val="left"/>
        </w:tabs>
        <w:rPr>
          <w:sz w:val="20"/>
          <w:szCs w:val="20"/>
          <w:color w:val="auto"/>
        </w:rPr>
      </w:pPr>
      <w:r>
        <w:rPr>
          <w:rFonts w:ascii="Times New Roman" w:cs="Times New Roman" w:eastAsia="Times New Roman" w:hAnsi="Times New Roman"/>
          <w:sz w:val="13"/>
          <w:szCs w:val="13"/>
          <w:color w:val="auto"/>
        </w:rPr>
        <w:t>By:</w:t>
        <w:tab/>
        <w:t>/s/ David P. Steiner</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-92710</wp:posOffset>
            </wp:positionV>
            <wp:extent cx="353377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i w:val="1"/>
          <w:iCs w:val="1"/>
          <w:color w:val="auto"/>
        </w:rPr>
        <w:t>Chief Executive Officer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29, 2008</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980"/>
          </w:cols>
          <w:pgMar w:left="900" w:top="724" w:right="10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83" w:lineRule="exact"/>
        <w:rPr>
          <w:sz w:val="20"/>
          <w:szCs w:val="20"/>
          <w:color w:val="auto"/>
        </w:rPr>
      </w:pPr>
    </w:p>
    <w:p>
      <w:pPr>
        <w:ind w:right="120" w:firstLine="399"/>
        <w:spacing w:after="0" w:line="269" w:lineRule="auto"/>
        <w:rPr>
          <w:sz w:val="20"/>
          <w:szCs w:val="20"/>
          <w:color w:val="auto"/>
        </w:rPr>
      </w:pPr>
      <w:r>
        <w:rPr>
          <w:rFonts w:ascii="Times New Roman" w:cs="Times New Roman" w:eastAsia="Times New Roman" w:hAnsi="Times New Roman"/>
          <w:sz w:val="13"/>
          <w:szCs w:val="13"/>
          <w:color w:val="auto"/>
        </w:rPr>
        <w:t>In connection with the Quarterly Report of Waste Management, Inc. (the “Company”) on Form 10-Q for the period ended March 31, 2008 as filed with the Securities and Exchange Commission on the date hereof (the “Report”), I, Robert G. Simpson, Chief Financial Officer of the Company, certify, pursuant to 18 U.S.C. § 1350, as adopted pursuant to § 906 of the Sarbanes-Oxley Act of 2002, that:</w:t>
      </w:r>
    </w:p>
    <w:p>
      <w:pPr>
        <w:spacing w:after="0" w:line="58" w:lineRule="exact"/>
        <w:rPr>
          <w:sz w:val="20"/>
          <w:szCs w:val="20"/>
          <w:color w:val="auto"/>
        </w:rPr>
      </w:pPr>
    </w:p>
    <w:p>
      <w:pPr>
        <w:ind w:left="980" w:hanging="191"/>
        <w:spacing w:after="0"/>
        <w:tabs>
          <w:tab w:leader="none" w:pos="9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96" w:lineRule="exact"/>
        <w:rPr>
          <w:rFonts w:ascii="Times New Roman" w:cs="Times New Roman" w:eastAsia="Times New Roman" w:hAnsi="Times New Roman"/>
          <w:sz w:val="13"/>
          <w:szCs w:val="13"/>
          <w:color w:val="auto"/>
        </w:rPr>
      </w:pPr>
    </w:p>
    <w:p>
      <w:pPr>
        <w:ind w:left="980" w:hanging="191"/>
        <w:spacing w:after="0"/>
        <w:tabs>
          <w:tab w:leader="none" w:pos="9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9" w:lineRule="exact"/>
        <w:rPr>
          <w:sz w:val="20"/>
          <w:szCs w:val="20"/>
          <w:color w:val="auto"/>
        </w:rPr>
      </w:pPr>
    </w:p>
    <w:p>
      <w:pPr>
        <w:ind w:left="4900"/>
        <w:spacing w:after="0"/>
        <w:tabs>
          <w:tab w:leader="none" w:pos="5280" w:val="left"/>
        </w:tabs>
        <w:rPr>
          <w:sz w:val="20"/>
          <w:szCs w:val="20"/>
          <w:color w:val="auto"/>
        </w:rPr>
      </w:pPr>
      <w:r>
        <w:rPr>
          <w:rFonts w:ascii="Times New Roman" w:cs="Times New Roman" w:eastAsia="Times New Roman" w:hAnsi="Times New Roman"/>
          <w:sz w:val="13"/>
          <w:szCs w:val="13"/>
          <w:color w:val="auto"/>
        </w:rPr>
        <w:t>By:</w:t>
        <w:tab/>
        <w:t>/s/ Robert G. Simpson</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auto"/>
        </w:rPr>
        <w:t>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-92710</wp:posOffset>
            </wp:positionV>
            <wp:extent cx="353377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i w:val="1"/>
          <w:iCs w:val="1"/>
          <w:color w:val="auto"/>
        </w:rPr>
        <w:t>Senior Vice President and Chief Financial Officer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29, 2008</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sectPr>
      <w:pgSz w:w="11900" w:h="16838" w:orient="portrait"/>
      <w:cols w:equalWidth="0" w:num="1">
        <w:col w:w="9980"/>
      </w:cols>
      <w:pgMar w:left="900" w:top="724"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3"/>
    </w:lvl>
    <w:lvl w:ilvl="1">
      <w:lvlJc w:val="left"/>
      <w:lvlText w:val="•"/>
      <w:numFmt w:val="bullet"/>
      <w:start w:val="1"/>
    </w:lvl>
  </w:abstractNum>
  <w:abstractNum w:abstractNumId="6">
    <w:nsid w:val="628C895D"/>
    <w:multiLevelType w:val="hybridMultilevel"/>
    <w:lvl w:ilvl="0">
      <w:lvlJc w:val="left"/>
      <w:lvlText w:val="%1."/>
      <w:numFmt w:val="decimal"/>
      <w:start w:val="6"/>
    </w:lvl>
  </w:abstractNum>
  <w:abstractNum w:abstractNumId="7">
    <w:nsid w:val="333AB105"/>
    <w:multiLevelType w:val="hybridMultilevel"/>
    <w:lvl w:ilvl="0">
      <w:lvlJc w:val="left"/>
      <w:lvlText w:val="%1."/>
      <w:numFmt w:val="decimal"/>
      <w:start w:val="7"/>
    </w:lvl>
  </w:abstractNum>
  <w:abstractNum w:abstractNumId="8">
    <w:nsid w:val="721DA317"/>
    <w:multiLevelType w:val="hybridMultilevel"/>
    <w:lvl w:ilvl="0">
      <w:lvlJc w:val="left"/>
      <w:lvlText w:val="%1."/>
      <w:numFmt w:val="decimal"/>
      <w:start w:val="8"/>
    </w:lvl>
  </w:abstractNum>
  <w:abstractNum w:abstractNumId="9">
    <w:nsid w:val="2443A858"/>
    <w:multiLevelType w:val="hybridMultilevel"/>
    <w:lvl w:ilvl="0">
      <w:lvlJc w:val="left"/>
      <w:lvlText w:val="%1."/>
      <w:numFmt w:val="decimal"/>
      <w:start w:val="9"/>
    </w:lvl>
  </w:abstractNum>
  <w:abstractNum w:abstractNumId="10">
    <w:nsid w:val="2D1D5AE9"/>
    <w:multiLevelType w:val="hybridMultilevel"/>
    <w:lvl w:ilvl="0">
      <w:lvlJc w:val="left"/>
      <w:lvlText w:val="%1."/>
      <w:numFmt w:val="decimal"/>
      <w:start w:val="9"/>
    </w:lvl>
    <w:lvl w:ilvl="1">
      <w:lvlJc w:val="left"/>
      <w:lvlText w:val="•"/>
      <w:numFmt w:val="bullet"/>
      <w:start w:val="1"/>
    </w:lvl>
  </w:abstractNum>
  <w:abstractNum w:abstractNumId="11">
    <w:nsid w:val="6763845E"/>
    <w:multiLevelType w:val="hybridMultilevel"/>
    <w:lvl w:ilvl="0">
      <w:lvlJc w:val="left"/>
      <w:lvlText w:val="%1."/>
      <w:numFmt w:val="decimal"/>
      <w:start w:val="11"/>
    </w:lvl>
  </w:abstractNum>
  <w:abstractNum w:abstractNumId="12">
    <w:nsid w:val="75A2A8D4"/>
    <w:multiLevelType w:val="hybridMultilevel"/>
    <w:lvl w:ilvl="0">
      <w:lvlJc w:val="left"/>
      <w:lvlText w:val="%1."/>
      <w:numFmt w:val="decimal"/>
      <w:start w:val="12"/>
    </w:lvl>
  </w:abstractNum>
  <w:abstractNum w:abstractNumId="13">
    <w:nsid w:val="8EDBDAB"/>
    <w:multiLevelType w:val="hybridMultilevel"/>
    <w:lvl w:ilvl="0">
      <w:lvlJc w:val="left"/>
      <w:lvlText w:val="%1."/>
      <w:numFmt w:val="decimal"/>
      <w:start w:val="13"/>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lvl w:ilvl="1">
      <w:lvlJc w:val="left"/>
      <w:lvlText w:val="(%2)"/>
      <w:numFmt w:val="lowerRoman"/>
      <w:start w:val="2"/>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2019-12-20T04:10:01Z</dcterms:created>
  <dcterms:modified xsi:type="dcterms:W3CDTF">2019-12-20T04:10:01Z</dcterms:modified>
</cp:coreProperties>
</file>