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August 24, 2011</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On August 24, 2011, Waste Management, Inc. (the “Company”) commenced an underwritten public offering of $500,000,000 aggregate principal amount of its 2.60% Senior Notes due 2016 (the “Notes”) under the Company’s Registration Statement on Form S-3 (No. 333-162059) (the “Registration Statement”). The Notes, which will be fully and unconditionally guaranteed by the Company’s wholly owned subsidiary Waste Management Holdings, Inc. (“WM Holdings”), were sold pursuant to an underwriting agreement (the “Underwriting Agreement”) entered into on August 24, 2011 among the Company and WM Holdings and Credit Suisse Securities (USA) LLC, J.P. Morgan Securities LLC and Wells Fargo Securities, LLC. as representatives of the several underwriters set forth therein.</w:t>
      </w:r>
    </w:p>
    <w:p>
      <w:pPr>
        <w:spacing w:after="0" w:line="85"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The Underwriting Agreement includes the terms and conditions for the issuance and sale of the Notes, indemnification and contribution obligations and other terms and conditions customary in agreements of this type. Each of the underwriters and their respective affiliates have, from time to time, performed, and may in the future perform, various financial advisory, investment banking and commercial banking services for the Company, for which they have received or will receive customary fees and expense reimbursements.</w:t>
      </w:r>
    </w:p>
    <w:p>
      <w:pPr>
        <w:spacing w:after="0" w:line="79" w:lineRule="exact"/>
        <w:rPr>
          <w:sz w:val="20"/>
          <w:szCs w:val="20"/>
          <w:color w:val="auto"/>
        </w:rPr>
      </w:pPr>
    </w:p>
    <w:p>
      <w:pPr>
        <w:jc w:val="both"/>
        <w:ind w:right="180" w:firstLine="222"/>
        <w:spacing w:after="0" w:line="259" w:lineRule="auto"/>
        <w:rPr>
          <w:sz w:val="20"/>
          <w:szCs w:val="20"/>
          <w:color w:val="auto"/>
        </w:rPr>
      </w:pPr>
      <w:r>
        <w:rPr>
          <w:rFonts w:ascii="Arial" w:cs="Arial" w:eastAsia="Arial" w:hAnsi="Arial"/>
          <w:sz w:val="18"/>
          <w:szCs w:val="18"/>
          <w:color w:val="auto"/>
        </w:rPr>
        <w:t>The Notes will be issued under an indenture dated as of September 10, 1997, between the Company and The Bank of New York Mellon Trust Company, N.A. (the current successor to Texas Commerce Bank National Association), as trustee (the “Indenture”). The terms of the Notes and the guarantee by WM Holdings will be set forth in an officer’s certificate of the Company (the “Officer’s Certificate”) delivered pursuant to the Indenture. Closing of the issuance and sale of the Notes is scheduled to occur on August 29, 2011.</w:t>
      </w:r>
    </w:p>
    <w:p>
      <w:pPr>
        <w:spacing w:after="0" w:line="79" w:lineRule="exact"/>
        <w:rPr>
          <w:sz w:val="20"/>
          <w:szCs w:val="20"/>
          <w:color w:val="auto"/>
        </w:rPr>
      </w:pPr>
    </w:p>
    <w:p>
      <w:pPr>
        <w:ind w:right="820" w:firstLine="225"/>
        <w:spacing w:after="0" w:line="277" w:lineRule="auto"/>
        <w:rPr>
          <w:sz w:val="20"/>
          <w:szCs w:val="20"/>
          <w:color w:val="auto"/>
        </w:rPr>
      </w:pPr>
      <w:r>
        <w:rPr>
          <w:rFonts w:ascii="Arial" w:cs="Arial" w:eastAsia="Arial" w:hAnsi="Arial"/>
          <w:sz w:val="18"/>
          <w:szCs w:val="18"/>
          <w:color w:val="auto"/>
        </w:rPr>
        <w:t>Copies of the Underwriting Agreement, the Indenture, the Officer’s Certificate and the guarantee agreement by WM Holdings are being filed as Exhibit 1.1, 4.1, 4.2 and 4.4 to this Form 8-K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line="231" w:lineRule="auto"/>
        <w:rPr>
          <w:sz w:val="20"/>
          <w:szCs w:val="20"/>
          <w:color w:val="auto"/>
        </w:rPr>
      </w:pPr>
      <w:r>
        <w:rPr>
          <w:rFonts w:ascii="Arial" w:cs="Arial" w:eastAsia="Arial" w:hAnsi="Arial"/>
          <w:sz w:val="14"/>
          <w:szCs w:val="14"/>
          <w:color w:val="auto"/>
        </w:rPr>
        <w:t>Number</w:t>
      </w:r>
    </w:p>
    <w:tbl>
      <w:tblPr>
        <w:tblLayout w:type="fixed"/>
        <w:tblInd w:w="0" w:type="dxa"/>
        <w:tblCellMar>
          <w:top w:w="0" w:type="dxa"/>
          <w:left w:w="0" w:type="dxa"/>
          <w:bottom w:w="0" w:type="dxa"/>
          <w:right w:w="0" w:type="dxa"/>
        </w:tblCellMar>
      </w:tblPr>
      <w:tr>
        <w:trPr>
          <w:trHeight w:val="195"/>
        </w:trPr>
        <w:tc>
          <w:tcPr>
            <w:tcW w:w="820" w:type="dxa"/>
            <w:vAlign w:val="bottom"/>
            <w:tcBorders>
              <w:top w:val="single" w:sz="8" w:color="auto"/>
            </w:tcBorders>
          </w:tcPr>
          <w:p>
            <w:pPr>
              <w:jc w:val="right"/>
              <w:ind w:right="490"/>
              <w:spacing w:after="0" w:line="195" w:lineRule="exact"/>
              <w:rPr>
                <w:sz w:val="20"/>
                <w:szCs w:val="20"/>
                <w:color w:val="auto"/>
              </w:rPr>
            </w:pPr>
            <w:r>
              <w:rPr>
                <w:rFonts w:ascii="Arial" w:cs="Arial" w:eastAsia="Arial" w:hAnsi="Arial"/>
                <w:sz w:val="18"/>
                <w:szCs w:val="18"/>
                <w:color w:val="auto"/>
                <w:w w:val="87"/>
              </w:rPr>
              <w:t>1.1</w:t>
            </w:r>
          </w:p>
        </w:tc>
        <w:tc>
          <w:tcPr>
            <w:tcW w:w="10600" w:type="dxa"/>
            <w:vAlign w:val="bottom"/>
          </w:tcPr>
          <w:p>
            <w:pPr>
              <w:ind w:left="560"/>
              <w:spacing w:after="0" w:line="195" w:lineRule="exact"/>
              <w:rPr>
                <w:sz w:val="20"/>
                <w:szCs w:val="20"/>
                <w:color w:val="auto"/>
              </w:rPr>
            </w:pPr>
            <w:r>
              <w:rPr>
                <w:rFonts w:ascii="Arial" w:cs="Arial" w:eastAsia="Arial" w:hAnsi="Arial"/>
                <w:sz w:val="18"/>
                <w:szCs w:val="18"/>
                <w:color w:val="auto"/>
                <w:w w:val="91"/>
              </w:rPr>
              <w:t>Underwriting Agreement dated August 24, 2011 by and among the Company, WM Holdings and Credit Suisse Securities (USA) LLC, J.P.</w:t>
            </w:r>
          </w:p>
        </w:tc>
      </w:tr>
      <w:tr>
        <w:trPr>
          <w:trHeight w:val="230"/>
        </w:trPr>
        <w:tc>
          <w:tcPr>
            <w:tcW w:w="820" w:type="dxa"/>
            <w:vAlign w:val="bottom"/>
          </w:tcPr>
          <w:p>
            <w:pPr>
              <w:spacing w:after="0"/>
              <w:rPr>
                <w:sz w:val="20"/>
                <w:szCs w:val="20"/>
                <w:color w:val="auto"/>
              </w:rPr>
            </w:pPr>
          </w:p>
        </w:tc>
        <w:tc>
          <w:tcPr>
            <w:tcW w:w="10600" w:type="dxa"/>
            <w:vAlign w:val="bottom"/>
          </w:tcPr>
          <w:p>
            <w:pPr>
              <w:ind w:left="560"/>
              <w:spacing w:after="0"/>
              <w:rPr>
                <w:sz w:val="20"/>
                <w:szCs w:val="20"/>
                <w:color w:val="auto"/>
              </w:rPr>
            </w:pPr>
            <w:r>
              <w:rPr>
                <w:rFonts w:ascii="Arial" w:cs="Arial" w:eastAsia="Arial" w:hAnsi="Arial"/>
                <w:sz w:val="18"/>
                <w:szCs w:val="18"/>
                <w:color w:val="auto"/>
              </w:rPr>
              <w:t>Morgan Securities LLC and Wells Fargo Securities, LLC as representatives of the several Underwriters named therein.</w:t>
            </w:r>
          </w:p>
        </w:tc>
      </w:tr>
      <w:tr>
        <w:trPr>
          <w:trHeight w:val="418"/>
        </w:trPr>
        <w:tc>
          <w:tcPr>
            <w:tcW w:w="820" w:type="dxa"/>
            <w:vAlign w:val="bottom"/>
          </w:tcPr>
          <w:p>
            <w:pPr>
              <w:jc w:val="right"/>
              <w:ind w:right="490"/>
              <w:spacing w:after="0"/>
              <w:rPr>
                <w:sz w:val="20"/>
                <w:szCs w:val="20"/>
                <w:color w:val="auto"/>
              </w:rPr>
            </w:pPr>
            <w:r>
              <w:rPr>
                <w:rFonts w:ascii="Arial" w:cs="Arial" w:eastAsia="Arial" w:hAnsi="Arial"/>
                <w:sz w:val="18"/>
                <w:szCs w:val="18"/>
                <w:color w:val="auto"/>
                <w:w w:val="87"/>
              </w:rPr>
              <w:t>4.1</w:t>
            </w:r>
          </w:p>
        </w:tc>
        <w:tc>
          <w:tcPr>
            <w:tcW w:w="10600" w:type="dxa"/>
            <w:vAlign w:val="bottom"/>
          </w:tcPr>
          <w:p>
            <w:pPr>
              <w:ind w:left="560"/>
              <w:spacing w:after="0"/>
              <w:rPr>
                <w:sz w:val="20"/>
                <w:szCs w:val="20"/>
                <w:color w:val="auto"/>
              </w:rPr>
            </w:pPr>
            <w:r>
              <w:rPr>
                <w:rFonts w:ascii="Arial" w:cs="Arial" w:eastAsia="Arial" w:hAnsi="Arial"/>
                <w:sz w:val="18"/>
                <w:szCs w:val="18"/>
                <w:color w:val="auto"/>
                <w:w w:val="92"/>
              </w:rPr>
              <w:t>Indenture dated September 10, 1997 by and between the Company and The Bank of New York Mellon Trust Company, N.A. (the current</w:t>
            </w:r>
          </w:p>
        </w:tc>
      </w:tr>
      <w:tr>
        <w:trPr>
          <w:trHeight w:val="216"/>
        </w:trPr>
        <w:tc>
          <w:tcPr>
            <w:tcW w:w="820" w:type="dxa"/>
            <w:vAlign w:val="bottom"/>
          </w:tcPr>
          <w:p>
            <w:pPr>
              <w:spacing w:after="0"/>
              <w:rPr>
                <w:sz w:val="18"/>
                <w:szCs w:val="18"/>
                <w:color w:val="auto"/>
              </w:rPr>
            </w:pPr>
          </w:p>
        </w:tc>
        <w:tc>
          <w:tcPr>
            <w:tcW w:w="10600" w:type="dxa"/>
            <w:vAlign w:val="bottom"/>
          </w:tcPr>
          <w:p>
            <w:pPr>
              <w:ind w:left="560"/>
              <w:spacing w:after="0"/>
              <w:rPr>
                <w:sz w:val="20"/>
                <w:szCs w:val="20"/>
                <w:color w:val="auto"/>
              </w:rPr>
            </w:pPr>
            <w:r>
              <w:rPr>
                <w:rFonts w:ascii="Arial" w:cs="Arial" w:eastAsia="Arial" w:hAnsi="Arial"/>
                <w:sz w:val="18"/>
                <w:szCs w:val="18"/>
                <w:color w:val="auto"/>
                <w:w w:val="91"/>
              </w:rPr>
              <w:t>successor to Texas Commerce Bank National Association), as Trustee, relating to senior debt securities of the Company (incorporated by</w:t>
            </w:r>
          </w:p>
        </w:tc>
      </w:tr>
      <w:tr>
        <w:trPr>
          <w:trHeight w:val="230"/>
        </w:trPr>
        <w:tc>
          <w:tcPr>
            <w:tcW w:w="820" w:type="dxa"/>
            <w:vAlign w:val="bottom"/>
          </w:tcPr>
          <w:p>
            <w:pPr>
              <w:spacing w:after="0"/>
              <w:rPr>
                <w:sz w:val="20"/>
                <w:szCs w:val="20"/>
                <w:color w:val="auto"/>
              </w:rPr>
            </w:pPr>
          </w:p>
        </w:tc>
        <w:tc>
          <w:tcPr>
            <w:tcW w:w="10600" w:type="dxa"/>
            <w:vAlign w:val="bottom"/>
          </w:tcPr>
          <w:p>
            <w:pPr>
              <w:ind w:left="560"/>
              <w:spacing w:after="0"/>
              <w:rPr>
                <w:sz w:val="20"/>
                <w:szCs w:val="20"/>
                <w:color w:val="auto"/>
              </w:rPr>
            </w:pPr>
            <w:r>
              <w:rPr>
                <w:rFonts w:ascii="Arial" w:cs="Arial" w:eastAsia="Arial" w:hAnsi="Arial"/>
                <w:sz w:val="18"/>
                <w:szCs w:val="18"/>
                <w:color w:val="auto"/>
              </w:rPr>
              <w:t>reference to Exhibit 4.1 to Current Report on Form 8-K filed September 24, 1997).</w:t>
            </w:r>
          </w:p>
        </w:tc>
      </w:tr>
      <w:tr>
        <w:trPr>
          <w:trHeight w:val="405"/>
        </w:trPr>
        <w:tc>
          <w:tcPr>
            <w:tcW w:w="820" w:type="dxa"/>
            <w:vAlign w:val="bottom"/>
          </w:tcPr>
          <w:p>
            <w:pPr>
              <w:spacing w:after="0"/>
              <w:rPr>
                <w:sz w:val="24"/>
                <w:szCs w:val="24"/>
                <w:color w:val="auto"/>
              </w:rPr>
            </w:pPr>
          </w:p>
        </w:tc>
        <w:tc>
          <w:tcPr>
            <w:tcW w:w="10600" w:type="dxa"/>
            <w:vAlign w:val="bottom"/>
          </w:tcPr>
          <w:p>
            <w:pPr>
              <w:ind w:left="4840"/>
              <w:spacing w:after="0"/>
              <w:rPr>
                <w:sz w:val="20"/>
                <w:szCs w:val="20"/>
                <w:color w:val="auto"/>
              </w:rPr>
            </w:pPr>
            <w:r>
              <w:rPr>
                <w:rFonts w:ascii="Arial" w:cs="Arial" w:eastAsia="Arial" w:hAnsi="Arial"/>
                <w:sz w:val="18"/>
                <w:szCs w:val="18"/>
                <w:color w:val="auto"/>
              </w:rPr>
              <w:t>2</w:t>
            </w:r>
          </w:p>
        </w:tc>
      </w:tr>
      <w:tr>
        <w:trPr>
          <w:trHeight w:val="226"/>
        </w:trPr>
        <w:tc>
          <w:tcPr>
            <w:tcW w:w="820" w:type="dxa"/>
            <w:vAlign w:val="bottom"/>
            <w:tcBorders>
              <w:bottom w:val="single" w:sz="8" w:color="808080"/>
            </w:tcBorders>
          </w:tcPr>
          <w:p>
            <w:pPr>
              <w:spacing w:after="0"/>
              <w:rPr>
                <w:sz w:val="19"/>
                <w:szCs w:val="19"/>
                <w:color w:val="auto"/>
              </w:rPr>
            </w:pPr>
          </w:p>
        </w:tc>
        <w:tc>
          <w:tcPr>
            <w:tcW w:w="10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auto"/>
        </w:rPr>
        <w:t>Exhibit</w:t>
      </w:r>
    </w:p>
    <w:p>
      <w:pPr>
        <w:spacing w:after="0" w:line="231" w:lineRule="auto"/>
        <w:rPr>
          <w:sz w:val="20"/>
          <w:szCs w:val="20"/>
          <w:color w:val="auto"/>
        </w:rPr>
      </w:pPr>
      <w:r>
        <w:rPr>
          <w:rFonts w:ascii="Arial" w:cs="Arial" w:eastAsia="Arial" w:hAnsi="Arial"/>
          <w:sz w:val="14"/>
          <w:szCs w:val="14"/>
          <w:color w:val="auto"/>
        </w:rPr>
        <w:t>Number</w:t>
      </w:r>
    </w:p>
    <w:tbl>
      <w:tblPr>
        <w:tblLayout w:type="fixed"/>
        <w:tblInd w:w="0" w:type="dxa"/>
        <w:tblCellMar>
          <w:top w:w="0" w:type="dxa"/>
          <w:left w:w="0" w:type="dxa"/>
          <w:bottom w:w="0" w:type="dxa"/>
          <w:right w:w="0" w:type="dxa"/>
        </w:tblCellMar>
      </w:tblPr>
      <w:tr>
        <w:trPr>
          <w:trHeight w:val="230"/>
        </w:trPr>
        <w:tc>
          <w:tcPr>
            <w:tcW w:w="82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87"/>
              </w:rPr>
              <w:t>4.2</w:t>
            </w:r>
          </w:p>
        </w:tc>
        <w:tc>
          <w:tcPr>
            <w:tcW w:w="10600" w:type="dxa"/>
            <w:vAlign w:val="bottom"/>
          </w:tcPr>
          <w:p>
            <w:pPr>
              <w:ind w:left="560"/>
              <w:spacing w:after="0"/>
              <w:rPr>
                <w:sz w:val="20"/>
                <w:szCs w:val="20"/>
                <w:color w:val="auto"/>
              </w:rPr>
            </w:pPr>
            <w:r>
              <w:rPr>
                <w:rFonts w:ascii="Arial" w:cs="Arial" w:eastAsia="Arial" w:hAnsi="Arial"/>
                <w:sz w:val="18"/>
                <w:szCs w:val="18"/>
                <w:color w:val="auto"/>
              </w:rPr>
              <w:t>Form of Officers’ Certificate delivered pursuant to Section 3.01 of the Indenture establishing the terms and form of the Notes.</w:t>
            </w:r>
          </w:p>
        </w:tc>
      </w:tr>
      <w:tr>
        <w:trPr>
          <w:trHeight w:val="411"/>
        </w:trPr>
        <w:tc>
          <w:tcPr>
            <w:tcW w:w="820" w:type="dxa"/>
            <w:vAlign w:val="bottom"/>
          </w:tcPr>
          <w:p>
            <w:pPr>
              <w:jc w:val="right"/>
              <w:ind w:right="490"/>
              <w:spacing w:after="0"/>
              <w:rPr>
                <w:sz w:val="20"/>
                <w:szCs w:val="20"/>
                <w:color w:val="auto"/>
              </w:rPr>
            </w:pPr>
            <w:r>
              <w:rPr>
                <w:rFonts w:ascii="Arial" w:cs="Arial" w:eastAsia="Arial" w:hAnsi="Arial"/>
                <w:sz w:val="18"/>
                <w:szCs w:val="18"/>
                <w:color w:val="auto"/>
                <w:w w:val="87"/>
              </w:rPr>
              <w:t>4.3</w:t>
            </w:r>
          </w:p>
        </w:tc>
        <w:tc>
          <w:tcPr>
            <w:tcW w:w="10600" w:type="dxa"/>
            <w:vAlign w:val="bottom"/>
          </w:tcPr>
          <w:p>
            <w:pPr>
              <w:ind w:left="560"/>
              <w:spacing w:after="0"/>
              <w:rPr>
                <w:sz w:val="20"/>
                <w:szCs w:val="20"/>
                <w:color w:val="auto"/>
              </w:rPr>
            </w:pPr>
            <w:r>
              <w:rPr>
                <w:rFonts w:ascii="Arial" w:cs="Arial" w:eastAsia="Arial" w:hAnsi="Arial"/>
                <w:sz w:val="18"/>
                <w:szCs w:val="18"/>
                <w:color w:val="auto"/>
              </w:rPr>
              <w:t>Form of Note (included in Exhibit 4.2 above).</w:t>
            </w:r>
          </w:p>
        </w:tc>
      </w:tr>
      <w:tr>
        <w:trPr>
          <w:trHeight w:val="432"/>
        </w:trPr>
        <w:tc>
          <w:tcPr>
            <w:tcW w:w="820" w:type="dxa"/>
            <w:vAlign w:val="bottom"/>
          </w:tcPr>
          <w:p>
            <w:pPr>
              <w:jc w:val="right"/>
              <w:ind w:right="490"/>
              <w:spacing w:after="0"/>
              <w:rPr>
                <w:sz w:val="20"/>
                <w:szCs w:val="20"/>
                <w:color w:val="auto"/>
              </w:rPr>
            </w:pPr>
            <w:r>
              <w:rPr>
                <w:rFonts w:ascii="Arial" w:cs="Arial" w:eastAsia="Arial" w:hAnsi="Arial"/>
                <w:sz w:val="18"/>
                <w:szCs w:val="18"/>
                <w:color w:val="auto"/>
                <w:w w:val="87"/>
              </w:rPr>
              <w:t>4.4</w:t>
            </w:r>
          </w:p>
        </w:tc>
        <w:tc>
          <w:tcPr>
            <w:tcW w:w="10600" w:type="dxa"/>
            <w:vAlign w:val="bottom"/>
          </w:tcPr>
          <w:p>
            <w:pPr>
              <w:ind w:left="560"/>
              <w:spacing w:after="0"/>
              <w:rPr>
                <w:sz w:val="20"/>
                <w:szCs w:val="20"/>
                <w:color w:val="auto"/>
              </w:rPr>
            </w:pPr>
            <w:r>
              <w:rPr>
                <w:rFonts w:ascii="Arial" w:cs="Arial" w:eastAsia="Arial" w:hAnsi="Arial"/>
                <w:sz w:val="18"/>
                <w:szCs w:val="18"/>
                <w:color w:val="auto"/>
                <w:w w:val="96"/>
              </w:rPr>
              <w:t>Form of Guarantee Agreement by WM Holding in favor of the holders of Waste Management, Inc.’s 2.60% Senior Notes due 2016.</w:t>
            </w:r>
          </w:p>
        </w:tc>
      </w:tr>
      <w:tr>
        <w:trPr>
          <w:trHeight w:val="432"/>
        </w:trPr>
        <w:tc>
          <w:tcPr>
            <w:tcW w:w="820" w:type="dxa"/>
            <w:vAlign w:val="bottom"/>
          </w:tcPr>
          <w:p>
            <w:pPr>
              <w:jc w:val="right"/>
              <w:ind w:right="490"/>
              <w:spacing w:after="0"/>
              <w:rPr>
                <w:sz w:val="20"/>
                <w:szCs w:val="20"/>
                <w:color w:val="auto"/>
              </w:rPr>
            </w:pPr>
            <w:r>
              <w:rPr>
                <w:rFonts w:ascii="Arial" w:cs="Arial" w:eastAsia="Arial" w:hAnsi="Arial"/>
                <w:sz w:val="18"/>
                <w:szCs w:val="18"/>
                <w:color w:val="auto"/>
                <w:w w:val="87"/>
              </w:rPr>
              <w:t>5.1</w:t>
            </w:r>
          </w:p>
        </w:tc>
        <w:tc>
          <w:tcPr>
            <w:tcW w:w="10600" w:type="dxa"/>
            <w:vAlign w:val="bottom"/>
          </w:tcPr>
          <w:p>
            <w:pPr>
              <w:ind w:left="560"/>
              <w:spacing w:after="0"/>
              <w:rPr>
                <w:sz w:val="20"/>
                <w:szCs w:val="20"/>
                <w:color w:val="auto"/>
              </w:rPr>
            </w:pPr>
            <w:r>
              <w:rPr>
                <w:rFonts w:ascii="Arial" w:cs="Arial" w:eastAsia="Arial" w:hAnsi="Arial"/>
                <w:sz w:val="18"/>
                <w:szCs w:val="18"/>
                <w:color w:val="auto"/>
              </w:rPr>
              <w:t>Opinion of Baker Botts L.L.P.</w:t>
            </w:r>
          </w:p>
        </w:tc>
      </w:tr>
      <w:tr>
        <w:trPr>
          <w:trHeight w:val="405"/>
        </w:trPr>
        <w:tc>
          <w:tcPr>
            <w:tcW w:w="820" w:type="dxa"/>
            <w:vAlign w:val="bottom"/>
          </w:tcPr>
          <w:p>
            <w:pPr>
              <w:spacing w:after="0"/>
              <w:rPr>
                <w:sz w:val="24"/>
                <w:szCs w:val="24"/>
                <w:color w:val="auto"/>
              </w:rPr>
            </w:pPr>
          </w:p>
        </w:tc>
        <w:tc>
          <w:tcPr>
            <w:tcW w:w="10600" w:type="dxa"/>
            <w:vAlign w:val="bottom"/>
          </w:tcPr>
          <w:p>
            <w:pPr>
              <w:ind w:left="4840"/>
              <w:spacing w:after="0"/>
              <w:rPr>
                <w:sz w:val="20"/>
                <w:szCs w:val="20"/>
                <w:color w:val="auto"/>
              </w:rPr>
            </w:pPr>
            <w:r>
              <w:rPr>
                <w:rFonts w:ascii="Arial" w:cs="Arial" w:eastAsia="Arial" w:hAnsi="Arial"/>
                <w:sz w:val="18"/>
                <w:szCs w:val="18"/>
                <w:color w:val="auto"/>
              </w:rPr>
              <w:t>3</w:t>
            </w:r>
          </w:p>
        </w:tc>
      </w:tr>
      <w:tr>
        <w:trPr>
          <w:trHeight w:val="226"/>
        </w:trPr>
        <w:tc>
          <w:tcPr>
            <w:tcW w:w="820" w:type="dxa"/>
            <w:vAlign w:val="bottom"/>
            <w:tcBorders>
              <w:bottom w:val="single" w:sz="8" w:color="808080"/>
            </w:tcBorders>
          </w:tcPr>
          <w:p>
            <w:pPr>
              <w:spacing w:after="0"/>
              <w:rPr>
                <w:sz w:val="19"/>
                <w:szCs w:val="19"/>
                <w:color w:val="auto"/>
              </w:rPr>
            </w:pPr>
          </w:p>
        </w:tc>
        <w:tc>
          <w:tcPr>
            <w:tcW w:w="10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August 29, 2011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2529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Rick L Wittenbraker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Senior Vice President</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958" w:right="5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40" w:type="dxa"/>
            <w:vAlign w:val="bottom"/>
          </w:tcPr>
          <w:p>
            <w:pPr>
              <w:jc w:val="center"/>
              <w:ind w:right="1272"/>
              <w:spacing w:after="0"/>
              <w:rPr>
                <w:sz w:val="20"/>
                <w:szCs w:val="20"/>
                <w:color w:val="auto"/>
              </w:rPr>
            </w:pPr>
            <w:r>
              <w:rPr>
                <w:rFonts w:ascii="Arial" w:cs="Arial" w:eastAsia="Arial" w:hAnsi="Arial"/>
                <w:sz w:val="18"/>
                <w:szCs w:val="18"/>
                <w:b w:val="1"/>
                <w:bCs w:val="1"/>
                <w:color w:val="auto"/>
              </w:rPr>
              <w:t>INDEX TO EXHIBITS</w:t>
            </w:r>
          </w:p>
        </w:tc>
      </w:tr>
      <w:tr>
        <w:trPr>
          <w:trHeight w:val="365"/>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560" w:type="dxa"/>
            <w:vAlign w:val="bottom"/>
          </w:tcPr>
          <w:p>
            <w:pPr>
              <w:spacing w:after="0"/>
              <w:rPr>
                <w:sz w:val="24"/>
                <w:szCs w:val="24"/>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820" w:type="dxa"/>
            <w:vAlign w:val="bottom"/>
          </w:tcPr>
          <w:p>
            <w:pPr>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Underwriting Agreement dated August 24, 2011 by and among the Company, WM Holdings and J.P. Morgan Securities Inc., Credit Suisse</w:t>
            </w:r>
          </w:p>
        </w:tc>
      </w:tr>
      <w:tr>
        <w:trPr>
          <w:trHeight w:val="230"/>
        </w:trPr>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Securities (USA) LLC and Wells Fargo Securities, LLC as representatives of the several Underwriters named therein.</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Indenture dated September 10, 1997 by and between the Company and The Bank of New York Mellon Trust Company, N.A. (the current</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successor to Texas Commerce Bank National Association), as Trustee, relating to senior debt securities of the Company (incorporated by</w:t>
            </w:r>
          </w:p>
        </w:tc>
      </w:tr>
      <w:tr>
        <w:trPr>
          <w:trHeight w:val="230"/>
        </w:trPr>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reference to Exhibit 4.1 to Current Report on Form 8-K filed September 24, 1997).</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Officers’ Certificate delivered pursuant to Section 3.01 of the Indenture establishing the terms and form of the Notes.</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Note (included in Exhibit 4.2 above).</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Form of Guarantee Agreement by WM Holding in favor of the holders of Waste Management, Inc.’s 2.60% Senior Notes due 2016.</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Opinion of Baker Botts L.L.P.</w:t>
            </w:r>
          </w:p>
        </w:tc>
      </w:tr>
      <w:tr>
        <w:trPr>
          <w:trHeight w:val="405"/>
        </w:trPr>
        <w:tc>
          <w:tcPr>
            <w:tcW w:w="820" w:type="dxa"/>
            <w:vAlign w:val="bottom"/>
          </w:tcPr>
          <w:p>
            <w:pPr>
              <w:spacing w:after="0"/>
              <w:rPr>
                <w:sz w:val="24"/>
                <w:szCs w:val="24"/>
                <w:color w:val="auto"/>
              </w:rPr>
            </w:pPr>
          </w:p>
        </w:tc>
        <w:tc>
          <w:tcPr>
            <w:tcW w:w="10600" w:type="dxa"/>
            <w:vAlign w:val="bottom"/>
            <w:gridSpan w:val="2"/>
          </w:tcPr>
          <w:p>
            <w:pPr>
              <w:jc w:val="right"/>
              <w:ind w:right="5572"/>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1256"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ASTE</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$500,000,000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2.60% Senior Notes due 2016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24, 2011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To the Representatives named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Schedule II hereto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II hereto</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10010-3629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301 S. College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Waste Management, Inc., a corporation organized under the laws of Delaware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to sell to the several underwriters named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Schedule II hereto (the “</w:t>
      </w:r>
      <w:r>
        <w:rPr>
          <w:rFonts w:ascii="Arial" w:cs="Arial" w:eastAsia="Arial" w:hAnsi="Arial"/>
          <w:sz w:val="16"/>
          <w:szCs w:val="16"/>
          <w:u w:val="single" w:color="auto"/>
          <w:color w:val="auto"/>
        </w:rPr>
        <w:t>Underwriters</w:t>
      </w:r>
      <w:r>
        <w:rPr>
          <w:rFonts w:ascii="Arial" w:cs="Arial" w:eastAsia="Arial" w:hAnsi="Arial"/>
          <w:sz w:val="16"/>
          <w:szCs w:val="16"/>
          <w:color w:val="auto"/>
        </w:rPr>
        <w:t>”), for whom you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are acting as representatives, the principal amounts of its securities identified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Schedule I hereto (the “</w:t>
      </w:r>
      <w:r>
        <w:rPr>
          <w:rFonts w:ascii="Arial" w:cs="Arial" w:eastAsia="Arial" w:hAnsi="Arial"/>
          <w:sz w:val="16"/>
          <w:szCs w:val="16"/>
          <w:u w:val="single" w:color="auto"/>
          <w:color w:val="auto"/>
        </w:rPr>
        <w:t>Notes</w:t>
      </w:r>
      <w:r>
        <w:rPr>
          <w:rFonts w:ascii="Arial" w:cs="Arial" w:eastAsia="Arial" w:hAnsi="Arial"/>
          <w:sz w:val="16"/>
          <w:szCs w:val="16"/>
          <w:color w:val="auto"/>
        </w:rPr>
        <w:t>”), to be issued under an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dated as of September 10, 1997, between the Company and The Bank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York Mellon Trust Company, N.A. (as the current successor to the initial trustee, Texas Commerce Bank National Association), as trustee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Trustee</w:t>
      </w:r>
      <w:r>
        <w:rPr>
          <w:rFonts w:ascii="Arial" w:cs="Arial" w:eastAsia="Arial" w:hAnsi="Arial"/>
          <w:sz w:val="16"/>
          <w:szCs w:val="16"/>
          <w:color w:val="auto"/>
        </w:rPr>
        <w:t>”), and to be guaranteed on a senior unsecured basis (the “</w:t>
      </w:r>
      <w:r>
        <w:rPr>
          <w:rFonts w:ascii="Arial" w:cs="Arial" w:eastAsia="Arial" w:hAnsi="Arial"/>
          <w:sz w:val="16"/>
          <w:szCs w:val="16"/>
          <w:u w:val="single" w:color="auto"/>
          <w:color w:val="auto"/>
        </w:rPr>
        <w:t>Guarantee</w:t>
      </w:r>
      <w:r>
        <w:rPr>
          <w:rFonts w:ascii="Arial" w:cs="Arial" w:eastAsia="Arial" w:hAnsi="Arial"/>
          <w:sz w:val="16"/>
          <w:szCs w:val="16"/>
          <w:color w:val="auto"/>
        </w:rPr>
        <w:t>”) by Waste Management Holdings, Inc. (“</w:t>
      </w:r>
      <w:r>
        <w:rPr>
          <w:rFonts w:ascii="Arial" w:cs="Arial" w:eastAsia="Arial" w:hAnsi="Arial"/>
          <w:sz w:val="16"/>
          <w:szCs w:val="16"/>
          <w:u w:val="single" w:color="auto"/>
          <w:color w:val="auto"/>
        </w:rPr>
        <w:t>Holdings</w:t>
      </w:r>
      <w:r>
        <w:rPr>
          <w:rFonts w:ascii="Arial" w:cs="Arial" w:eastAsia="Arial" w:hAnsi="Arial"/>
          <w:sz w:val="16"/>
          <w:szCs w:val="16"/>
          <w:color w:val="auto"/>
        </w:rPr>
        <w:t>”) pursuant to a guarantee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Guarantee Agreement</w:t>
      </w:r>
      <w:r>
        <w:rPr>
          <w:rFonts w:ascii="Arial" w:cs="Arial" w:eastAsia="Arial" w:hAnsi="Arial"/>
          <w:sz w:val="17"/>
          <w:szCs w:val="17"/>
          <w:color w:val="auto"/>
        </w:rPr>
        <w:t>”) in favor of the holders of the Notes to be dated as of the Closing Date (as defined in Section 3 hereof). The Notes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Guarantee are sometimes referred to herein collectively as the “</w:t>
      </w:r>
      <w:r>
        <w:rPr>
          <w:rFonts w:ascii="Arial" w:cs="Arial" w:eastAsia="Arial" w:hAnsi="Arial"/>
          <w:sz w:val="16"/>
          <w:szCs w:val="16"/>
          <w:u w:val="single" w:color="auto"/>
          <w:color w:val="auto"/>
        </w:rPr>
        <w:t>Securities</w:t>
      </w:r>
      <w:r>
        <w:rPr>
          <w:rFonts w:ascii="Arial" w:cs="Arial" w:eastAsia="Arial" w:hAnsi="Arial"/>
          <w:sz w:val="16"/>
          <w:szCs w:val="16"/>
          <w:color w:val="auto"/>
        </w:rPr>
        <w:t>.” Any reference herein to the Registration Statement, the Preliminary Prospectus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Final Prospectus shall be deemed to refer to and include the documents incorporated by reference therein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right="140"/>
        <w:spacing w:after="0" w:line="297" w:lineRule="auto"/>
        <w:rPr>
          <w:sz w:val="20"/>
          <w:szCs w:val="20"/>
          <w:color w:val="auto"/>
        </w:rPr>
      </w:pPr>
      <w:r>
        <w:rPr>
          <w:rFonts w:ascii="Arial" w:cs="Arial" w:eastAsia="Arial" w:hAnsi="Arial"/>
          <w:sz w:val="16"/>
          <w:szCs w:val="16"/>
          <w:color w:val="auto"/>
        </w:rPr>
        <w:t>Item 12 of Form S-3 under the Act, which were filed under the Exchange Act on or before the Effective Date of the Registration Statement or the date of the Preliminary Prospectus or the Final Prospectus, as the case may be; and any reference herein to the terms “amend,” “amendment” or “supplement” with respect to the Registration Statement, the Preliminary Prospectus or the Final Prospectus shall be deemed to refer to and include the filing of any document under the Exchange Act after the Effective Date of the Registration Statement or the date of the Preliminary Prospectus or the Final Prospectus, as the case may be, deemed to be incorporated therein by reference. Certain terms used herein are defined in Section 18 hereof.</w:t>
      </w:r>
    </w:p>
    <w:p>
      <w:pPr>
        <w:spacing w:after="0" w:line="50"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At or prior to the Time of Sale, the Company had prepared the following information (the “</w:t>
      </w:r>
      <w:r>
        <w:rPr>
          <w:rFonts w:ascii="Arial" w:cs="Arial" w:eastAsia="Arial" w:hAnsi="Arial"/>
          <w:sz w:val="18"/>
          <w:szCs w:val="18"/>
          <w:u w:val="single" w:color="auto"/>
          <w:color w:val="auto"/>
        </w:rPr>
        <w:t>Time of Sale Information</w:t>
      </w:r>
      <w:r>
        <w:rPr>
          <w:rFonts w:ascii="Arial" w:cs="Arial" w:eastAsia="Arial" w:hAnsi="Arial"/>
          <w:sz w:val="18"/>
          <w:szCs w:val="18"/>
          <w:color w:val="auto"/>
        </w:rPr>
        <w:t>”): the Preliminary Prospectus and each “free-writing prospectus” (as defined pursuant to Rule 405 under the Act) listed on Annex A hereto.</w:t>
      </w:r>
    </w:p>
    <w:p>
      <w:pPr>
        <w:spacing w:after="0" w:line="62" w:lineRule="exact"/>
        <w:rPr>
          <w:sz w:val="20"/>
          <w:szCs w:val="20"/>
          <w:color w:val="auto"/>
        </w:rPr>
      </w:pPr>
    </w:p>
    <w:p>
      <w:pPr>
        <w:ind w:right="80" w:firstLine="233"/>
        <w:spacing w:after="0" w:line="277" w:lineRule="auto"/>
        <w:tabs>
          <w:tab w:leader="none" w:pos="405"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Company and Holdings represents and warrants to, and agrees with, each Underwriter as set forth below in this Section 1.</w:t>
      </w:r>
    </w:p>
    <w:p>
      <w:pPr>
        <w:spacing w:after="0" w:line="62" w:lineRule="exact"/>
        <w:rPr>
          <w:rFonts w:ascii="Arial" w:cs="Arial" w:eastAsia="Arial" w:hAnsi="Arial"/>
          <w:sz w:val="18"/>
          <w:szCs w:val="18"/>
          <w:color w:val="auto"/>
        </w:rPr>
      </w:pPr>
    </w:p>
    <w:p>
      <w:pPr>
        <w:ind w:left="240" w:right="20" w:firstLine="221"/>
        <w:spacing w:after="0" w:line="289" w:lineRule="auto"/>
        <w:tabs>
          <w:tab w:leader="none" w:pos="71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Company meets the requirements for use of Form S-3 under the Act and has prepared and filed with the Commission a registration statement (File Number 333-162059) on Form S-3, including a related basic prospectus, for registration under the Act of the offering and sale of the Securities. The Registration Statement is an “automatic effective registration statement” as defined under Rule 405 of the Act that has been filed with the Commission not earlier than three years prior to the date hereof; and no notice of objection of the Commission to the use of such registration statement or any post-effective amendment thereto pursuant to Rule 401(g)(2) under the Act has been received by the Company. No order suspending the effectiveness of the Registration Statement has been issued by the Commission and no proceeding for that purpose or pursuant to Section 8A of the Act against the Company or related to the offering has been initiated or threatened by the Commission. The Company may have filed one or more amendments thereto each of which has previously been furnished to you. The Company will next file with the Commission a final prospectus in accordance with Rules 415 and 424(b). The Registration Statement, at the Time of Sale, meets the requirements set forth in Rule 415(a)(1)(x).</w:t>
      </w:r>
    </w:p>
    <w:p>
      <w:pPr>
        <w:spacing w:after="0" w:line="58" w:lineRule="exact"/>
        <w:rPr>
          <w:rFonts w:ascii="Arial" w:cs="Arial" w:eastAsia="Arial" w:hAnsi="Arial"/>
          <w:sz w:val="16"/>
          <w:szCs w:val="16"/>
          <w:color w:val="auto"/>
        </w:rPr>
      </w:pPr>
    </w:p>
    <w:p>
      <w:pPr>
        <w:ind w:left="240" w:firstLine="221"/>
        <w:spacing w:after="0" w:line="290" w:lineRule="auto"/>
        <w:tabs>
          <w:tab w:leader="none" w:pos="720" w:val="left"/>
        </w:tabs>
        <w:numPr>
          <w:ilvl w:val="1"/>
          <w:numId w:val="2"/>
        </w:numPr>
        <w:rPr>
          <w:rFonts w:ascii="Arial" w:cs="Arial" w:eastAsia="Arial" w:hAnsi="Arial"/>
          <w:sz w:val="16"/>
          <w:szCs w:val="16"/>
          <w:color w:val="auto"/>
        </w:rPr>
      </w:pPr>
      <w:r>
        <w:rPr>
          <w:rFonts w:ascii="Arial" w:cs="Arial" w:eastAsia="Arial" w:hAnsi="Arial"/>
          <w:sz w:val="16"/>
          <w:szCs w:val="16"/>
          <w:color w:val="auto"/>
        </w:rPr>
        <w:t>At the Effective Date, the Registration Statement did, and when the Final Prospectus is first filed in accordance with Rule 424(b) and on the Closing Date (as defined herein), the Final Prospectus (and any supplement thereto) will, comply in all material respects with the applicable requirements of the Act, the Exchange Act and the Trust Indenture Act and the respective rules thereunder; on the Effective Date the Registration Statement did not, and on the Closing Date the Registration Statement will not, contain any untrue statement of a material fact or omit to state any material fact required to be stated therein or necessary to make the statements therein not misleading; on the Effective Date the Indenture did, and on the Closing Date the Indenture will, comply in all material respects with the applicable requirements of the Trust Indenture Act and the rules thereunder; and on the date of filing of the Final Prospectus pursuant to Rule 424(b) and on the Closing Date, the Registration Statement and the Final Prospectus (together with any supplement thereto) will not, include any untrue statement of a material fact or omit to state a material fact necessary in order to make the statements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line="297" w:lineRule="auto"/>
        <w:rPr>
          <w:sz w:val="20"/>
          <w:szCs w:val="20"/>
          <w:color w:val="auto"/>
        </w:rPr>
      </w:pPr>
      <w:r>
        <w:rPr>
          <w:rFonts w:ascii="Arial" w:cs="Arial" w:eastAsia="Arial" w:hAnsi="Arial"/>
          <w:sz w:val="16"/>
          <w:szCs w:val="16"/>
          <w:color w:val="auto"/>
        </w:rPr>
        <w:t xml:space="preserve">therein (in the light of the circumstances under which they were made with respect to the Final Prospectus)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makes no representations or warranties as to (i) that part of the Registration Statement which shall constitute the Statement of Eligibility and Qualification (Form T-1) under the Trust Indenture Act of the Trustee or (ii)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w:t>
      </w:r>
    </w:p>
    <w:p>
      <w:pPr>
        <w:spacing w:after="0" w:line="50" w:lineRule="exact"/>
        <w:rPr>
          <w:sz w:val="20"/>
          <w:szCs w:val="20"/>
          <w:color w:val="auto"/>
        </w:rPr>
      </w:pPr>
    </w:p>
    <w:p>
      <w:pPr>
        <w:ind w:right="100" w:firstLine="221"/>
        <w:spacing w:after="0" w:line="293" w:lineRule="auto"/>
        <w:tabs>
          <w:tab w:leader="none" w:pos="47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provided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Time of Sale Information. No statement of material fact included in the Final Prospectus has been omitted from the Time of Sale Information and no statement of material fact included in the Time of Sale Information that is required to be included in the Final Prospectus has been omitted therefrom.</w:t>
      </w:r>
    </w:p>
    <w:p>
      <w:pPr>
        <w:spacing w:after="0" w:line="56" w:lineRule="exact"/>
        <w:rPr>
          <w:rFonts w:ascii="Arial" w:cs="Arial" w:eastAsia="Arial" w:hAnsi="Arial"/>
          <w:sz w:val="16"/>
          <w:szCs w:val="16"/>
          <w:color w:val="auto"/>
        </w:rPr>
      </w:pPr>
    </w:p>
    <w:p>
      <w:pPr>
        <w:ind w:right="20" w:firstLine="221"/>
        <w:spacing w:after="0" w:line="286" w:lineRule="auto"/>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Act) that constitutes an offer to sell or solicitation of an offer to buy the Securities (each such communication by the Company or its agents and representatives (other than a communication referred to in clauses (i) (ii) and (iii) below) an “Issuer Free Writing Prospectus”) other than (i) any document not constituting a prospectus pursuant to Section 2(a)(10)(a) of the Act or Rule 134 under the Act, (ii) the Preliminary Prospectus, (iii) the Final Prospectus, (iv) the documents constituting the Time of Sale Information, and (v) any electronic road show or other written communications, in each case approved in writing in advance by the Representatives. Each such Issuer Free Writing Prospectus complied in all material respects with the Act, has been or will be (within the time period specified in Rule 433) filed in accordance with the Act (to the extent required thereby) and, when taken together with the Preliminary Prospectus filed prior to the first use of such Issuer Free Writing Prospectus, did not, and at the Closing Date will not, contain any untrue statement of a material fact or omit to state a material fact necessary in order to make the statements therein, in the light of the circumstances under which they were made, not misleading; provided that the Company makes no representation and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spacing w:after="0" w:line="14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8" w:name="page9"/>
    <w:bookmarkEnd w:id="8"/>
    <w:p>
      <w:pPr>
        <w:ind w:right="140" w:firstLine="221"/>
        <w:spacing w:after="0" w:line="271" w:lineRule="auto"/>
        <w:tabs>
          <w:tab w:leader="none" w:pos="47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documents incorporated by reference in the Registration Statement, the Time of Sale Information and the Final Prospectus, when they were filed with the Commission conformed in all material respects to the requirements of the Exchange Act and none of such documents contained any untrue statement of a material fact or omitted to state a material fact required to be stated therein or necessary to make the statements therein, in the light of the circumstances under which they were made, not misleading; and any further documents so filed and incorporated by reference in the Registration Statement, the Time of Sale Information and the Final Prospectus, when such documents become effective or are filed with the Commission, as the case may be, will conform in all material respects to the requirements of the Act or the Exchange Act, as applicable, and will not contain any untrue statement of a material fact or omit to state a material fact required to be stated therein or necessary to make the statements therein, in the light of the circumstances under which they were made, not misleading.</w:t>
      </w:r>
    </w:p>
    <w:p>
      <w:pPr>
        <w:spacing w:after="0" w:line="70" w:lineRule="exact"/>
        <w:rPr>
          <w:rFonts w:ascii="Arial" w:cs="Arial" w:eastAsia="Arial" w:hAnsi="Arial"/>
          <w:sz w:val="17"/>
          <w:szCs w:val="17"/>
          <w:color w:val="auto"/>
        </w:rPr>
      </w:pPr>
    </w:p>
    <w:p>
      <w:pPr>
        <w:ind w:firstLine="221"/>
        <w:spacing w:after="0" w:line="255" w:lineRule="auto"/>
        <w:tabs>
          <w:tab w:leader="none" w:pos="45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assuming it was duly executed and delivered by the Trustee, is a valid and binding agreement of the Company, enforceable against the Company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Indenture has been duly qualified under the Trust Indenture Act and conforms to the description thereof in the Registration Statement, the Time of Sale Information and the Final Prospectus.</w:t>
      </w:r>
    </w:p>
    <w:p>
      <w:pPr>
        <w:spacing w:after="0" w:line="85" w:lineRule="exact"/>
        <w:rPr>
          <w:rFonts w:ascii="Arial" w:cs="Arial" w:eastAsia="Arial" w:hAnsi="Arial"/>
          <w:sz w:val="18"/>
          <w:szCs w:val="18"/>
          <w:color w:val="auto"/>
        </w:rPr>
      </w:pPr>
    </w:p>
    <w:p>
      <w:pPr>
        <w:ind w:firstLine="221"/>
        <w:spacing w:after="0" w:line="255"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Notes have been duly authorized and, when executed by the Company and authenticated by the Trustee in accordance with the Indenture and delivered to you against payment therefor in accordance with the terms hereof, will have been validly issued and delivered, and will constitute valid and binding obligations of the Company entitled to the benefits of the Indenture and enforceable against the Company in accordance with their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Notes conform to the description thereof in the Registration Statement, the Time of Sale Information and the Final Prospectus.</w:t>
      </w:r>
    </w:p>
    <w:p>
      <w:pPr>
        <w:spacing w:after="0" w:line="81" w:lineRule="exact"/>
        <w:rPr>
          <w:rFonts w:ascii="Arial" w:cs="Arial" w:eastAsia="Arial" w:hAnsi="Arial"/>
          <w:sz w:val="18"/>
          <w:szCs w:val="18"/>
          <w:color w:val="auto"/>
        </w:rPr>
      </w:pPr>
    </w:p>
    <w:p>
      <w:pPr>
        <w:ind w:right="80" w:firstLine="221"/>
        <w:spacing w:after="0" w:line="273" w:lineRule="auto"/>
        <w:tabs>
          <w:tab w:leader="none" w:pos="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Guarantee Agreement has been duly authorized and, when executed and delivered by Holdings against payment for the Notes in accordance with the terms thereof, will have been validly executed and delivered, and will constitute a valid and binding agreement of Holdings, enforceable against Holdings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Guarantee conforms to the description thereof in the Registration Statement, the Time of Sale Information and the Final Prospectus.</w:t>
      </w:r>
    </w:p>
    <w:p>
      <w:pPr>
        <w:spacing w:after="0" w:line="15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9" w:name="page10"/>
    <w:bookmarkEnd w:id="9"/>
    <w:p>
      <w:pPr>
        <w:ind w:firstLine="221"/>
        <w:spacing w:after="0" w:line="293"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 on the condition (financial or other), prospects, earnings, business or properties of the Company and its subsidiaries taken as a whole, whether or not arising from transactions in the ordinary course of business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firstLine="221"/>
        <w:spacing w:after="0" w:line="25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Holdings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w:t>
      </w:r>
    </w:p>
    <w:p>
      <w:pPr>
        <w:spacing w:after="0" w:line="80" w:lineRule="exact"/>
        <w:rPr>
          <w:rFonts w:ascii="Arial" w:cs="Arial" w:eastAsia="Arial" w:hAnsi="Arial"/>
          <w:sz w:val="18"/>
          <w:szCs w:val="18"/>
          <w:color w:val="auto"/>
        </w:rPr>
      </w:pPr>
    </w:p>
    <w:p>
      <w:pPr>
        <w:ind w:right="80" w:firstLine="221"/>
        <w:spacing w:after="0" w:line="272" w:lineRule="auto"/>
        <w:tabs>
          <w:tab w:leader="none" w:pos="4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Each of the Company’s “significant subsidiaries” (as such term is defined in Regulation S-X under the Exchange Act) is included in the list of subsidiaries on Exhibit 21.1 of the Annual Report on Form 10-K for the year ended December 31, 2010 (the “</w:t>
      </w:r>
      <w:r>
        <w:rPr>
          <w:rFonts w:ascii="Arial" w:cs="Arial" w:eastAsia="Arial" w:hAnsi="Arial"/>
          <w:sz w:val="17"/>
          <w:szCs w:val="17"/>
          <w:u w:val="single" w:color="auto"/>
          <w:color w:val="auto"/>
        </w:rPr>
        <w:t>Subsidiaries</w:t>
      </w:r>
      <w:r>
        <w:rPr>
          <w:rFonts w:ascii="Arial" w:cs="Arial" w:eastAsia="Arial" w:hAnsi="Arial"/>
          <w:sz w:val="17"/>
          <w:szCs w:val="17"/>
          <w:color w:val="auto"/>
        </w:rPr>
        <w:t>”), and each of the Subsidiaries has been duly organized, is validly existing and is in good standing in the jurisdiction of its incorporation, with full corporate power and authority to own, lease and operate its properties and to conduct its business as described in the Registration Statement, the Time of Sale Information and the Final Prospectus; and each of the Subsidiaries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singly or in the aggregate, have a Material Adverse Effect.</w:t>
      </w:r>
    </w:p>
    <w:p>
      <w:pPr>
        <w:spacing w:after="0" w:line="69" w:lineRule="exact"/>
        <w:rPr>
          <w:rFonts w:ascii="Arial" w:cs="Arial" w:eastAsia="Arial" w:hAnsi="Arial"/>
          <w:sz w:val="17"/>
          <w:szCs w:val="17"/>
          <w:color w:val="auto"/>
        </w:rPr>
      </w:pPr>
    </w:p>
    <w:p>
      <w:pPr>
        <w:ind w:firstLine="221"/>
        <w:spacing w:after="0" w:line="255"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of the issued and outstanding shares of capital stock of each of the Subsidiaries have been duly authorized and validly issued and are owned, directly or indirectly, by the Company. All such shares are fully paid and nonassessable, and, except as disclosed in the Registration Statement, the Time of Sale Information and the Final Prospectus, are owned by the Company, directly or indirectly, free and clear of any security interest, mortgage, pledge, claim, lien, encumbrance or adverse interest of any nature (each, a “</w:t>
      </w:r>
      <w:r>
        <w:rPr>
          <w:rFonts w:ascii="Arial" w:cs="Arial" w:eastAsia="Arial" w:hAnsi="Arial"/>
          <w:sz w:val="18"/>
          <w:szCs w:val="18"/>
          <w:u w:val="single" w:color="auto"/>
          <w:color w:val="auto"/>
        </w:rPr>
        <w:t>Lien</w:t>
      </w:r>
      <w:r>
        <w:rPr>
          <w:rFonts w:ascii="Arial" w:cs="Arial" w:eastAsia="Arial" w:hAnsi="Arial"/>
          <w:sz w:val="18"/>
          <w:szCs w:val="18"/>
          <w:color w:val="auto"/>
        </w:rPr>
        <w:t>”). Except as disclosed in the Registration Statement, the Time of Sale Information and the Final Prospectus, there are no outstanding subscriptions, rights, warrants, options, calls, convertible or exchangeable securities, commitments of sale, or Liens related to or entitling any person to purchase or otherwise to acquire any shares of the capital stock of, or other ownership interests in, any Subsidiary.</w:t>
      </w:r>
    </w:p>
    <w:p>
      <w:pPr>
        <w:spacing w:after="0" w:line="16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0" w:name="page11"/>
    <w:bookmarkEnd w:id="10"/>
    <w:p>
      <w:pPr>
        <w:ind w:left="520" w:hanging="299"/>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Agreement has been duly and validly authorized, executed and delivered by the Company and Holdings.</w:t>
      </w:r>
    </w:p>
    <w:p>
      <w:pPr>
        <w:spacing w:after="0" w:line="117" w:lineRule="exact"/>
        <w:rPr>
          <w:rFonts w:ascii="Arial" w:cs="Arial" w:eastAsia="Arial" w:hAnsi="Arial"/>
          <w:sz w:val="18"/>
          <w:szCs w:val="18"/>
          <w:color w:val="auto"/>
        </w:rPr>
      </w:pPr>
    </w:p>
    <w:p>
      <w:pPr>
        <w:ind w:right="40" w:firstLine="221"/>
        <w:spacing w:after="0" w:line="269" w:lineRule="auto"/>
        <w:tabs>
          <w:tab w:leader="none" w:pos="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Time of Sale Information and the Final Prospectus, there is no action, suit or proceeding before or by any court or governmental agency or body or any arbitrator pending against the Company or any of its subsidiaries that is required to be disclosed in the Registration Statement, the Time of Sale Information and the Final Prospectus, or which could reasonably be expected to have a Material Adverse Effect, or materially and adversely affect the performance of the Company’s obligations pursuant to this Agreement and, to the best of the Company’s knowledge, no such proceedings are contemplated or threatened. No action has been taken with respect to the Company or any subsidiary, and no statute, rule or regulation or order has been enacted, adopted or issued by any governmental agency and no injunction, restraining order or other order of any court of competent jurisdiction has been issued with respect to the Company or any subsidiary that prevents the issuance of the Securities or suspends the effectiveness of the Registration Statement, prevents or suspends the use of the Final Prospectus or prevents or suspends the sale of the Securities in any of the jurisdictions that you may have specified pursuant to Section 5(h) hereof; and every request of the Commission, or any securities authority or agency of any jurisdiction, for additional information to be included in the Registration Statement or the Final Prospectus or otherwise has been complied with in all material respects.</w:t>
      </w:r>
    </w:p>
    <w:p>
      <w:pPr>
        <w:spacing w:after="0" w:line="74" w:lineRule="exact"/>
        <w:rPr>
          <w:rFonts w:ascii="Arial" w:cs="Arial" w:eastAsia="Arial" w:hAnsi="Arial"/>
          <w:sz w:val="17"/>
          <w:szCs w:val="17"/>
          <w:color w:val="auto"/>
        </w:rPr>
      </w:pPr>
    </w:p>
    <w:p>
      <w:pPr>
        <w:ind w:firstLine="221"/>
        <w:spacing w:after="0" w:line="291" w:lineRule="auto"/>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Time of Sale Information and the Final Prospectus (or any amendment or supplement thereto), subsequent to the respective dates as of which such information is given in the Registration Statement, the Time of Sale Information and the Final Prospectus (or any amendment or supplement thereto), neither the Company nor any of its subsidiaries has incurred any liability or obligation, direct or contingent, that is material to the Company and its subsidiaries taken as a whole, or entered into any transaction, not in the ordinary course of business, that is material to the Company and its subsidiaries taken as a whole, and there has not been any material adverse change, or any development involving or which may reasonably be expected to involve, a prospective material adverse change, in the condition (financial or other), prospects, earnings, business or properties of the Company and its subsidiaries taken as a whole, whether or not arising from transactions in the ordinary course of business.</w:t>
      </w:r>
    </w:p>
    <w:p>
      <w:pPr>
        <w:spacing w:after="0" w:line="59" w:lineRule="exact"/>
        <w:rPr>
          <w:rFonts w:ascii="Arial" w:cs="Arial" w:eastAsia="Arial" w:hAnsi="Arial"/>
          <w:sz w:val="16"/>
          <w:szCs w:val="16"/>
          <w:color w:val="auto"/>
        </w:rPr>
      </w:pPr>
    </w:p>
    <w:p>
      <w:pPr>
        <w:ind w:right="60" w:firstLine="221"/>
        <w:spacing w:after="0" w:line="255"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Except as otherwise set forth in the Registration Statement, the Time of Sale Information and the Final Prospectus or such as would not have a Material Adverse Effect, each of the Company and its subsidiaries has good and marketable title to all property (real and personal) described in the Registration Statement, the Time of Sale Information and the Final Prospectus as being owned by it, free and clear of all Liens, except Liens for taxes not yet due and payable and Liens described in the Registration Statement, the Time of Sale Information and the Final Prospectus or in a document filed as an exhibit to the Registration Statement. All the property described in the Registration Statement, the Time of Sale Information and the Final Prospectus as being held under lease by each of the Company and its subsidiaries is held by it under valid, subsisting and enforceable leases, except as would not have a Material Adverse Effect.</w:t>
      </w:r>
    </w:p>
    <w:p>
      <w:pPr>
        <w:spacing w:after="0" w:line="16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1" w:name="page12"/>
    <w:bookmarkEnd w:id="11"/>
    <w:p>
      <w:pPr>
        <w:ind w:firstLine="221"/>
        <w:spacing w:after="0" w:line="276" w:lineRule="auto"/>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and (iii) where such violation or default would not have a Material Adverse Effect.</w:t>
      </w:r>
    </w:p>
    <w:p>
      <w:pPr>
        <w:spacing w:after="0" w:line="64" w:lineRule="exact"/>
        <w:rPr>
          <w:rFonts w:ascii="Arial" w:cs="Arial" w:eastAsia="Arial" w:hAnsi="Arial"/>
          <w:sz w:val="17"/>
          <w:szCs w:val="17"/>
          <w:color w:val="auto"/>
        </w:rPr>
      </w:pPr>
    </w:p>
    <w:p>
      <w:pPr>
        <w:ind w:right="20" w:firstLine="221"/>
        <w:spacing w:after="0" w:line="264" w:lineRule="auto"/>
        <w:tabs>
          <w:tab w:leader="none" w:pos="45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Neither the Company nor Holdings has distributed and, prior to the later to occur of (i) the Closing Date and (ii) completion of the distribution of the Securities, neither will distribute any offering material in connection with the offering and sale of the Securities other than the Registration Statement, the Time of Sale Information and the Final Prospectus or other materials, if any, permitted by the Act.</w:t>
      </w:r>
    </w:p>
    <w:p>
      <w:pPr>
        <w:spacing w:after="0" w:line="73" w:lineRule="exact"/>
        <w:rPr>
          <w:rFonts w:ascii="Arial" w:cs="Arial" w:eastAsia="Arial" w:hAnsi="Arial"/>
          <w:sz w:val="18"/>
          <w:szCs w:val="18"/>
          <w:color w:val="auto"/>
        </w:rPr>
      </w:pPr>
    </w:p>
    <w:p>
      <w:pPr>
        <w:ind w:firstLine="221"/>
        <w:spacing w:after="0" w:line="25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would not have a Material Adverse Effect, each of the Company and its subsidiaries own or possess the right to use all patents, trademarks, trademark registrations, service marks, service mark registrations, trade names, copyrights, licenses, inventions, trade secrets and rights described in the Registration Statement, the Time of Sale Information and the Final Prospectus as being owned by them or any of them or necessary for the conduct of their respective businesses, and the Company is not aware of any claim to the contrary or any challenge by any other person to the rights of the Company and its subsidiaries with respect to the foregoing.</w:t>
      </w:r>
    </w:p>
    <w:p>
      <w:pPr>
        <w:spacing w:after="0" w:line="80" w:lineRule="exact"/>
        <w:rPr>
          <w:rFonts w:ascii="Arial" w:cs="Arial" w:eastAsia="Arial" w:hAnsi="Arial"/>
          <w:sz w:val="18"/>
          <w:szCs w:val="18"/>
          <w:color w:val="auto"/>
        </w:rPr>
      </w:pPr>
    </w:p>
    <w:p>
      <w:pPr>
        <w:jc w:val="both"/>
        <w:ind w:right="80" w:firstLine="221"/>
        <w:spacing w:after="0" w:line="264"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Neither the Company nor Holdings is and, after giving effect to the offering and sale of the Securities and the application of the proceeds thereof as described in the Registration Statement, the Time of Sale Information and the Final Prospectus, neither will be an “investment company” as defined in the 1940 Act.</w:t>
      </w:r>
    </w:p>
    <w:p>
      <w:pPr>
        <w:spacing w:after="0" w:line="73" w:lineRule="exact"/>
        <w:rPr>
          <w:rFonts w:ascii="Arial" w:cs="Arial" w:eastAsia="Arial" w:hAnsi="Arial"/>
          <w:sz w:val="18"/>
          <w:szCs w:val="18"/>
          <w:color w:val="auto"/>
        </w:rPr>
      </w:pPr>
    </w:p>
    <w:p>
      <w:pPr>
        <w:ind w:firstLine="221"/>
        <w:spacing w:after="0" w:line="259"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consent, approval, authorization, filing with or order of any court or governmental agency or body is required in connection with the transactions contemplated herein, except such as have been obtained under the Act and the Trust Indenture Act and such as may be required under the blue sky laws of any jurisdiction in connection with the purchase and distribution of the Securities by the Underwriters in the manner contemplated herein and in the Registration Statement, the Time of Sale Information and the Final Prospectus.</w:t>
      </w:r>
    </w:p>
    <w:p>
      <w:pPr>
        <w:spacing w:after="0" w:line="78" w:lineRule="exact"/>
        <w:rPr>
          <w:rFonts w:ascii="Arial" w:cs="Arial" w:eastAsia="Arial" w:hAnsi="Arial"/>
          <w:sz w:val="18"/>
          <w:szCs w:val="18"/>
          <w:color w:val="auto"/>
        </w:rPr>
      </w:pPr>
    </w:p>
    <w:p>
      <w:pPr>
        <w:ind w:right="40" w:firstLine="221"/>
        <w:spacing w:after="0" w:line="255"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Neither the issue and sale of the Securities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except as would not have a Material Adverse Effect, or (iii) any statute, law, rule,</w:t>
      </w:r>
    </w:p>
    <w:p>
      <w:pPr>
        <w:spacing w:after="0" w:line="16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2" w:name="page13"/>
    <w:bookmarkEnd w:id="12"/>
    <w:p>
      <w:pPr>
        <w:jc w:val="both"/>
        <w:ind w:right="860"/>
        <w:spacing w:after="0" w:line="342" w:lineRule="auto"/>
        <w:rPr>
          <w:sz w:val="20"/>
          <w:szCs w:val="20"/>
          <w:color w:val="auto"/>
        </w:rPr>
      </w:pPr>
      <w:r>
        <w:rPr>
          <w:rFonts w:ascii="Arial" w:cs="Arial" w:eastAsia="Arial" w:hAnsi="Arial"/>
          <w:sz w:val="16"/>
          <w:szCs w:val="16"/>
          <w:color w:val="auto"/>
        </w:rPr>
        <w:t>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w:t>
      </w:r>
    </w:p>
    <w:p>
      <w:pPr>
        <w:spacing w:after="0" w:line="16" w:lineRule="exact"/>
        <w:rPr>
          <w:sz w:val="20"/>
          <w:szCs w:val="20"/>
          <w:color w:val="auto"/>
        </w:rPr>
      </w:pPr>
    </w:p>
    <w:p>
      <w:pPr>
        <w:ind w:firstLine="221"/>
        <w:spacing w:after="0" w:line="257"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consolidated historical financial statements and schedules of the Company and its consolidated subsidiaries included or incorporated by reference in the Registration Statement, the Time of Sale Information and the Final Prospectus present fairly in all material respects the financial condition, results of operations and cash flows of the Company as of the dates and for the periods indicated, comply as to form with the applicable accounting requirements of the Act and have been prepared in conformity with generally accepted accounting principles in the United States applied on a consistent basis throughout the periods involved (except as otherwise noted therein).</w:t>
      </w:r>
    </w:p>
    <w:p>
      <w:pPr>
        <w:spacing w:after="0" w:line="80" w:lineRule="exact"/>
        <w:rPr>
          <w:rFonts w:ascii="Arial" w:cs="Arial" w:eastAsia="Arial" w:hAnsi="Arial"/>
          <w:sz w:val="18"/>
          <w:szCs w:val="18"/>
          <w:color w:val="auto"/>
        </w:rPr>
      </w:pPr>
    </w:p>
    <w:p>
      <w:pPr>
        <w:ind w:right="100" w:firstLine="221"/>
        <w:spacing w:after="0" w:line="279"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Ernst &amp; Young LLP, who have audited certain financial statements of the Company and its consolidated subsidiaries and delivered their report with respect to the audited consolidated financial statements and schedules included in the Registration Statement, the Time of Sale Information and the Final Prospectus, are an independent registered public accounting firm with respect to the Company within the applicable rules and regulations adopted by the Commission and the Public Accounting Oversight Board (United States) and as required by the Act.</w:t>
      </w:r>
    </w:p>
    <w:p>
      <w:pPr>
        <w:spacing w:after="0" w:line="63" w:lineRule="exact"/>
        <w:rPr>
          <w:rFonts w:ascii="Arial" w:cs="Arial" w:eastAsia="Arial" w:hAnsi="Arial"/>
          <w:sz w:val="17"/>
          <w:szCs w:val="17"/>
          <w:color w:val="auto"/>
        </w:rPr>
      </w:pPr>
    </w:p>
    <w:p>
      <w:pPr>
        <w:ind w:right="100" w:firstLine="221"/>
        <w:spacing w:after="0" w:line="255"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the Company and Holdings has filed all foreign, federal, state and local tax returns that are required to be filed or has requested extensions thereof (except in any case in which the failure so to file would not have a Material Adverse Effect, and except as set forth or incorporated by reference in the Registration Statement, the Time of Sale Information and the Final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except as set forth or incorporated by reference in the Registration Statement, the Time of Sale Information and the Final Prospectus (exclusive of any amendment or supplement thereto).</w:t>
      </w:r>
    </w:p>
    <w:p>
      <w:pPr>
        <w:spacing w:after="0" w:line="81" w:lineRule="exact"/>
        <w:rPr>
          <w:rFonts w:ascii="Arial" w:cs="Arial" w:eastAsia="Arial" w:hAnsi="Arial"/>
          <w:sz w:val="18"/>
          <w:szCs w:val="18"/>
          <w:color w:val="auto"/>
        </w:rPr>
      </w:pPr>
    </w:p>
    <w:p>
      <w:pPr>
        <w:ind w:right="60" w:firstLine="221"/>
        <w:spacing w:after="0" w:line="259" w:lineRule="auto"/>
        <w:tabs>
          <w:tab w:leader="none" w:pos="47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labor problem or dispute with the employees of the Company or any of its subsidiaries exists or is threatened or imminent, nor is the Company aware of any existing or imminent labor disturbance by the employees of any of its or its subsidiaries’ principal suppliers, contractors or customers, that would have a Material Adverse Effect, except as set forth or incorporated by reference in the Registration Statement, the Time of Sale Information and the Final Prospectus (exclusive of any amendment or supplement thereto).</w:t>
      </w:r>
    </w:p>
    <w:p>
      <w:pPr>
        <w:spacing w:after="0" w:line="79" w:lineRule="exact"/>
        <w:rPr>
          <w:sz w:val="20"/>
          <w:szCs w:val="20"/>
          <w:color w:val="auto"/>
        </w:rPr>
      </w:pPr>
    </w:p>
    <w:p>
      <w:pPr>
        <w:ind w:right="180" w:firstLine="221"/>
        <w:spacing w:after="0" w:line="286" w:lineRule="auto"/>
        <w:tabs>
          <w:tab w:leader="none" w:pos="55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Except as would not have a Material Adverse Effect: the Company and each of its Subsidiaries are insured by insurers of recognized financial responsibility against such losses and risks and in such amounts as are prudent and customary in the businesses in which they are engaged; all policies of insurance insuring the Company or any of its Subsidiaries or their respective businesses, assets, employees, officers and</w:t>
      </w:r>
    </w:p>
    <w:p>
      <w:pPr>
        <w:spacing w:after="0" w:line="13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3" w:name="page14"/>
    <w:bookmarkEnd w:id="13"/>
    <w:p>
      <w:pPr>
        <w:ind w:left="4"/>
        <w:spacing w:after="0" w:line="271" w:lineRule="auto"/>
        <w:rPr>
          <w:sz w:val="20"/>
          <w:szCs w:val="20"/>
          <w:color w:val="auto"/>
        </w:rPr>
      </w:pPr>
      <w:r>
        <w:rPr>
          <w:rFonts w:ascii="Arial" w:cs="Arial" w:eastAsia="Arial" w:hAnsi="Arial"/>
          <w:sz w:val="17"/>
          <w:szCs w:val="17"/>
          <w:color w:val="auto"/>
        </w:rPr>
        <w:t>directors are in full force and effect; the Company and its Subsidiaries are in compliance with the terms of such policies and instruments; there are no claims by the Company or any of its Subsidiaries under any such policy or instrument as to which any insurance company is denying liability or defending under a reservation of rights clause; and neither the Company nor any such Subsidiary has been refused any insurance coverage sought or applied for, except in each case as set forth or incorporated by reference in the Registration Statement, the Time of Sale Information and the Final Prospectus (exclusive of any amendment or supplement thereto).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or incorporated by reference in the Registration Statement, the Time of Sale Information and the Final Prospectus (exclusive of any amendment or supplement thereto).</w:t>
      </w:r>
    </w:p>
    <w:p>
      <w:pPr>
        <w:spacing w:after="0" w:line="71" w:lineRule="exact"/>
        <w:rPr>
          <w:sz w:val="20"/>
          <w:szCs w:val="20"/>
          <w:color w:val="auto"/>
        </w:rPr>
      </w:pPr>
    </w:p>
    <w:p>
      <w:pPr>
        <w:jc w:val="both"/>
        <w:ind w:left="4" w:right="20" w:firstLine="221"/>
        <w:spacing w:after="0" w:line="279" w:lineRule="auto"/>
        <w:tabs>
          <w:tab w:leader="none" w:pos="574" w:val="left"/>
        </w:tabs>
        <w:numPr>
          <w:ilvl w:val="1"/>
          <w:numId w:val="10"/>
        </w:numPr>
        <w:rPr>
          <w:rFonts w:ascii="Arial" w:cs="Arial" w:eastAsia="Arial" w:hAnsi="Arial"/>
          <w:sz w:val="17"/>
          <w:szCs w:val="17"/>
          <w:color w:val="auto"/>
        </w:rPr>
      </w:pPr>
      <w:r>
        <w:rPr>
          <w:rFonts w:ascii="Arial" w:cs="Arial" w:eastAsia="Arial" w:hAnsi="Arial"/>
          <w:sz w:val="17"/>
          <w:szCs w:val="17"/>
          <w:color w:val="auto"/>
        </w:rPr>
        <w:t>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or incorporated by reference in the Time of Sale Information and the Final Prospectus (exclusive of any amendment or supplement thereto).</w:t>
      </w:r>
    </w:p>
    <w:p>
      <w:pPr>
        <w:spacing w:after="0" w:line="63" w:lineRule="exact"/>
        <w:rPr>
          <w:rFonts w:ascii="Arial" w:cs="Arial" w:eastAsia="Arial" w:hAnsi="Arial"/>
          <w:sz w:val="17"/>
          <w:szCs w:val="17"/>
          <w:color w:val="auto"/>
        </w:rPr>
      </w:pPr>
    </w:p>
    <w:p>
      <w:pPr>
        <w:ind w:left="4" w:right="40" w:firstLine="221"/>
        <w:spacing w:after="0" w:line="255" w:lineRule="auto"/>
        <w:tabs>
          <w:tab w:leader="none" w:pos="553"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Except as would not have a Material Adverse Effect, the Company and its subsidiaries possess and are in compliance with all licenses, certificates, permits and other authorizations issued by the appropriate federal, state or foreign regulatory authorities necessary to conduct their respective businesses, and neither the Company nor any such subsidiary has received any notice of proceedings relating to the revocation or modification of any such license, certificate, authorization or permit, which, singly or in the aggregate, if the subject of an unfavorable decision, ruling or finding, would have a Material Adverse Effect, except as set forth or incorporated by reference in the Registration Statement, the Time of Sale Information and the Final Prospectus (exclusive of any amendment or supplement thereto).</w:t>
      </w:r>
    </w:p>
    <w:p>
      <w:pPr>
        <w:spacing w:after="0" w:line="85" w:lineRule="exact"/>
        <w:rPr>
          <w:rFonts w:ascii="Arial" w:cs="Arial" w:eastAsia="Arial" w:hAnsi="Arial"/>
          <w:sz w:val="18"/>
          <w:szCs w:val="18"/>
          <w:color w:val="auto"/>
        </w:rPr>
      </w:pPr>
    </w:p>
    <w:p>
      <w:pPr>
        <w:ind w:left="564" w:hanging="339"/>
        <w:spacing w:after="0"/>
        <w:tabs>
          <w:tab w:leader="none" w:pos="564"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Company and each of its subsidiaries maintain a system of internal accounting controls sufficient to provide reasonable assurance that</w:t>
      </w:r>
    </w:p>
    <w:p>
      <w:pPr>
        <w:spacing w:after="0" w:line="34" w:lineRule="exact"/>
        <w:rPr>
          <w:rFonts w:ascii="Arial" w:cs="Arial" w:eastAsia="Arial" w:hAnsi="Arial"/>
          <w:sz w:val="17"/>
          <w:szCs w:val="17"/>
          <w:color w:val="auto"/>
        </w:rPr>
      </w:pPr>
    </w:p>
    <w:p>
      <w:pPr>
        <w:ind w:left="4" w:right="160" w:hanging="4"/>
        <w:spacing w:after="0" w:line="281" w:lineRule="auto"/>
        <w:tabs>
          <w:tab w:leader="none" w:pos="219" w:val="left"/>
        </w:tabs>
        <w:numPr>
          <w:ilvl w:val="0"/>
          <w:numId w:val="11"/>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authorizations; (ii) transactions are recorded as necessary to permit preparation of financial statements in conformity with generally accepted accounting principles in the United States and to maintain asset accountability;</w:t>
      </w:r>
    </w:p>
    <w:p>
      <w:pPr>
        <w:spacing w:after="0" w:line="1" w:lineRule="exact"/>
        <w:rPr>
          <w:rFonts w:ascii="Arial" w:cs="Arial" w:eastAsia="Arial" w:hAnsi="Arial"/>
          <w:sz w:val="16"/>
          <w:szCs w:val="16"/>
          <w:color w:val="auto"/>
        </w:rPr>
      </w:pPr>
    </w:p>
    <w:p>
      <w:pPr>
        <w:ind w:left="4" w:right="60" w:hanging="4"/>
        <w:spacing w:after="0" w:line="290" w:lineRule="auto"/>
        <w:tabs>
          <w:tab w:leader="none" w:pos="319"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53" w:lineRule="exact"/>
        <w:rPr>
          <w:rFonts w:ascii="Arial" w:cs="Arial" w:eastAsia="Arial" w:hAnsi="Arial"/>
          <w:sz w:val="17"/>
          <w:szCs w:val="17"/>
          <w:color w:val="auto"/>
        </w:rPr>
      </w:pPr>
    </w:p>
    <w:p>
      <w:pPr>
        <w:ind w:left="4" w:right="320" w:firstLine="221"/>
        <w:spacing w:after="0" w:line="277" w:lineRule="auto"/>
        <w:tabs>
          <w:tab w:leader="none" w:pos="553" w:val="left"/>
        </w:tabs>
        <w:numPr>
          <w:ilvl w:val="1"/>
          <w:numId w:val="12"/>
        </w:numPr>
        <w:rPr>
          <w:rFonts w:ascii="Arial" w:cs="Arial" w:eastAsia="Arial" w:hAnsi="Arial"/>
          <w:sz w:val="18"/>
          <w:szCs w:val="18"/>
          <w:color w:val="auto"/>
        </w:rPr>
      </w:pPr>
      <w:r>
        <w:rPr>
          <w:rFonts w:ascii="Arial" w:cs="Arial" w:eastAsia="Arial" w:hAnsi="Arial"/>
          <w:sz w:val="18"/>
          <w:szCs w:val="18"/>
          <w:color w:val="auto"/>
        </w:rPr>
        <w:t>Neither the Company nor Holdings has taken, directly or indirectly, any action designed to or that would constitute or that might reasonably be expected to cause</w:t>
      </w:r>
    </w:p>
    <w:p>
      <w:pPr>
        <w:spacing w:after="0" w:line="143"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5" w:right="25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or result in stabilization or manipulation of the price of any security of the Company or Holdings to facilitate the sale or resale of the Securities.</w:t>
      </w:r>
    </w:p>
    <w:p>
      <w:pPr>
        <w:spacing w:after="0" w:line="129" w:lineRule="exact"/>
        <w:rPr>
          <w:sz w:val="20"/>
          <w:szCs w:val="20"/>
          <w:color w:val="auto"/>
        </w:rPr>
      </w:pPr>
    </w:p>
    <w:p>
      <w:pPr>
        <w:ind w:firstLine="221"/>
        <w:spacing w:after="0" w:line="287" w:lineRule="auto"/>
        <w:tabs>
          <w:tab w:leader="none" w:pos="50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and its subsidiaries (i) are in compliance with any and all applicable foreign, federal, state and local laws, regulations and requirements relating to pollution, the protection of natural resources, human health and safety, the environment or hazardous or toxic substances or wastes, solid wastes, petroleum hydrocarbons or products, pollutants or contaminants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have received and are in compliance with all permits, licenses, certificates and other authorizations or approvals required of them under applicable Environmental Laws to conduct their respective businesses, and (iii) have not received notice of any actual or potential cost or liability for the investigation or remediation of any disposal or release of hazardous or toxic substances or wastes, solid wastes, petroleum hydrocarbons or products, pollutants or contaminants, except where such non-compliance with Environmental Laws, failure to receive required permits, licenses or other approvals, or cost or liability would not, individually or in the aggregate, have a Material Adverse Effect, except as set forth or incorporated by reference in the Registration Statement, the Time of Sale Information and the Final Prospectus (exclusive of any amendment or supplement thereto). The environmental reserves described or incorporated by reference in the Registration Statement, the Time of Sale Information and the Final Prospectus reflect in accordance with generally accepted accounting principles in the United States the known liabilities and obligations of the Company and its subsidiaries under Environmental Laws.</w:t>
      </w:r>
    </w:p>
    <w:p>
      <w:pPr>
        <w:spacing w:after="0" w:line="64" w:lineRule="exact"/>
        <w:rPr>
          <w:rFonts w:ascii="Arial" w:cs="Arial" w:eastAsia="Arial" w:hAnsi="Arial"/>
          <w:sz w:val="16"/>
          <w:szCs w:val="16"/>
          <w:color w:val="auto"/>
        </w:rPr>
      </w:pPr>
    </w:p>
    <w:p>
      <w:pPr>
        <w:ind w:right="280" w:firstLine="221"/>
        <w:spacing w:after="0" w:line="272" w:lineRule="auto"/>
        <w:tabs>
          <w:tab w:leader="none" w:pos="57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certificate or other authorization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 except as set forth or incorporated by reference in the Registration Statement, the Time of Sale Information and the Final Prospectus (exclusive of any amendment or supplement thereto).</w:t>
      </w:r>
    </w:p>
    <w:p>
      <w:pPr>
        <w:spacing w:after="0" w:line="69" w:lineRule="exact"/>
        <w:rPr>
          <w:rFonts w:ascii="Arial" w:cs="Arial" w:eastAsia="Arial" w:hAnsi="Arial"/>
          <w:sz w:val="17"/>
          <w:szCs w:val="17"/>
          <w:color w:val="auto"/>
        </w:rPr>
      </w:pPr>
    </w:p>
    <w:p>
      <w:pPr>
        <w:ind w:firstLine="221"/>
        <w:spacing w:after="0" w:line="255" w:lineRule="auto"/>
        <w:tabs>
          <w:tab w:leader="none" w:pos="5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as would not have a Material Adverse Effect, each of the Company and its subsidiaries has fulfilled its obligations, if any, under the minimum funding standards of Section 302 of the United States Employee Retirement Income Security Act of 1974 (“</w:t>
      </w:r>
      <w:r>
        <w:rPr>
          <w:rFonts w:ascii="Arial" w:cs="Arial" w:eastAsia="Arial" w:hAnsi="Arial"/>
          <w:sz w:val="18"/>
          <w:szCs w:val="18"/>
          <w:u w:val="single" w:color="auto"/>
          <w:color w:val="auto"/>
        </w:rPr>
        <w:t>ERISA</w:t>
      </w:r>
      <w:r>
        <w:rPr>
          <w:rFonts w:ascii="Arial" w:cs="Arial" w:eastAsia="Arial" w:hAnsi="Arial"/>
          <w:sz w:val="18"/>
          <w:szCs w:val="18"/>
          <w:color w:val="auto"/>
        </w:rPr>
        <w:t>”) and the regulations and published interpretations thereunder with respect to each “plan” (as defined in Section 3(3) of ERISA and such regulations and published interpretations) in which current or former employees of the Company and all members of its controlled group (within the meaning of Section 303(d)(1)(B) of ERISA) are or have been eligible to participate and each such plan is in compliance with the presently applicable provisions of ERISA and such regulations and published interpretations. Except as would not have a Material Adverse Effect, the Company and its subsidiaries have not incurred any unpaid liability to the Pension Benefit Guaranty</w:t>
      </w:r>
    </w:p>
    <w:p>
      <w:pPr>
        <w:spacing w:after="0" w:line="16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Corporation (other than for the payment of premiums in the ordinary course) or to any such plan under Title IV of ERISA.</w:t>
      </w:r>
    </w:p>
    <w:p>
      <w:pPr>
        <w:spacing w:after="0" w:line="117" w:lineRule="exact"/>
        <w:rPr>
          <w:sz w:val="20"/>
          <w:szCs w:val="20"/>
          <w:color w:val="auto"/>
        </w:rPr>
      </w:pPr>
    </w:p>
    <w:p>
      <w:pPr>
        <w:ind w:left="480" w:hanging="259"/>
        <w:spacing w:after="0"/>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 holders of securities of the Company or Holdings have rights to the registration of such securities under the Registration Statement.</w:t>
      </w:r>
    </w:p>
    <w:p>
      <w:pPr>
        <w:spacing w:after="0" w:line="128" w:lineRule="exact"/>
        <w:rPr>
          <w:rFonts w:ascii="Arial" w:cs="Arial" w:eastAsia="Arial" w:hAnsi="Arial"/>
          <w:sz w:val="17"/>
          <w:szCs w:val="17"/>
          <w:color w:val="auto"/>
        </w:rPr>
      </w:pPr>
    </w:p>
    <w:p>
      <w:pPr>
        <w:ind w:firstLine="221"/>
        <w:spacing w:after="0" w:line="257" w:lineRule="auto"/>
        <w:tabs>
          <w:tab w:leader="none" w:pos="4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principal executive officer and principal financial officer of the Company have made all certifications required by the Sarbanes-Oxley Act of 2002 and the rules and regulations promulgated in connection therewith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and the statements contained in any such certification are true and correct in all material respects. There is and has been no failure on the part of the Company or, to the knowledge of the Company, on the part of any of the Company’s directors or officers, in their capacities as such, to comply with any provision of the Sarbanes-Oxley Act, including Section 402 related to loans.</w:t>
      </w:r>
    </w:p>
    <w:p>
      <w:pPr>
        <w:spacing w:after="0" w:line="80" w:lineRule="exact"/>
        <w:rPr>
          <w:rFonts w:ascii="Arial" w:cs="Arial" w:eastAsia="Arial" w:hAnsi="Arial"/>
          <w:sz w:val="18"/>
          <w:szCs w:val="18"/>
          <w:color w:val="auto"/>
        </w:rPr>
      </w:pPr>
    </w:p>
    <w:p>
      <w:pPr>
        <w:ind w:right="60" w:firstLine="221"/>
        <w:spacing w:after="0" w:line="290" w:lineRule="auto"/>
        <w:tabs>
          <w:tab w:leader="none" w:pos="57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maintains disclosure controls and procedures (as such term is defined in Rule 13a-15(e) under the Exchange Act), which (i) were designed to ensure, among other things, that material information relating to the Company, including its consolidated subsidiaries, was made known to the principal executive officer and the principal financial officer of the Company by others within those entities, particularly during the periods in which the Company’s Annual Report on Form 10-K for the year ended December 31, 2010 and the Quarterly Reports on Form 10-Q for the three months ended March 31, 2011 and June 30, 2011 were being prepared; (ii) have been evaluated for effectiveness as of the end of the periods covered by the Company’s Annual Report on Form 10-K for the year ended December 31, 2010 and the Quarterly Reports on Form 10-Q for the three months ended March 31, 2011 and June 30, 2011 pursuant to Rule 13a-15 of the Exchange Act; and (iii) are effective to ensure that the Company is able to collect, process and disclose the information required to be disclosed in reports filed with the Commission within required time periods.</w:t>
      </w:r>
    </w:p>
    <w:p>
      <w:pPr>
        <w:spacing w:after="0" w:line="58" w:lineRule="exact"/>
        <w:rPr>
          <w:rFonts w:ascii="Arial" w:cs="Arial" w:eastAsia="Arial" w:hAnsi="Arial"/>
          <w:sz w:val="16"/>
          <w:szCs w:val="16"/>
          <w:color w:val="auto"/>
        </w:rPr>
      </w:pPr>
    </w:p>
    <w:p>
      <w:pPr>
        <w:ind w:right="80" w:firstLine="221"/>
        <w:spacing w:after="0" w:line="255" w:lineRule="auto"/>
        <w:tabs>
          <w:tab w:leader="none" w:pos="4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the evaluation of its disclosure controls and procedures as of the end of the periods covered by the Annual Report on Form 10-K for the year ended December 31, 2010 and the Quarterly Reports on Form 10-Q for the three months ended March 31, 2011 and June 30, 2011, and other than as has been disclosed in the Registration Statement, the Time of Sale Information and the Final Prospectus, the Company is not aware of (i) any significant deficiency in the design or operation of internal controls which could adversely affect its ability to record, process, summarize and report financial data or any material weaknesses in internal controls; or (ii) any fraud, whether or not material, that involves management or other employees who have a significant role in the internal controls of the Company.</w:t>
      </w:r>
    </w:p>
    <w:p>
      <w:pPr>
        <w:spacing w:after="0" w:line="85" w:lineRule="exact"/>
        <w:rPr>
          <w:rFonts w:ascii="Arial" w:cs="Arial" w:eastAsia="Arial" w:hAnsi="Arial"/>
          <w:sz w:val="18"/>
          <w:szCs w:val="18"/>
          <w:color w:val="auto"/>
        </w:rPr>
      </w:pPr>
    </w:p>
    <w:p>
      <w:pPr>
        <w:ind w:right="240" w:firstLine="221"/>
        <w:spacing w:after="0" w:line="259" w:lineRule="auto"/>
        <w:tabs>
          <w:tab w:leader="none" w:pos="6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maintains systems of “internal control over financial reporting” (as defined in Rule 12a-15(f)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w:t>
      </w:r>
    </w:p>
    <w:p>
      <w:pPr>
        <w:spacing w:after="0" w:line="16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6" w:name="page17"/>
    <w:bookmarkEnd w:id="16"/>
    <w:p>
      <w:pPr>
        <w:ind w:right="640"/>
        <w:spacing w:after="0" w:line="277" w:lineRule="auto"/>
        <w:rPr>
          <w:sz w:val="20"/>
          <w:szCs w:val="20"/>
          <w:color w:val="auto"/>
        </w:rPr>
      </w:pPr>
      <w:r>
        <w:rPr>
          <w:rFonts w:ascii="Arial" w:cs="Arial" w:eastAsia="Arial" w:hAnsi="Arial"/>
          <w:sz w:val="18"/>
          <w:szCs w:val="18"/>
          <w:color w:val="auto"/>
        </w:rPr>
        <w:t>accordance with generally accepted accounting principles in the United States. Except as disclosed in the Registration Statement, the Time of Sale Information and the Final Prospectus, there are no material weaknesses in the Company’s internal controls.</w:t>
      </w:r>
    </w:p>
    <w:p>
      <w:pPr>
        <w:spacing w:after="0" w:line="62" w:lineRule="exact"/>
        <w:rPr>
          <w:sz w:val="20"/>
          <w:szCs w:val="20"/>
          <w:color w:val="auto"/>
        </w:rPr>
      </w:pPr>
    </w:p>
    <w:p>
      <w:pPr>
        <w:ind w:right="700" w:firstLine="221"/>
        <w:spacing w:after="0" w:line="277" w:lineRule="auto"/>
        <w:tabs>
          <w:tab w:leader="none" w:pos="5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Since December 31, 2010, there have been no significant changes in internal controls or in other factors that could significantly affect the Company’s internal controls over financial reporting.</w:t>
      </w:r>
    </w:p>
    <w:p>
      <w:pPr>
        <w:spacing w:after="0" w:line="62" w:lineRule="exact"/>
        <w:rPr>
          <w:rFonts w:ascii="Arial" w:cs="Arial" w:eastAsia="Arial" w:hAnsi="Arial"/>
          <w:sz w:val="18"/>
          <w:szCs w:val="18"/>
          <w:color w:val="auto"/>
        </w:rPr>
      </w:pPr>
    </w:p>
    <w:p>
      <w:pPr>
        <w:ind w:right="300" w:firstLine="221"/>
        <w:spacing w:after="0" w:line="277" w:lineRule="auto"/>
        <w:tabs>
          <w:tab w:leader="none" w:pos="5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Other than Holdings, no subsidiary of the Company has guaranteed any outstanding senior indebtedness of the Company except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guarantees made in the ordinary course of business.</w:t>
      </w:r>
    </w:p>
    <w:p>
      <w:pPr>
        <w:spacing w:after="0" w:line="62" w:lineRule="exact"/>
        <w:rPr>
          <w:rFonts w:ascii="Arial" w:cs="Arial" w:eastAsia="Arial" w:hAnsi="Arial"/>
          <w:sz w:val="18"/>
          <w:szCs w:val="18"/>
          <w:color w:val="auto"/>
        </w:rPr>
      </w:pPr>
    </w:p>
    <w:p>
      <w:pPr>
        <w:ind w:right="480" w:firstLine="221"/>
        <w:spacing w:after="0" w:line="277" w:lineRule="auto"/>
        <w:tabs>
          <w:tab w:leader="none" w:pos="5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is not an ineligible issuer and is a well-known seasoned issuer, in each case as defined under the Act, in each case at the times specified in the Act in connection with the offering of the Securities.</w:t>
      </w:r>
    </w:p>
    <w:p>
      <w:pPr>
        <w:spacing w:after="0" w:line="62" w:lineRule="exact"/>
        <w:rPr>
          <w:rFonts w:ascii="Arial" w:cs="Arial" w:eastAsia="Arial" w:hAnsi="Arial"/>
          <w:sz w:val="18"/>
          <w:szCs w:val="18"/>
          <w:color w:val="auto"/>
        </w:rPr>
      </w:pPr>
    </w:p>
    <w:p>
      <w:pPr>
        <w:ind w:firstLine="221"/>
        <w:spacing w:after="0" w:line="290" w:lineRule="auto"/>
        <w:tabs>
          <w:tab w:leader="none" w:pos="57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None of the Company, any of its subsidiaries or, to the knowledge of the Company, any 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6"/>
          <w:szCs w:val="16"/>
          <w:u w:val="single" w:color="auto"/>
          <w:color w:val="auto"/>
        </w:rPr>
        <w:t>FCPA</w:t>
      </w:r>
      <w:r>
        <w:rPr>
          <w:rFonts w:ascii="Arial" w:cs="Arial" w:eastAsia="Arial" w:hAnsi="Arial"/>
          <w:sz w:val="16"/>
          <w:szCs w:val="16"/>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its subsidiaries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58" w:lineRule="exact"/>
        <w:rPr>
          <w:rFonts w:ascii="Arial" w:cs="Arial" w:eastAsia="Arial" w:hAnsi="Arial"/>
          <w:sz w:val="16"/>
          <w:szCs w:val="16"/>
          <w:color w:val="auto"/>
        </w:rPr>
      </w:pPr>
    </w:p>
    <w:p>
      <w:pPr>
        <w:ind w:right="80" w:firstLine="221"/>
        <w:spacing w:after="0" w:line="257" w:lineRule="auto"/>
        <w:tabs>
          <w:tab w:leader="none" w:pos="5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None of the Company, any of its subsidiaries or, to the knowledge of the Company, any director, officer, agent, employee or affiliate of the Company or any of its subsidiaries is currently subject to any U.S. sanctions administered by the Office of Foreign Assets Control of the U.S. Department of the Treasury (“</w:t>
      </w:r>
      <w:r>
        <w:rPr>
          <w:rFonts w:ascii="Arial" w:cs="Arial" w:eastAsia="Arial" w:hAnsi="Arial"/>
          <w:sz w:val="18"/>
          <w:szCs w:val="18"/>
          <w:u w:val="single" w:color="auto"/>
          <w:color w:val="auto"/>
        </w:rPr>
        <w:t>OFAC</w:t>
      </w:r>
      <w:r>
        <w:rPr>
          <w:rFonts w:ascii="Arial" w:cs="Arial" w:eastAsia="Arial" w:hAnsi="Arial"/>
          <w:sz w:val="18"/>
          <w:szCs w:val="18"/>
          <w:color w:val="auto"/>
        </w:rPr>
        <w:t>”);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80" w:lineRule="exact"/>
        <w:rPr>
          <w:rFonts w:ascii="Arial" w:cs="Arial" w:eastAsia="Arial" w:hAnsi="Arial"/>
          <w:sz w:val="18"/>
          <w:szCs w:val="18"/>
          <w:color w:val="auto"/>
        </w:rPr>
      </w:pPr>
    </w:p>
    <w:p>
      <w:pPr>
        <w:ind w:right="20" w:firstLine="221"/>
        <w:spacing w:after="0" w:line="302" w:lineRule="auto"/>
        <w:tabs>
          <w:tab w:leader="none" w:pos="53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suit or proceeding by or before any court or governmental agency,</w:t>
      </w:r>
    </w:p>
    <w:p>
      <w:pPr>
        <w:spacing w:after="0" w:line="12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7" w:name="page18"/>
    <w:bookmarkEnd w:id="17"/>
    <w:p>
      <w:pPr>
        <w:ind w:left="240" w:right="420"/>
        <w:spacing w:after="0" w:line="277" w:lineRule="auto"/>
        <w:rPr>
          <w:sz w:val="20"/>
          <w:szCs w:val="20"/>
          <w:color w:val="auto"/>
        </w:rPr>
      </w:pPr>
      <w:r>
        <w:rPr>
          <w:rFonts w:ascii="Arial" w:cs="Arial" w:eastAsia="Arial" w:hAnsi="Arial"/>
          <w:sz w:val="18"/>
          <w:szCs w:val="18"/>
          <w:color w:val="auto"/>
        </w:rPr>
        <w:t>authority or body or any arbitrator involving the Company or any of its subsidiaries with respect to the Money Laundering Laws is pending or, to the knowledge of the Company, threatened.</w:t>
      </w:r>
    </w:p>
    <w:p>
      <w:pPr>
        <w:spacing w:after="0" w:line="62" w:lineRule="exact"/>
        <w:rPr>
          <w:sz w:val="20"/>
          <w:szCs w:val="20"/>
          <w:color w:val="auto"/>
        </w:rPr>
      </w:pPr>
    </w:p>
    <w:p>
      <w:pPr>
        <w:jc w:val="both"/>
        <w:ind w:right="60" w:firstLine="215"/>
        <w:spacing w:after="0" w:line="264" w:lineRule="auto"/>
        <w:rPr>
          <w:sz w:val="20"/>
          <w:szCs w:val="20"/>
          <w:color w:val="auto"/>
        </w:rPr>
      </w:pPr>
      <w:r>
        <w:rPr>
          <w:rFonts w:ascii="Arial" w:cs="Arial" w:eastAsia="Arial" w:hAnsi="Arial"/>
          <w:sz w:val="18"/>
          <w:szCs w:val="18"/>
          <w:color w:val="auto"/>
        </w:rPr>
        <w:t>Any certificate signed by any officer of the Company or Holdings and delivered to the Representatives or counsel for the Underwriters in connection with the offering of the Securities shall be deemed a representation and warranty by the Company or Holdings, as the case may be, as to matters covered thereby, to each Underwriter.</w:t>
      </w:r>
    </w:p>
    <w:p>
      <w:pPr>
        <w:spacing w:after="0" w:line="73" w:lineRule="exact"/>
        <w:rPr>
          <w:sz w:val="20"/>
          <w:szCs w:val="20"/>
          <w:color w:val="auto"/>
        </w:rPr>
      </w:pPr>
    </w:p>
    <w:p>
      <w:pPr>
        <w:ind w:right="140" w:firstLine="233"/>
        <w:spacing w:after="0" w:line="259" w:lineRule="auto"/>
        <w:tabs>
          <w:tab w:leader="none" w:pos="40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 Subject to the terms and conditions and in reliance upon the representations and warranties herein set forth, the Company agrees to sell to each Underwriter, and each Underwriter agrees, severally and not jointly, to purchase from the Company, at a purchase price of 99.391% of the principal amount of the 2.60% Senior Notes due 2016 plus accrued interest, if any, from August 29, 2011 to the Closing Date, the principal amount of the Notes set forth opposite such Underwriter’s name in Schedule II hereto.</w:t>
      </w:r>
    </w:p>
    <w:p>
      <w:pPr>
        <w:spacing w:after="0" w:line="79"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The Company acknowledges and agrees that the Underwriters are acting solely in the capacity of an arm’s 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in connection with the offering of Securities hereby,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71" w:lineRule="exact"/>
        <w:rPr>
          <w:sz w:val="20"/>
          <w:szCs w:val="20"/>
          <w:color w:val="auto"/>
        </w:rPr>
      </w:pPr>
    </w:p>
    <w:p>
      <w:pPr>
        <w:ind w:right="100" w:firstLine="233"/>
        <w:spacing w:after="0" w:line="272" w:lineRule="auto"/>
        <w:tabs>
          <w:tab w:leader="none" w:pos="405"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Delivery and Payment</w:t>
      </w:r>
      <w:r>
        <w:rPr>
          <w:rFonts w:ascii="Arial" w:cs="Arial" w:eastAsia="Arial" w:hAnsi="Arial"/>
          <w:sz w:val="17"/>
          <w:szCs w:val="17"/>
          <w:color w:val="auto"/>
        </w:rPr>
        <w:t>. Delivery of and payment for the Securities shall be made on the date and at the time specified in Schedule I hereto or at such time on such later date not more than three Business Days after the foregoing date as the Representatives shall designate, which date and time may be postponed by agreement between the Representatives and the Company or as provided in Section 10 hereof (such date and time of delivery and payment for the Securities being herein called the “</w:t>
      </w:r>
      <w:r>
        <w:rPr>
          <w:rFonts w:ascii="Arial" w:cs="Arial" w:eastAsia="Arial" w:hAnsi="Arial"/>
          <w:sz w:val="17"/>
          <w:szCs w:val="17"/>
          <w:u w:val="single" w:color="auto"/>
          <w:color w:val="auto"/>
        </w:rPr>
        <w:t>Closing Date</w:t>
      </w:r>
      <w:r>
        <w:rPr>
          <w:rFonts w:ascii="Arial" w:cs="Arial" w:eastAsia="Arial" w:hAnsi="Arial"/>
          <w:sz w:val="17"/>
          <w:szCs w:val="17"/>
          <w:color w:val="auto"/>
        </w:rPr>
        <w:t>”).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Securities shall be made through the facilities of The Depository Trust Company unless the Representatives shall otherwise instruct.</w:t>
      </w:r>
    </w:p>
    <w:p>
      <w:pPr>
        <w:spacing w:after="0" w:line="69" w:lineRule="exact"/>
        <w:rPr>
          <w:rFonts w:ascii="Arial" w:cs="Arial" w:eastAsia="Arial" w:hAnsi="Arial"/>
          <w:sz w:val="17"/>
          <w:szCs w:val="17"/>
          <w:color w:val="auto"/>
        </w:rPr>
      </w:pPr>
    </w:p>
    <w:p>
      <w:pPr>
        <w:ind w:right="780" w:firstLine="233"/>
        <w:spacing w:after="0" w:line="277" w:lineRule="auto"/>
        <w:tabs>
          <w:tab w:leader="none" w:pos="40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Offering by Underwriters</w:t>
      </w:r>
      <w:r>
        <w:rPr>
          <w:rFonts w:ascii="Arial" w:cs="Arial" w:eastAsia="Arial" w:hAnsi="Arial"/>
          <w:sz w:val="18"/>
          <w:szCs w:val="18"/>
          <w:color w:val="auto"/>
        </w:rPr>
        <w:t>. It is understood that the several Underwriters propose to offer the Securities for sale to the public as set forth in the Registration Statement, the Time of Sale Information and the Final Prospectus.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8" w:name="page19"/>
    <w:bookmarkEnd w:id="18"/>
    <w:p>
      <w:pPr>
        <w:ind w:left="187" w:hanging="187"/>
        <w:spacing w:after="0"/>
        <w:tabs>
          <w:tab w:leader="none" w:pos="187"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Company agrees with the several Underwriters that:</w:t>
      </w:r>
    </w:p>
    <w:p>
      <w:pPr>
        <w:spacing w:after="0" w:line="117" w:lineRule="exact"/>
        <w:rPr>
          <w:rFonts w:ascii="Arial" w:cs="Arial" w:eastAsia="Arial" w:hAnsi="Arial"/>
          <w:sz w:val="18"/>
          <w:szCs w:val="18"/>
          <w:color w:val="auto"/>
        </w:rPr>
      </w:pPr>
    </w:p>
    <w:p>
      <w:pPr>
        <w:ind w:left="7" w:firstLine="221"/>
        <w:spacing w:after="0" w:line="253" w:lineRule="auto"/>
        <w:tabs>
          <w:tab w:leader="none" w:pos="477"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Company will file the Final Prospectus with the Commission within the time periods specified by Rule 424(b) and Rule 430A, 430B or 430C under the Act, will file any Issuer Free Writing Prospectus (including the term sheet in the form of Schedule I hereto) to the extent required by Rule 433 under the Act; and will file promptly all reports and any definitive proxy or information statements required to be filed by the Company with the Commission pursuant to Section 13(a), 13(c), 14 or 15(d) of the Exchange Act subsequent to the date of the Final Prospectus and for so long as the delivery of a prospectus is required in connection with the offering or sale of the Securities; and the Company will furnish copies of the Final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shall pay the registration fees for this offering within the time period required by Rule 456(b)(1)(i) under the Act (without giving effect to the proviso therein) and in any event prior to the Closing Date.</w:t>
      </w:r>
    </w:p>
    <w:p>
      <w:pPr>
        <w:spacing w:after="0" w:line="89" w:lineRule="exact"/>
        <w:rPr>
          <w:rFonts w:ascii="Arial" w:cs="Arial" w:eastAsia="Arial" w:hAnsi="Arial"/>
          <w:sz w:val="18"/>
          <w:szCs w:val="18"/>
          <w:color w:val="auto"/>
        </w:rPr>
      </w:pPr>
    </w:p>
    <w:p>
      <w:pPr>
        <w:ind w:left="7" w:right="40" w:firstLine="221"/>
        <w:spacing w:after="0" w:line="291" w:lineRule="auto"/>
        <w:tabs>
          <w:tab w:leader="none" w:pos="487" w:val="left"/>
        </w:tabs>
        <w:numPr>
          <w:ilvl w:val="1"/>
          <w:numId w:val="18"/>
        </w:numPr>
        <w:rPr>
          <w:rFonts w:ascii="Arial" w:cs="Arial" w:eastAsia="Arial" w:hAnsi="Arial"/>
          <w:sz w:val="16"/>
          <w:szCs w:val="16"/>
          <w:color w:val="auto"/>
        </w:rPr>
      </w:pPr>
      <w:r>
        <w:rPr>
          <w:rFonts w:ascii="Arial" w:cs="Arial" w:eastAsia="Arial" w:hAnsi="Arial"/>
          <w:sz w:val="16"/>
          <w:szCs w:val="16"/>
          <w:color w:val="auto"/>
        </w:rPr>
        <w:t>Before making, preparing, using, authorizing, approving, referring to or filing any Issuer Free Writing Prospectus, and before filing any amendment or supplement to the Registration Statement or the Final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Subject to the foregoing sentence, if the filing of the Final Prospectus is otherwise required under Rule 424(b), the Company will cause the Final Prospectus, properly completed, and any supplement thereto to be filed with the Commission pursuant to the applicable paragraph of Rule 424(b) within the time period prescribed and will provide evidence satisfactory to the Representatives of such timely filing.</w:t>
      </w:r>
    </w:p>
    <w:p>
      <w:pPr>
        <w:spacing w:after="0" w:line="59" w:lineRule="exact"/>
        <w:rPr>
          <w:rFonts w:ascii="Arial" w:cs="Arial" w:eastAsia="Arial" w:hAnsi="Arial"/>
          <w:sz w:val="16"/>
          <w:szCs w:val="16"/>
          <w:color w:val="auto"/>
        </w:rPr>
      </w:pPr>
    </w:p>
    <w:p>
      <w:pPr>
        <w:ind w:left="7" w:right="60" w:firstLine="221"/>
        <w:spacing w:after="0" w:line="289" w:lineRule="auto"/>
        <w:tabs>
          <w:tab w:leader="none" w:pos="477"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Company will promptly advise the Representatives (1) when the Final Prospectus, and any supplement thereto, or any amendment to the Final Prospectus or any Issuer Free Writing Prospectus shall have been filed with the Commission pursuant to Rule 424(b) or when any Rule 462(b) Registration Statement shall have been filed with the Commission, (2) when, prior to termination of the offering of the Securities, any amendment to the Registration Statement shall have been filed or become effective, (3) of any request by the Commission or its staff for any amendment to the Registration Statement, or any Rule 462(b) Registration Statement, or for any supplement to the Final Prospectus or for any additional information, (4) of the issuance by the Commission of any stop order suspending the effectiveness of the Registration Statement or preventing or suspending the use of any Preliminary Prospectus or the Final Prospectus or the institution or threatening of any proceeding for that purpose or pursuant to Section 8A of the Act, (5) of the receipt by the Company of any notification with respect to the suspension of the qualification of the Securities for sale in any jurisdiction or the institution or threatening of any proceeding for such purpose, and (6) of the receipt by the Company of any notice of objection of the Commission to the use of the</w:t>
      </w:r>
    </w:p>
    <w:p>
      <w:pPr>
        <w:spacing w:after="0" w:line="140" w:lineRule="exact"/>
        <w:rPr>
          <w:sz w:val="20"/>
          <w:szCs w:val="20"/>
          <w:color w:val="auto"/>
        </w:rPr>
      </w:pPr>
    </w:p>
    <w:p>
      <w:pPr>
        <w:jc w:val="center"/>
        <w:ind w:right="193"/>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7"/>
          </w:cols>
          <w:pgMar w:left="473" w:top="935" w:right="259" w:bottom="1440" w:gutter="0" w:footer="0" w:header="0"/>
        </w:sectPr>
      </w:pPr>
    </w:p>
    <w:bookmarkStart w:id="19" w:name="page20"/>
    <w:bookmarkEnd w:id="19"/>
    <w:p>
      <w:pPr>
        <w:spacing w:after="0" w:line="342" w:lineRule="auto"/>
        <w:rPr>
          <w:sz w:val="20"/>
          <w:szCs w:val="20"/>
          <w:color w:val="auto"/>
        </w:rPr>
      </w:pPr>
      <w:r>
        <w:rPr>
          <w:rFonts w:ascii="Arial" w:cs="Arial" w:eastAsia="Arial" w:hAnsi="Arial"/>
          <w:sz w:val="16"/>
          <w:szCs w:val="16"/>
          <w:color w:val="auto"/>
        </w:rPr>
        <w:t>Registration Statement or any post-effective amendment thereto pursuant to Rule 401(g)(2) under the Act. The Company will use its best efforts to prevent the issuance of any such stop order or the suspension of any such qualification and, if issued, to obtain as soon as possible the withdrawal thereof.</w:t>
      </w:r>
    </w:p>
    <w:p>
      <w:pPr>
        <w:spacing w:after="0" w:line="16" w:lineRule="exact"/>
        <w:rPr>
          <w:sz w:val="20"/>
          <w:szCs w:val="20"/>
          <w:color w:val="auto"/>
        </w:rPr>
      </w:pPr>
    </w:p>
    <w:p>
      <w:pPr>
        <w:ind w:firstLine="221"/>
        <w:spacing w:after="0" w:line="293" w:lineRule="auto"/>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during the Prospectus Delivery Period, (i) any event occurs as a result of which the Final Prospectus as then supplemented would include any untrue statement of a material fact or omit to state any material fact necessary to make the statements therein, in the light of the circumstances under which they were made, not misleading, or (ii) it shall be necessary to amend the Registration Statement or supplement the Final Prospectus to comply with the Act or the Exchange Act or the respective rules thereunder, the Company promptly will (1) notify the Representatives of such event, (2) prepare and file with the Commission, subject to the second sentence of paragraph (b) of this Section 5, an amendment or supplement which will correct such statement or omission or effect such compliance, and (3) supply any supplemented Final Prospectus to you in such quantities as you may reasonably request.</w:t>
      </w:r>
    </w:p>
    <w:p>
      <w:pPr>
        <w:spacing w:after="0" w:line="56" w:lineRule="exact"/>
        <w:rPr>
          <w:rFonts w:ascii="Arial" w:cs="Arial" w:eastAsia="Arial" w:hAnsi="Arial"/>
          <w:sz w:val="16"/>
          <w:szCs w:val="16"/>
          <w:color w:val="auto"/>
        </w:rPr>
      </w:pPr>
    </w:p>
    <w:p>
      <w:pPr>
        <w:ind w:firstLine="221"/>
        <w:spacing w:after="0" w:line="254" w:lineRule="auto"/>
        <w:tabs>
          <w:tab w:leader="none" w:pos="4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at any time prior to the Closing Date (i) any event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immediately notify the Underwriters thereof and forthwith prepare and, subject to paragraph (b) of this Section 5, file with the Commission (to the extent required) and furnish to the Underwriters and to such dealers as the Representatives may designate, such amendments or supplements to the Time of Sale Information as may be necessary so that the statements in the Time of Sale Information as so amended or supplemented will not, in the light of the circumstances under which they were made, be misleading or so that the Time of Sale Information will comply with law.</w:t>
      </w:r>
    </w:p>
    <w:p>
      <w:pPr>
        <w:spacing w:after="0" w:line="84" w:lineRule="exact"/>
        <w:rPr>
          <w:rFonts w:ascii="Arial" w:cs="Arial" w:eastAsia="Arial" w:hAnsi="Arial"/>
          <w:sz w:val="18"/>
          <w:szCs w:val="18"/>
          <w:color w:val="auto"/>
        </w:rPr>
      </w:pPr>
    </w:p>
    <w:p>
      <w:pPr>
        <w:ind w:right="540" w:firstLine="221"/>
        <w:spacing w:after="0" w:line="342" w:lineRule="auto"/>
        <w:tabs>
          <w:tab w:leader="none" w:pos="45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soon as practicable, the Company will make generally available to its security holders and to the Representatives an earnings statement or statements of the Company and its Subsidiaries which will satisfy the provisions of Section 11(a) of the Act and Rule 158 under the Act.</w:t>
      </w:r>
    </w:p>
    <w:p>
      <w:pPr>
        <w:spacing w:after="0" w:line="15" w:lineRule="exact"/>
        <w:rPr>
          <w:rFonts w:ascii="Arial" w:cs="Arial" w:eastAsia="Arial" w:hAnsi="Arial"/>
          <w:sz w:val="16"/>
          <w:szCs w:val="16"/>
          <w:color w:val="auto"/>
        </w:rPr>
      </w:pPr>
    </w:p>
    <w:p>
      <w:pPr>
        <w:ind w:firstLine="221"/>
        <w:spacing w:after="0" w:line="297" w:lineRule="auto"/>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will furnish to the Representatives and counsel for the Underwriters, without charge, signed or conformed copies of the Registration Statement (including exhibits thereto and documents incorporated by reference therein) and to each other Underwriter a copy of the Registration Statement (without exhibits thereto) and, during the Prospectus Delivery Period, as many copies of the Final Prospectus, any amendment or supplement thereto and documents incorporated by reference therein, and each Issuer Free Writing Prospectus as the Representatives may reasonably request. The Company will pay the expenses of printing or other production of all documents relating to the offering.</w:t>
      </w:r>
    </w:p>
    <w:p>
      <w:pPr>
        <w:spacing w:after="0" w:line="13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0" w:name="page21"/>
    <w:bookmarkEnd w:id="20"/>
    <w:p>
      <w:pPr>
        <w:ind w:left="7" w:right="100" w:firstLine="221"/>
        <w:spacing w:after="0" w:line="276" w:lineRule="auto"/>
        <w:tabs>
          <w:tab w:leader="none" w:pos="487" w:val="left"/>
        </w:tabs>
        <w:numPr>
          <w:ilvl w:val="2"/>
          <w:numId w:val="20"/>
        </w:numPr>
        <w:rPr>
          <w:rFonts w:ascii="Arial" w:cs="Arial" w:eastAsia="Arial" w:hAnsi="Arial"/>
          <w:sz w:val="17"/>
          <w:szCs w:val="17"/>
          <w:color w:val="auto"/>
        </w:rPr>
      </w:pPr>
      <w:r>
        <w:rPr>
          <w:rFonts w:ascii="Arial" w:cs="Arial" w:eastAsia="Arial" w:hAnsi="Arial"/>
          <w:sz w:val="17"/>
          <w:szCs w:val="17"/>
          <w:color w:val="auto"/>
        </w:rPr>
        <w:t xml:space="preserve">The Company will arrange, if necessary, for the qualification of the Securities for sale under the laws of such jurisdictions as the Representatives may designate, will maintain such qualifications in effect so long as required for the distribution of the Securities and will pay any fee of the Financial Industry Regulatory Authority, in connection with its review of the offering;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the Company be obligated to qualify to do business in any jurisdiction where it is not now so qualified or to take any action that would subject it to tax or service of process in suits, other than those arising out of the offering or sale of the Securities, in any jurisdiction where it is not now so subject.</w:t>
      </w:r>
    </w:p>
    <w:p>
      <w:pPr>
        <w:spacing w:after="0" w:line="64" w:lineRule="exact"/>
        <w:rPr>
          <w:rFonts w:ascii="Arial" w:cs="Arial" w:eastAsia="Arial" w:hAnsi="Arial"/>
          <w:sz w:val="17"/>
          <w:szCs w:val="17"/>
          <w:color w:val="auto"/>
        </w:rPr>
      </w:pPr>
    </w:p>
    <w:p>
      <w:pPr>
        <w:ind w:left="7" w:firstLine="221"/>
        <w:spacing w:after="0" w:line="272" w:lineRule="auto"/>
        <w:tabs>
          <w:tab w:leader="none" w:pos="447" w:val="left"/>
        </w:tabs>
        <w:numPr>
          <w:ilvl w:val="2"/>
          <w:numId w:val="20"/>
        </w:numPr>
        <w:rPr>
          <w:rFonts w:ascii="Arial" w:cs="Arial" w:eastAsia="Arial" w:hAnsi="Arial"/>
          <w:sz w:val="17"/>
          <w:szCs w:val="17"/>
          <w:color w:val="auto"/>
        </w:rPr>
      </w:pPr>
      <w:r>
        <w:rPr>
          <w:rFonts w:ascii="Arial" w:cs="Arial" w:eastAsia="Arial" w:hAnsi="Arial"/>
          <w:sz w:val="17"/>
          <w:szCs w:val="17"/>
          <w:color w:val="auto"/>
        </w:rPr>
        <w:t>The Company will not, without the prior written consent of the Representatives,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debt securities (excluding commercial paper or bank borrowings) issued or guaranteed by the Company (other than the Securities) or publicly announce an intention to effect any such transaction, until September 23, 2011.</w:t>
      </w:r>
    </w:p>
    <w:p>
      <w:pPr>
        <w:spacing w:after="0" w:line="69" w:lineRule="exact"/>
        <w:rPr>
          <w:rFonts w:ascii="Arial" w:cs="Arial" w:eastAsia="Arial" w:hAnsi="Arial"/>
          <w:sz w:val="17"/>
          <w:szCs w:val="17"/>
          <w:color w:val="auto"/>
        </w:rPr>
      </w:pPr>
    </w:p>
    <w:p>
      <w:pPr>
        <w:ind w:left="7" w:right="120" w:firstLine="221"/>
        <w:spacing w:after="0" w:line="264" w:lineRule="auto"/>
        <w:tabs>
          <w:tab w:leader="none" w:pos="447" w:val="left"/>
        </w:tabs>
        <w:numPr>
          <w:ilvl w:val="2"/>
          <w:numId w:val="20"/>
        </w:numPr>
        <w:rPr>
          <w:rFonts w:ascii="Arial" w:cs="Arial" w:eastAsia="Arial" w:hAnsi="Arial"/>
          <w:sz w:val="18"/>
          <w:szCs w:val="18"/>
          <w:color w:val="auto"/>
        </w:rPr>
      </w:pPr>
      <w:r>
        <w:rPr>
          <w:rFonts w:ascii="Arial" w:cs="Arial" w:eastAsia="Arial" w:hAnsi="Arial"/>
          <w:sz w:val="18"/>
          <w:szCs w:val="18"/>
          <w:color w:val="auto"/>
        </w:rPr>
        <w:t>Neither the Company nor Holdings will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73" w:lineRule="exact"/>
        <w:rPr>
          <w:rFonts w:ascii="Arial" w:cs="Arial" w:eastAsia="Arial" w:hAnsi="Arial"/>
          <w:sz w:val="18"/>
          <w:szCs w:val="18"/>
          <w:color w:val="auto"/>
        </w:rPr>
      </w:pPr>
    </w:p>
    <w:p>
      <w:pPr>
        <w:ind w:left="7" w:right="100" w:firstLine="221"/>
        <w:spacing w:after="0" w:line="277" w:lineRule="auto"/>
        <w:tabs>
          <w:tab w:leader="none" w:pos="487"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Company will, pursuant to reasonable procedures developed in good faith, retain copies of each Issuer Free Writing Prospectus that is not filed with the Commission in accordance with Rule 433 under the Act.</w:t>
      </w:r>
    </w:p>
    <w:p>
      <w:pPr>
        <w:spacing w:after="0" w:line="62" w:lineRule="exact"/>
        <w:rPr>
          <w:rFonts w:ascii="Arial" w:cs="Arial" w:eastAsia="Arial" w:hAnsi="Arial"/>
          <w:sz w:val="18"/>
          <w:szCs w:val="18"/>
          <w:color w:val="auto"/>
        </w:rPr>
      </w:pPr>
    </w:p>
    <w:p>
      <w:pPr>
        <w:ind w:left="187" w:hanging="187"/>
        <w:spacing w:after="0"/>
        <w:tabs>
          <w:tab w:leader="none" w:pos="187"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and agrees that:</w:t>
      </w:r>
    </w:p>
    <w:p>
      <w:pPr>
        <w:spacing w:after="0" w:line="117" w:lineRule="exact"/>
        <w:rPr>
          <w:rFonts w:ascii="Arial" w:cs="Arial" w:eastAsia="Arial" w:hAnsi="Arial"/>
          <w:sz w:val="18"/>
          <w:szCs w:val="18"/>
          <w:color w:val="auto"/>
        </w:rPr>
      </w:pPr>
    </w:p>
    <w:p>
      <w:pPr>
        <w:ind w:left="7" w:right="180" w:firstLine="221"/>
        <w:spacing w:after="0" w:line="284" w:lineRule="auto"/>
        <w:tabs>
          <w:tab w:leader="none" w:pos="477" w:val="left"/>
        </w:tabs>
        <w:numPr>
          <w:ilvl w:val="2"/>
          <w:numId w:val="21"/>
        </w:numPr>
        <w:rPr>
          <w:rFonts w:ascii="Arial" w:cs="Arial" w:eastAsia="Arial" w:hAnsi="Arial"/>
          <w:sz w:val="16"/>
          <w:szCs w:val="16"/>
          <w:color w:val="auto"/>
        </w:rPr>
      </w:pPr>
      <w:r>
        <w:rPr>
          <w:rFonts w:ascii="Arial" w:cs="Arial" w:eastAsia="Arial" w:hAnsi="Arial"/>
          <w:sz w:val="16"/>
          <w:szCs w:val="16"/>
          <w:color w:val="auto"/>
        </w:rPr>
        <w:t>It has not and will not use, authorize use of, refer to, or participate in the planning for use of, any “free writing prospectus,” as defined in Rule 405 under the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1(d) or Section 5(b) above (including any electronic road show), or (iii) any free writing prospectus prepared by such Underwriter and approved by the Company in advance in writing (each such free writing prospectus referred to in clauses</w:t>
      </w:r>
    </w:p>
    <w:p>
      <w:pPr>
        <w:spacing w:after="0" w:line="4" w:lineRule="exact"/>
        <w:rPr>
          <w:rFonts w:ascii="Arial" w:cs="Arial" w:eastAsia="Arial" w:hAnsi="Arial"/>
          <w:sz w:val="16"/>
          <w:szCs w:val="16"/>
          <w:color w:val="auto"/>
        </w:rPr>
      </w:pPr>
    </w:p>
    <w:p>
      <w:pPr>
        <w:ind w:left="227" w:hanging="224"/>
        <w:spacing w:after="0"/>
        <w:tabs>
          <w:tab w:leader="none" w:pos="227" w:val="left"/>
        </w:tabs>
        <w:numPr>
          <w:ilvl w:val="1"/>
          <w:numId w:val="21"/>
        </w:numPr>
        <w:rPr>
          <w:rFonts w:ascii="Arial" w:cs="Arial" w:eastAsia="Arial" w:hAnsi="Arial"/>
          <w:sz w:val="18"/>
          <w:szCs w:val="18"/>
          <w:color w:val="auto"/>
        </w:rPr>
      </w:pPr>
      <w:r>
        <w:rPr>
          <w:rFonts w:ascii="Arial" w:cs="Arial" w:eastAsia="Arial" w:hAnsi="Arial"/>
          <w:sz w:val="18"/>
          <w:szCs w:val="18"/>
          <w:color w:val="auto"/>
        </w:rPr>
        <w:t>or (iii), an “</w:t>
      </w:r>
      <w:r>
        <w:rPr>
          <w:rFonts w:ascii="Arial" w:cs="Arial" w:eastAsia="Arial" w:hAnsi="Arial"/>
          <w:sz w:val="18"/>
          <w:szCs w:val="18"/>
          <w:u w:val="single" w:color="auto"/>
          <w:color w:val="auto"/>
        </w:rPr>
        <w:t>Underwriter Free</w:t>
      </w:r>
    </w:p>
    <w:p>
      <w:pPr>
        <w:spacing w:after="0" w:line="184" w:lineRule="exact"/>
        <w:rPr>
          <w:sz w:val="20"/>
          <w:szCs w:val="20"/>
          <w:color w:val="auto"/>
        </w:rPr>
      </w:pPr>
    </w:p>
    <w:p>
      <w:pPr>
        <w:jc w:val="center"/>
        <w:ind w:right="213"/>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7"/>
          </w:cols>
          <w:pgMar w:left="473" w:top="935" w:right="239" w:bottom="1440" w:gutter="0" w:footer="0" w:header="0"/>
        </w:sectPr>
      </w:pPr>
    </w:p>
    <w:bookmarkStart w:id="21" w:name="page22"/>
    <w:bookmarkEnd w:id="21"/>
    <w:p>
      <w:pPr>
        <w:ind w:left="240" w:right="340"/>
        <w:spacing w:after="0" w:line="277" w:lineRule="auto"/>
        <w:rPr>
          <w:sz w:val="20"/>
          <w:szCs w:val="20"/>
          <w:color w:val="auto"/>
        </w:rPr>
      </w:pPr>
      <w:r>
        <w:rPr>
          <w:rFonts w:ascii="Arial" w:cs="Arial" w:eastAsia="Arial" w:hAnsi="Arial"/>
          <w:sz w:val="18"/>
          <w:szCs w:val="18"/>
          <w:u w:val="single" w:color="auto"/>
          <w:color w:val="auto"/>
        </w:rPr>
        <w:t>Writing Prospectus</w:t>
      </w:r>
      <w:r>
        <w:rPr>
          <w:rFonts w:ascii="Arial" w:cs="Arial" w:eastAsia="Arial" w:hAnsi="Arial"/>
          <w:sz w:val="18"/>
          <w:szCs w:val="18"/>
          <w:color w:val="auto"/>
        </w:rPr>
        <w:t>”). Notwithstanding the foregoing, the Underwriters may use a term sheet substantially in the form of Schedule I hereto without the consent of the Company.</w:t>
      </w:r>
    </w:p>
    <w:p>
      <w:pPr>
        <w:spacing w:after="0" w:line="62" w:lineRule="exact"/>
        <w:rPr>
          <w:sz w:val="20"/>
          <w:szCs w:val="20"/>
          <w:color w:val="auto"/>
        </w:rPr>
      </w:pPr>
    </w:p>
    <w:p>
      <w:pPr>
        <w:ind w:left="240" w:right="240" w:firstLine="221"/>
        <w:spacing w:after="0" w:line="277" w:lineRule="auto"/>
        <w:tabs>
          <w:tab w:leader="none" w:pos="7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Act with respect to the offering (and will promptly notify the Company if any such proceeding against it is initiated during the Prospectus Delivery Period).</w:t>
      </w:r>
    </w:p>
    <w:p>
      <w:pPr>
        <w:spacing w:after="0" w:line="62" w:lineRule="exact"/>
        <w:rPr>
          <w:rFonts w:ascii="Arial" w:cs="Arial" w:eastAsia="Arial" w:hAnsi="Arial"/>
          <w:sz w:val="18"/>
          <w:szCs w:val="18"/>
          <w:color w:val="auto"/>
        </w:rPr>
      </w:pPr>
    </w:p>
    <w:p>
      <w:pPr>
        <w:jc w:val="both"/>
        <w:ind w:firstLine="233"/>
        <w:spacing w:after="0" w:line="259" w:lineRule="auto"/>
        <w:tabs>
          <w:tab w:leader="none" w:pos="40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obligations of the Underwriters to purchase the Securities shall be subject to the accuracy of the representations and warranties on the part of the Company and Holdings contained herein as of the Time of Sale and the Closing Date, to the accuracy of the statements of the Company and Holdings made in any certificates pursuant to the provisions hereof, to the performance by the Company and Holdings of their obligations hereunder and to the following additional conditions:</w:t>
      </w:r>
    </w:p>
    <w:p>
      <w:pPr>
        <w:spacing w:after="0" w:line="78" w:lineRule="exact"/>
        <w:rPr>
          <w:rFonts w:ascii="Arial" w:cs="Arial" w:eastAsia="Arial" w:hAnsi="Arial"/>
          <w:sz w:val="18"/>
          <w:szCs w:val="18"/>
          <w:color w:val="auto"/>
        </w:rPr>
      </w:pPr>
    </w:p>
    <w:p>
      <w:pPr>
        <w:ind w:left="240" w:right="120" w:firstLine="221"/>
        <w:spacing w:after="0" w:line="255" w:lineRule="auto"/>
        <w:tabs>
          <w:tab w:leader="none" w:pos="71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the filing of the Final Prospectus, or any supplement thereto, is required pursuant to Rule 424(b), the Final Prospectus, and any such supplement, will be filed in the manner and within the time period required by Rule 424(b); no stop order suspending the effectiveness of the Registration Statement shall have been issued and no proceedings for that purpose, pursuant to Rule 401(g)(2) and Section 8A under the Act or otherwise, shall have been instituted or threatened; each Issuer Free Writing Prospectus shall have been timely filed with the Commission under the Act to the extent required by Rule 433 thereunder; and all requests by the Commission for additional information shall have been complied with to the reasonable satisfaction of the Representatives.</w:t>
      </w:r>
    </w:p>
    <w:p>
      <w:pPr>
        <w:spacing w:after="0" w:line="85" w:lineRule="exact"/>
        <w:rPr>
          <w:rFonts w:ascii="Arial" w:cs="Arial" w:eastAsia="Arial" w:hAnsi="Arial"/>
          <w:sz w:val="18"/>
          <w:szCs w:val="18"/>
          <w:color w:val="auto"/>
        </w:rPr>
      </w:pPr>
    </w:p>
    <w:p>
      <w:pPr>
        <w:ind w:left="240" w:right="60" w:firstLine="221"/>
        <w:spacing w:after="0" w:line="277" w:lineRule="auto"/>
        <w:tabs>
          <w:tab w:leader="none" w:pos="7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shall have requested and caused Baker Botts L.L.P., counsel for the Company and Holdings, to have furnished to the Representatives their opinion, dated the Closing Date and addressed to the Representatives, to the effect that:</w:t>
      </w:r>
    </w:p>
    <w:p>
      <w:pPr>
        <w:spacing w:after="0" w:line="62" w:lineRule="exact"/>
        <w:rPr>
          <w:rFonts w:ascii="Arial" w:cs="Arial" w:eastAsia="Arial" w:hAnsi="Arial"/>
          <w:sz w:val="18"/>
          <w:szCs w:val="18"/>
          <w:color w:val="auto"/>
        </w:rPr>
      </w:pPr>
    </w:p>
    <w:p>
      <w:pPr>
        <w:ind w:left="460" w:right="220" w:firstLine="229"/>
        <w:spacing w:after="0" w:line="259" w:lineRule="auto"/>
        <w:tabs>
          <w:tab w:leader="none" w:pos="9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each of the Company and Holdings is a corporation duly incorporated and validly existing in good standing under the laws of the State of Delaware, with corporate power and authority under such laws to own, lease and operate its properties and to conduct its business as described in the Registration Statement, the Time of Sale Information and the Final Prospectus and to execute and deliver and perform its obligations under this Agreement;</w:t>
      </w:r>
    </w:p>
    <w:p>
      <w:pPr>
        <w:spacing w:after="0" w:line="78" w:lineRule="exact"/>
        <w:rPr>
          <w:rFonts w:ascii="Arial" w:cs="Arial" w:eastAsia="Arial" w:hAnsi="Arial"/>
          <w:sz w:val="18"/>
          <w:szCs w:val="18"/>
          <w:color w:val="auto"/>
        </w:rPr>
      </w:pPr>
    </w:p>
    <w:p>
      <w:pPr>
        <w:ind w:left="960" w:hanging="271"/>
        <w:spacing w:after="0"/>
        <w:tabs>
          <w:tab w:leader="none" w:pos="9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 and Holdings;</w:t>
      </w:r>
    </w:p>
    <w:p>
      <w:pPr>
        <w:spacing w:after="0" w:line="117" w:lineRule="exact"/>
        <w:rPr>
          <w:rFonts w:ascii="Arial" w:cs="Arial" w:eastAsia="Arial" w:hAnsi="Arial"/>
          <w:sz w:val="18"/>
          <w:szCs w:val="18"/>
          <w:color w:val="auto"/>
        </w:rPr>
      </w:pPr>
    </w:p>
    <w:p>
      <w:pPr>
        <w:ind w:left="460" w:right="40" w:firstLine="229"/>
        <w:spacing w:after="0" w:line="257" w:lineRule="auto"/>
        <w:tabs>
          <w:tab w:leader="none" w:pos="10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(assuming the due authorization, execution and delivery thereof by the Trustee) constitutes a valid and binding agreement of the Company, enforceable against the Company in accordance with its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or at law), which principles may include implied duties of good faith and fair dealing;</w:t>
      </w:r>
    </w:p>
    <w:p>
      <w:pPr>
        <w:spacing w:after="0" w:line="117" w:lineRule="exact"/>
        <w:rPr>
          <w:sz w:val="20"/>
          <w:szCs w:val="20"/>
          <w:color w:val="auto"/>
        </w:rPr>
      </w:pPr>
    </w:p>
    <w:p>
      <w:pPr>
        <w:ind w:right="20" w:firstLine="229"/>
        <w:spacing w:after="0" w:line="291" w:lineRule="auto"/>
        <w:tabs>
          <w:tab w:leader="none" w:pos="53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global certificate representing the Notes is in a form authorized by the Indenture, the Notes have been duly authorized by the Company and, assuming the global certificate representing the Notes has been authenticated and delivered by the Trustee in the manner provided for in the Indenture and delivered against payment of the consideration therefor as specified in this Agreement, the Notes constitute valid and binding obligations of the Company, enforceable against the Company in accordance with their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Each registered holder thereof is entitled to the benefits of the Indenture;</w:t>
      </w:r>
    </w:p>
    <w:p>
      <w:pPr>
        <w:spacing w:after="0" w:line="59" w:lineRule="exact"/>
        <w:rPr>
          <w:rFonts w:ascii="Arial" w:cs="Arial" w:eastAsia="Arial" w:hAnsi="Arial"/>
          <w:sz w:val="16"/>
          <w:szCs w:val="16"/>
          <w:color w:val="auto"/>
        </w:rPr>
      </w:pPr>
    </w:p>
    <w:p>
      <w:pPr>
        <w:ind w:right="40" w:firstLine="229"/>
        <w:spacing w:after="0" w:line="254"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Guarantee Agreement has been duly authorized, executed and delivered by Holdings and, assuming the global certificate representing the Notes has been authenticated and delivered by the Trustee in the manner provided for in the Indenture and delivered against payment of the consideration therefor as specified in this Agreement, the Guarantee Agreement constitutes a valid and binding agreement of Holdings, enforceable against Holdings in accordance with its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84" w:lineRule="exact"/>
        <w:rPr>
          <w:rFonts w:ascii="Arial" w:cs="Arial" w:eastAsia="Arial" w:hAnsi="Arial"/>
          <w:sz w:val="18"/>
          <w:szCs w:val="18"/>
          <w:color w:val="auto"/>
        </w:rPr>
      </w:pPr>
    </w:p>
    <w:p>
      <w:pPr>
        <w:ind w:left="540" w:hanging="311"/>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Indenture has been duly qualified under the Trust Indenture Act;</w:t>
      </w:r>
    </w:p>
    <w:p>
      <w:pPr>
        <w:spacing w:after="0" w:line="117" w:lineRule="exact"/>
        <w:rPr>
          <w:rFonts w:ascii="Arial" w:cs="Arial" w:eastAsia="Arial" w:hAnsi="Arial"/>
          <w:sz w:val="18"/>
          <w:szCs w:val="18"/>
          <w:color w:val="auto"/>
        </w:rPr>
      </w:pPr>
    </w:p>
    <w:p>
      <w:pPr>
        <w:ind w:right="320" w:firstLine="229"/>
        <w:spacing w:after="0" w:line="277"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Securities and the Indenture conform as to legal matters in all material respects to the descriptions thereof contained in the Registration Statement, the Time of Sale Information and the Final Prospectus;</w:t>
      </w:r>
    </w:p>
    <w:p>
      <w:pPr>
        <w:spacing w:after="0" w:line="62" w:lineRule="exact"/>
        <w:rPr>
          <w:rFonts w:ascii="Arial" w:cs="Arial" w:eastAsia="Arial" w:hAnsi="Arial"/>
          <w:sz w:val="18"/>
          <w:szCs w:val="18"/>
          <w:color w:val="auto"/>
        </w:rPr>
      </w:pPr>
    </w:p>
    <w:p>
      <w:pPr>
        <w:ind w:firstLine="229"/>
        <w:spacing w:after="0" w:line="259" w:lineRule="auto"/>
        <w:tabs>
          <w:tab w:leader="none" w:pos="6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Registration Statement has become effective under the Act; any required filing of the Final Prospectus pursuant to Rule 424(b) has been made in the manner and within the time period required by Rule 424(b); and, to the best of such counsel’s knowledge, no stop order suspending the effectiveness of the Registration Statement has been issued and no proceedings for that purpose have been instituted or are pending or threatened under the Act;</w:t>
      </w:r>
    </w:p>
    <w:p>
      <w:pPr>
        <w:spacing w:after="0" w:line="16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700" w:top="935" w:right="299" w:bottom="1440" w:gutter="0" w:footer="0" w:header="0"/>
        </w:sectPr>
      </w:pPr>
    </w:p>
    <w:bookmarkStart w:id="23" w:name="page24"/>
    <w:bookmarkEnd w:id="23"/>
    <w:p>
      <w:pPr>
        <w:ind w:left="220" w:right="380" w:firstLine="229"/>
        <w:spacing w:after="0" w:line="286" w:lineRule="auto"/>
        <w:tabs>
          <w:tab w:leader="none" w:pos="75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 authorization, approval, consent or license of any regulatory body or authority (other than under the Act, the Trust Indenture Act and the securities or Blue Sky laws of the various states) and no approval of the stockholders of the Company or Holdings is required for the valid authorization, issuance, sale and delivery of the Securities by the Company or Holdings, or for the performance of the Indenture;</w:t>
      </w:r>
    </w:p>
    <w:p>
      <w:pPr>
        <w:spacing w:after="0" w:line="57" w:lineRule="exact"/>
        <w:rPr>
          <w:rFonts w:ascii="Arial" w:cs="Arial" w:eastAsia="Arial" w:hAnsi="Arial"/>
          <w:sz w:val="17"/>
          <w:szCs w:val="17"/>
          <w:color w:val="auto"/>
        </w:rPr>
      </w:pPr>
    </w:p>
    <w:p>
      <w:pPr>
        <w:ind w:left="220" w:right="100" w:firstLine="229"/>
        <w:spacing w:after="0" w:line="293" w:lineRule="auto"/>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execution and delivery of this Agreement, the consummation of the transactions contemplated in this Agreement and compliance with the terms of this Agreement and the Indenture do not and will not conflict with or result in a breach of any of the terms or provisions of, or constitute a default under, the charter or by-laws of the Company or Holdings, or any indenture, mortgage or other agreement or instrument to which the Company or its subsidiaries is a party or by which they or any of their property is bound that is filed as an exhibit to the Registration Statement or to any of the documents incorporated by reference in the Registration Statement, the Time of Sale Information and the Final Prospectus, or any existing applicable laws, rule or regulation (excluding any state securities or state or federal anti-fraud law, rule or regulation); and</w:t>
      </w:r>
    </w:p>
    <w:p>
      <w:pPr>
        <w:spacing w:after="0" w:line="56" w:lineRule="exact"/>
        <w:rPr>
          <w:rFonts w:ascii="Arial" w:cs="Arial" w:eastAsia="Arial" w:hAnsi="Arial"/>
          <w:sz w:val="16"/>
          <w:szCs w:val="16"/>
          <w:color w:val="auto"/>
        </w:rPr>
      </w:pPr>
    </w:p>
    <w:p>
      <w:pPr>
        <w:ind w:left="220" w:right="20" w:firstLine="229"/>
        <w:spacing w:after="0" w:line="277" w:lineRule="auto"/>
        <w:tabs>
          <w:tab w:leader="none" w:pos="7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neither the Company nor Holdings is an “investment company” or an entity “controlled” by an “investment company,” as such terms are defined in the 1940 Act.</w:t>
      </w:r>
    </w:p>
    <w:p>
      <w:pPr>
        <w:spacing w:after="0" w:line="62"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In addition, such counsel shall state that they have reviewed the Registration Statement, the Time of Sale Information and the Final Prospectus and have participated in conferences with officers and other representatives of the Company, with representatives of the Company’s independent registered public accounting firm and with the Underwriters and counsel to the Underwriters, at which the contents of the Registration Statement, the Time of Sale Information, the Final Prospectus and related matters were discussed, and although the purpose of such counsel’s professional engagement was not to establish or confirm factual matters set forth in the Registration Statement, the Time of Sale Information or the Final Prospectus, and such counsel has not undertaken to verify independently any of the factual matters in such documents, and although many of the determinations required to be made in the preparation of the Registration Statement, the Time of Sale Information and the Final Prospectus involve matters of a non-legal nature and, accordingly, such counsel is not passing upon, and does not assume any responsibility for, the accuracy, completeness or fairness of the statements contained or included in the Registration Statement, the Time of Sale Information and the Final Prospectus (except to the extent stated in paragraph (vii) above), subject to the foregoing and on the basis of the information such counsel gained in the course of performing the services referred to above, such counsel shall advise that (a) the Registration Statement, as of the latest Effective Date, the Time of Sale Information, as of the Time of Sale, and the Final Prospectus, as of its date and the date hereof, appear on their face to be appropriately responsive in all material respects to the requirements of the Act and the rules and regulations of the Commission thereunder; and (b) nothing has come to such counsel’s attention that caused such counsel to believe that (1) the Registration Statement, as of the latest Effective Date, contained an untrue</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24" w:name="page25"/>
    <w:bookmarkEnd w:id="24"/>
    <w:p>
      <w:pPr>
        <w:ind w:left="4"/>
        <w:spacing w:after="0"/>
        <w:rPr>
          <w:sz w:val="20"/>
          <w:szCs w:val="20"/>
          <w:color w:val="auto"/>
        </w:rPr>
      </w:pPr>
      <w:r>
        <w:rPr>
          <w:rFonts w:ascii="Arial" w:cs="Arial" w:eastAsia="Arial" w:hAnsi="Arial"/>
          <w:sz w:val="16"/>
          <w:szCs w:val="16"/>
          <w:color w:val="auto"/>
        </w:rPr>
        <w:t>statement of a material fact or omitted to state a material fact required to be stated therein or necessary to make the statements therein not misleading,</w:t>
      </w:r>
    </w:p>
    <w:p>
      <w:pPr>
        <w:spacing w:after="0" w:line="46" w:lineRule="exact"/>
        <w:rPr>
          <w:sz w:val="20"/>
          <w:szCs w:val="20"/>
          <w:color w:val="auto"/>
        </w:rPr>
      </w:pPr>
    </w:p>
    <w:p>
      <w:pPr>
        <w:ind w:left="4" w:right="120" w:hanging="4"/>
        <w:spacing w:after="0" w:line="268" w:lineRule="auto"/>
        <w:tabs>
          <w:tab w:leader="none" w:pos="259"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Time of Sale Information, as of the Time of Sale, included an untrue statement of a material fact or omitted to state a material fact necessary in order to make the statements therein, in the light of the circumstances under which they were made, not misleading, or (3) the Final Prospectus, as of its date or as of the Closing Date, included or includes an untrue statement of a material fact or omitted or omits to state a material fact necessary in order to make the statements therein, in the light of the circumstances under which they were made, not misleading; provided that in each case such counsel need not express any belief with respect to (x) the financial statements and schedules or other financial or accounting information contained or included or incorporated by reference therein or omitted therefrom, (y) representations and warranties and other statements of fact contained in the exhibits to the Registration Statement or to documents incorporated by reference therein or (z) that part of the Registration Statement that constitutes the Trustee’s Statement of Eligibility on Form T-1.</w:t>
      </w:r>
    </w:p>
    <w:p>
      <w:pPr>
        <w:spacing w:after="0" w:line="76" w:lineRule="exact"/>
        <w:rPr>
          <w:sz w:val="20"/>
          <w:szCs w:val="20"/>
          <w:color w:val="auto"/>
        </w:rPr>
      </w:pPr>
    </w:p>
    <w:p>
      <w:pPr>
        <w:ind w:left="4" w:firstLine="225"/>
        <w:spacing w:after="0" w:line="288" w:lineRule="auto"/>
        <w:rPr>
          <w:sz w:val="20"/>
          <w:szCs w:val="20"/>
          <w:color w:val="auto"/>
        </w:rPr>
      </w:pPr>
      <w:r>
        <w:rPr>
          <w:rFonts w:ascii="Arial" w:cs="Arial" w:eastAsia="Arial" w:hAnsi="Arial"/>
          <w:sz w:val="16"/>
          <w:szCs w:val="16"/>
          <w:color w:val="auto"/>
        </w:rPr>
        <w:t>In rendering such opinions, such counsel may (A) state that the opinions are based on and limited to the contract law of the State of New York, the laws of the State of Texas, the General Corporation Law of Delaware and the Federal laws of the United States, and (B) rely, as to matters of fact, to the extent they deem proper, on certificates of responsible officers of the Company and public officials. References to the Final Prospectus in this paragraph</w:t>
      </w:r>
    </w:p>
    <w:p>
      <w:pPr>
        <w:ind w:left="264" w:hanging="264"/>
        <w:spacing w:after="0"/>
        <w:tabs>
          <w:tab w:leader="none" w:pos="2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 any supplements thereto at the Closing Date.</w:t>
      </w:r>
    </w:p>
    <w:p>
      <w:pPr>
        <w:spacing w:after="0" w:line="102" w:lineRule="exact"/>
        <w:rPr>
          <w:rFonts w:ascii="Arial" w:cs="Arial" w:eastAsia="Arial" w:hAnsi="Arial"/>
          <w:sz w:val="18"/>
          <w:szCs w:val="18"/>
          <w:color w:val="auto"/>
        </w:rPr>
      </w:pPr>
    </w:p>
    <w:p>
      <w:pPr>
        <w:ind w:left="4" w:right="40" w:firstLine="221"/>
        <w:spacing w:after="0" w:line="277" w:lineRule="auto"/>
        <w:tabs>
          <w:tab w:leader="none" w:pos="474" w:val="left"/>
        </w:tabs>
        <w:numPr>
          <w:ilvl w:val="1"/>
          <w:numId w:val="27"/>
        </w:numPr>
        <w:rPr>
          <w:rFonts w:ascii="Arial" w:cs="Arial" w:eastAsia="Arial" w:hAnsi="Arial"/>
          <w:sz w:val="18"/>
          <w:szCs w:val="18"/>
          <w:color w:val="auto"/>
        </w:rPr>
      </w:pPr>
      <w:r>
        <w:rPr>
          <w:rFonts w:ascii="Arial" w:cs="Arial" w:eastAsia="Arial" w:hAnsi="Arial"/>
          <w:sz w:val="18"/>
          <w:szCs w:val="18"/>
          <w:color w:val="auto"/>
        </w:rPr>
        <w:t>Rick L Wittenbraker, Senior Vice President and General Counsel of the Company, shall have furnished to the Representatives his opinion, dated the Closing Date and addressed to the Representatives, to the effect that:</w:t>
      </w:r>
    </w:p>
    <w:p>
      <w:pPr>
        <w:spacing w:after="0" w:line="62" w:lineRule="exact"/>
        <w:rPr>
          <w:rFonts w:ascii="Arial" w:cs="Arial" w:eastAsia="Arial" w:hAnsi="Arial"/>
          <w:sz w:val="18"/>
          <w:szCs w:val="18"/>
          <w:color w:val="auto"/>
        </w:rPr>
      </w:pPr>
    </w:p>
    <w:p>
      <w:pPr>
        <w:ind w:left="224" w:firstLine="229"/>
        <w:spacing w:after="0" w:line="254" w:lineRule="auto"/>
        <w:tabs>
          <w:tab w:leader="none" w:pos="664" w:val="left"/>
        </w:tabs>
        <w:numPr>
          <w:ilvl w:val="2"/>
          <w:numId w:val="27"/>
        </w:numPr>
        <w:rPr>
          <w:rFonts w:ascii="Arial" w:cs="Arial" w:eastAsia="Arial" w:hAnsi="Arial"/>
          <w:sz w:val="18"/>
          <w:szCs w:val="18"/>
          <w:color w:val="auto"/>
        </w:rPr>
      </w:pPr>
      <w:r>
        <w:rPr>
          <w:rFonts w:ascii="Arial" w:cs="Arial" w:eastAsia="Arial" w:hAnsi="Arial"/>
          <w:sz w:val="18"/>
          <w:szCs w:val="18"/>
          <w:color w:val="auto"/>
        </w:rPr>
        <w:t>each of the corporate Subsidiaries organized under United States law is a corporation duly incorporated and validly existing in good standing under the laws of the jurisdiction of its incorporation, has corporate power and authority to own, lease and operate its properties and to conduct its business as described in the Registration Statement, the Time of Sale Information and the Final Prospectus, except as would not have a Material Adverse Effect; except as otherwise disclosed in the Registration Statement, the Time of Sale Information and the Final Prospectus, all of the issued and outstanding capital stock of each of the Subsidiaries is validly issued, fully paid and nonassessable and, to the best of such counsel’s knowledge, all of such shares of stock owned by the Company are owned free and clear of any security interest, mortgage, pledge, lien, encumbrance, claim or equity; none of the outstanding shares of capital stock of the Subsidiaries was issued in violation of the preemptive or similar rights of any security holder thereof;</w:t>
      </w:r>
    </w:p>
    <w:p>
      <w:pPr>
        <w:spacing w:after="0" w:line="84" w:lineRule="exact"/>
        <w:rPr>
          <w:rFonts w:ascii="Arial" w:cs="Arial" w:eastAsia="Arial" w:hAnsi="Arial"/>
          <w:sz w:val="18"/>
          <w:szCs w:val="18"/>
          <w:color w:val="auto"/>
        </w:rPr>
      </w:pPr>
    </w:p>
    <w:p>
      <w:pPr>
        <w:ind w:left="224" w:right="260" w:firstLine="229"/>
        <w:spacing w:after="0" w:line="264" w:lineRule="auto"/>
        <w:tabs>
          <w:tab w:leader="none" w:pos="714"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documents incorporated by reference in the Registration Statement, the Time of Sale Information and the Final Prospectus (other than the financial statements, related schedules and other financial data included therein or omitted therefrom, as to which he need express no opinion, and except to the extent that any statement therein is modified or superseded in the Time of Sale</w:t>
      </w:r>
    </w:p>
    <w:p>
      <w:pPr>
        <w:spacing w:after="0" w:line="154" w:lineRule="exact"/>
        <w:rPr>
          <w:sz w:val="20"/>
          <w:szCs w:val="20"/>
          <w:color w:val="auto"/>
        </w:rPr>
      </w:pPr>
    </w:p>
    <w:p>
      <w:pPr>
        <w:jc w:val="center"/>
        <w:ind w:right="176"/>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4"/>
          </w:cols>
          <w:pgMar w:left="476" w:top="935" w:right="279" w:bottom="1440" w:gutter="0" w:footer="0" w:header="0"/>
        </w:sectPr>
      </w:pPr>
    </w:p>
    <w:bookmarkStart w:id="25" w:name="page26"/>
    <w:bookmarkEnd w:id="25"/>
    <w:p>
      <w:pPr>
        <w:ind w:left="220" w:right="320"/>
        <w:spacing w:after="0" w:line="264" w:lineRule="auto"/>
        <w:rPr>
          <w:sz w:val="20"/>
          <w:szCs w:val="20"/>
          <w:color w:val="auto"/>
        </w:rPr>
      </w:pPr>
      <w:r>
        <w:rPr>
          <w:rFonts w:ascii="Arial" w:cs="Arial" w:eastAsia="Arial" w:hAnsi="Arial"/>
          <w:sz w:val="18"/>
          <w:szCs w:val="18"/>
          <w:color w:val="auto"/>
        </w:rPr>
        <w:t>Information and the Final Prospectus), as of the dates they became effective or were filed with the Commission, as the case may be, appear on their face to be appropriately responsive in all material respects to the requirements of the Exchange Act and the rules and regulations promulgated thereunder;</w:t>
      </w:r>
    </w:p>
    <w:p>
      <w:pPr>
        <w:spacing w:after="0" w:line="73" w:lineRule="exact"/>
        <w:rPr>
          <w:sz w:val="20"/>
          <w:szCs w:val="20"/>
          <w:color w:val="auto"/>
        </w:rPr>
      </w:pPr>
    </w:p>
    <w:p>
      <w:pPr>
        <w:ind w:left="220" w:right="160" w:firstLine="229"/>
        <w:spacing w:after="0" w:line="279" w:lineRule="auto"/>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except as set forth in the Registration Statement, the Time of Sale Information and the Final Prospectus (or incorporated by reference therein), such counsel does not know of any action, suit, proceeding, inquiry or investigation pending or threatened against the Company or any of its subsidiaries, or to which the property of the Company or any of its subsidiaries is subject, before or brought by any court or governmental agency or body, domestic or foreign, in which there is a reasonable probability of a Material Adverse Effect;</w:t>
      </w:r>
    </w:p>
    <w:p>
      <w:pPr>
        <w:spacing w:after="0" w:line="63" w:lineRule="exact"/>
        <w:rPr>
          <w:rFonts w:ascii="Arial" w:cs="Arial" w:eastAsia="Arial" w:hAnsi="Arial"/>
          <w:sz w:val="17"/>
          <w:szCs w:val="17"/>
          <w:color w:val="auto"/>
        </w:rPr>
      </w:pPr>
    </w:p>
    <w:p>
      <w:pPr>
        <w:ind w:left="760" w:hanging="311"/>
        <w:spacing w:after="0"/>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such counsel does not know of any statutes or regulations or any pending or threatened legal or governmental proceedings required to be</w:t>
      </w:r>
    </w:p>
    <w:p>
      <w:pPr>
        <w:spacing w:after="0" w:line="34" w:lineRule="exact"/>
        <w:rPr>
          <w:rFonts w:ascii="Arial" w:cs="Arial" w:eastAsia="Arial" w:hAnsi="Arial"/>
          <w:sz w:val="17"/>
          <w:szCs w:val="17"/>
          <w:color w:val="auto"/>
        </w:rPr>
      </w:pPr>
    </w:p>
    <w:p>
      <w:pPr>
        <w:jc w:val="both"/>
        <w:ind w:left="220" w:right="40"/>
        <w:spacing w:after="0" w:line="277" w:lineRule="auto"/>
        <w:rPr>
          <w:rFonts w:ascii="Arial" w:cs="Arial" w:eastAsia="Arial" w:hAnsi="Arial"/>
          <w:sz w:val="17"/>
          <w:szCs w:val="17"/>
          <w:color w:val="auto"/>
        </w:rPr>
      </w:pPr>
      <w:r>
        <w:rPr>
          <w:rFonts w:ascii="Arial" w:cs="Arial" w:eastAsia="Arial" w:hAnsi="Arial"/>
          <w:sz w:val="17"/>
          <w:szCs w:val="17"/>
          <w:color w:val="auto"/>
        </w:rPr>
        <w:t>described in the Registration Statement, the Time of Sale Information and the Final Prospectus which are not described as required, nor of any material contracts or documents of a character required to be described in the Registration Statement, the Time of Sale Information or the Final Prospectus or to be filed or incorporated as exhibits to the Registration Statement which are not described and filed or incorporated as required;</w:t>
      </w:r>
    </w:p>
    <w:p>
      <w:pPr>
        <w:spacing w:after="0" w:line="65" w:lineRule="exact"/>
        <w:rPr>
          <w:rFonts w:ascii="Arial" w:cs="Arial" w:eastAsia="Arial" w:hAnsi="Arial"/>
          <w:sz w:val="17"/>
          <w:szCs w:val="17"/>
          <w:color w:val="auto"/>
        </w:rPr>
      </w:pPr>
    </w:p>
    <w:p>
      <w:pPr>
        <w:ind w:left="220" w:right="120" w:firstLine="229"/>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counsel does not know of any holders of securities of the Company or Holdings that have rights to the registration of such securities under the Registration Statement; and</w:t>
      </w:r>
    </w:p>
    <w:p>
      <w:pPr>
        <w:spacing w:after="0" w:line="62" w:lineRule="exact"/>
        <w:rPr>
          <w:rFonts w:ascii="Arial" w:cs="Arial" w:eastAsia="Arial" w:hAnsi="Arial"/>
          <w:sz w:val="18"/>
          <w:szCs w:val="18"/>
          <w:color w:val="auto"/>
        </w:rPr>
      </w:pPr>
    </w:p>
    <w:p>
      <w:pPr>
        <w:ind w:left="760" w:hanging="311"/>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execution and delivery of this Agreement, the Notes, the Guarantee Agreement and the execution and performance of the Indenture (the</w:t>
      </w:r>
    </w:p>
    <w:p>
      <w:pPr>
        <w:spacing w:after="0" w:line="46" w:lineRule="exact"/>
        <w:rPr>
          <w:sz w:val="20"/>
          <w:szCs w:val="20"/>
          <w:color w:val="auto"/>
        </w:rPr>
      </w:pPr>
    </w:p>
    <w:p>
      <w:pPr>
        <w:ind w:left="22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Operative Agreements</w:t>
      </w:r>
      <w:r>
        <w:rPr>
          <w:rFonts w:ascii="Arial" w:cs="Arial" w:eastAsia="Arial" w:hAnsi="Arial"/>
          <w:sz w:val="17"/>
          <w:szCs w:val="17"/>
          <w:color w:val="auto"/>
        </w:rPr>
        <w:t>”), the consummation of the transactions contemplated in the Operative Agreements and compliance with the terms of the Operative Agreement do not and will not conflict with or result in a breach of any of the terms or provisions of, or constitute a default under, the charter or by-laws of the Company or any of its Subsidiaries, or, to the knowledge of such counsel, any indenture, mortgage or other agreement or instrument to which the Company or its Subsidiaries is a party or by which they or any of their property is bound, or any existing applicable laws, rule, regulation (excluding any state securities or state or federal anti-fraud law, rule or regulation), or, to the knowledge of such counsel, any judgment, order or decree of any government, governmental instrumentality or court, domestic or foreign, having jurisdiction over the Company or its Subsidiaries or any of their properties, that in any case would have a Material Adverse Effect.</w:t>
      </w:r>
    </w:p>
    <w:p>
      <w:pPr>
        <w:spacing w:after="0" w:line="73" w:lineRule="exact"/>
        <w:rPr>
          <w:sz w:val="20"/>
          <w:szCs w:val="20"/>
          <w:color w:val="auto"/>
        </w:rPr>
      </w:pPr>
    </w:p>
    <w:p>
      <w:pPr>
        <w:jc w:val="both"/>
        <w:ind w:right="240" w:firstLine="221"/>
        <w:spacing w:after="0" w:line="286" w:lineRule="auto"/>
        <w:tabs>
          <w:tab w:leader="none" w:pos="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Representatives shall have received from Vinson &amp; Elkins L.L.P., counsel for the Underwriters, such opinion or opinions, dated the Closing Date and addressed to the Representatives, with respect to the issuance and sale of the Securities, the Indenture, the Registration Statement, the Time of Sale Information and the Final Prospectus (together with any supplement thereto) and other related matters as the</w:t>
      </w:r>
    </w:p>
    <w:p>
      <w:pPr>
        <w:spacing w:after="0" w:line="13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6" w:name="page27"/>
    <w:bookmarkEnd w:id="26"/>
    <w:p>
      <w:pPr>
        <w:ind w:right="640"/>
        <w:spacing w:after="0" w:line="277" w:lineRule="auto"/>
        <w:rPr>
          <w:sz w:val="20"/>
          <w:szCs w:val="20"/>
          <w:color w:val="auto"/>
        </w:rPr>
      </w:pPr>
      <w:r>
        <w:rPr>
          <w:rFonts w:ascii="Arial" w:cs="Arial" w:eastAsia="Arial" w:hAnsi="Arial"/>
          <w:sz w:val="18"/>
          <w:szCs w:val="18"/>
          <w:color w:val="auto"/>
        </w:rPr>
        <w:t>Representatives may reasonably require, and the Company shall have furnished to such counsel such documents as they request for the purpose of enabling them to pass upon such matters.</w:t>
      </w:r>
    </w:p>
    <w:p>
      <w:pPr>
        <w:spacing w:after="0" w:line="62" w:lineRule="exact"/>
        <w:rPr>
          <w:sz w:val="20"/>
          <w:szCs w:val="20"/>
          <w:color w:val="auto"/>
        </w:rPr>
      </w:pPr>
    </w:p>
    <w:p>
      <w:pPr>
        <w:ind w:right="160" w:firstLine="221"/>
        <w:spacing w:after="0" w:line="302" w:lineRule="auto"/>
        <w:tabs>
          <w:tab w:leader="none" w:pos="47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Each of the Company and Holdings shall have furnished to the Representatives a certificate, signed by the principal legal officer and the vice president and treasurer of the Company in the case of the Company, and signed by the vice president and treasurer of Holdings in the case of Holdings, dated the Closing Date, to the effect that the signers of such certificate have carefully examined the Registration Statement, the Time of Sale Information and the Final Prospectus, any supplements to the Time of Sale Information and the Final Prospectus, and this Agreement and that:</w:t>
      </w:r>
    </w:p>
    <w:p>
      <w:pPr>
        <w:spacing w:after="0" w:line="46" w:lineRule="exact"/>
        <w:rPr>
          <w:rFonts w:ascii="Arial" w:cs="Arial" w:eastAsia="Arial" w:hAnsi="Arial"/>
          <w:sz w:val="16"/>
          <w:szCs w:val="16"/>
          <w:color w:val="auto"/>
        </w:rPr>
      </w:pPr>
    </w:p>
    <w:p>
      <w:pPr>
        <w:ind w:left="220" w:right="80" w:firstLine="229"/>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the case of Holdings, the representations and warranties of Holdings in this Agreement are true and correct on and as of the Closing Date with the same effect as if made on the Closing Date;</w:t>
      </w:r>
    </w:p>
    <w:p>
      <w:pPr>
        <w:spacing w:after="0" w:line="62" w:lineRule="exact"/>
        <w:rPr>
          <w:rFonts w:ascii="Arial" w:cs="Arial" w:eastAsia="Arial" w:hAnsi="Arial"/>
          <w:sz w:val="18"/>
          <w:szCs w:val="18"/>
          <w:color w:val="auto"/>
        </w:rPr>
      </w:pPr>
    </w:p>
    <w:p>
      <w:pPr>
        <w:jc w:val="both"/>
        <w:ind w:left="220" w:right="120" w:firstLine="229"/>
        <w:spacing w:after="0" w:line="264" w:lineRule="auto"/>
        <w:tabs>
          <w:tab w:leader="none" w:pos="71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the case of the Company, 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73" w:lineRule="exact"/>
        <w:rPr>
          <w:rFonts w:ascii="Arial" w:cs="Arial" w:eastAsia="Arial" w:hAnsi="Arial"/>
          <w:sz w:val="18"/>
          <w:szCs w:val="18"/>
          <w:color w:val="auto"/>
        </w:rPr>
      </w:pPr>
    </w:p>
    <w:p>
      <w:pPr>
        <w:ind w:left="220" w:right="640" w:firstLine="229"/>
        <w:spacing w:after="0" w:line="277" w:lineRule="auto"/>
        <w:tabs>
          <w:tab w:leader="none" w:pos="7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has been issued and no proceedings for that purpose have been instituted or, to the Company’s knowledge, threatened; and</w:t>
      </w:r>
    </w:p>
    <w:p>
      <w:pPr>
        <w:spacing w:after="0" w:line="62" w:lineRule="exact"/>
        <w:rPr>
          <w:rFonts w:ascii="Arial" w:cs="Arial" w:eastAsia="Arial" w:hAnsi="Arial"/>
          <w:sz w:val="18"/>
          <w:szCs w:val="18"/>
          <w:color w:val="auto"/>
        </w:rPr>
      </w:pPr>
    </w:p>
    <w:p>
      <w:pPr>
        <w:ind w:left="220" w:right="60" w:firstLine="229"/>
        <w:spacing w:after="0" w:line="257" w:lineRule="auto"/>
        <w:tabs>
          <w:tab w:leader="none" w:pos="7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or incorporated by reference in the Time of Sale Information and the Final Prospectus (exclusive of any amendment or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w:t>
      </w:r>
    </w:p>
    <w:p>
      <w:pPr>
        <w:spacing w:after="0" w:line="80" w:lineRule="exact"/>
        <w:rPr>
          <w:rFonts w:ascii="Arial" w:cs="Arial" w:eastAsia="Arial" w:hAnsi="Arial"/>
          <w:sz w:val="18"/>
          <w:szCs w:val="18"/>
          <w:color w:val="auto"/>
        </w:rPr>
      </w:pPr>
    </w:p>
    <w:p>
      <w:pPr>
        <w:ind w:firstLine="221"/>
        <w:spacing w:after="0" w:line="257" w:lineRule="auto"/>
        <w:tabs>
          <w:tab w:leader="none" w:pos="4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shall have requested and caused Ernst &amp; Young LLP to have furnished to the Representatives, at the Time of Sale and at the Closing Date, letters (which may refer to letters previously delivered to one or more of the Representatives), dated respectively as of the Time of Sale and as of the Closing Date, in form and substance satisfactory to the Representatives, confirming that they are independent accountants within the meaning of the Act and the Exchange Act and the respective applicable rules and regulations adopted by the Commission thereunder, and stating in effect, among other things, that:</w:t>
      </w:r>
    </w:p>
    <w:p>
      <w:pPr>
        <w:spacing w:after="0" w:line="80" w:lineRule="exact"/>
        <w:rPr>
          <w:rFonts w:ascii="Arial" w:cs="Arial" w:eastAsia="Arial" w:hAnsi="Arial"/>
          <w:sz w:val="18"/>
          <w:szCs w:val="18"/>
          <w:color w:val="auto"/>
        </w:rPr>
      </w:pPr>
    </w:p>
    <w:p>
      <w:pPr>
        <w:ind w:left="220" w:right="540" w:firstLine="229"/>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their opinion the audited financial statements and financial statement schedule included or incorporated by reference in the Registration Statement, the Time of Sale Information and the Final Prospectus and reported on</w:t>
      </w:r>
    </w:p>
    <w:p>
      <w:pPr>
        <w:spacing w:after="0" w:line="14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7" w:name="page28"/>
    <w:bookmarkEnd w:id="27"/>
    <w:p>
      <w:pPr>
        <w:ind w:left="220" w:right="200"/>
        <w:spacing w:after="0" w:line="277" w:lineRule="auto"/>
        <w:rPr>
          <w:sz w:val="20"/>
          <w:szCs w:val="20"/>
          <w:color w:val="auto"/>
        </w:rPr>
      </w:pPr>
      <w:r>
        <w:rPr>
          <w:rFonts w:ascii="Arial" w:cs="Arial" w:eastAsia="Arial" w:hAnsi="Arial"/>
          <w:sz w:val="18"/>
          <w:szCs w:val="18"/>
          <w:color w:val="auto"/>
        </w:rPr>
        <w:t>by them comply as to form in all material respects with the applicable accounting requirements of the Act and the Exchange Act and the related rules and regulations adopted by the Commission;</w:t>
      </w:r>
    </w:p>
    <w:p>
      <w:pPr>
        <w:spacing w:after="0" w:line="62" w:lineRule="exact"/>
        <w:rPr>
          <w:sz w:val="20"/>
          <w:szCs w:val="20"/>
          <w:color w:val="auto"/>
        </w:rPr>
      </w:pPr>
    </w:p>
    <w:p>
      <w:pPr>
        <w:ind w:left="220" w:right="520" w:firstLine="229"/>
        <w:spacing w:after="0" w:line="264" w:lineRule="auto"/>
        <w:tabs>
          <w:tab w:leader="none" w:pos="71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included or incorporated by reference in the Registration Statement, the Time of Sale Information and Final Prospectus in response to Regulation S-K, Item 301 (Selected Financial Data) and Item 503(d) (Ratio of Earnings to Fixed Charges) is in conformity with the applicable disclosure requirements of Regulation S-K;</w:t>
      </w:r>
    </w:p>
    <w:p>
      <w:pPr>
        <w:spacing w:after="0" w:line="73" w:lineRule="exact"/>
        <w:rPr>
          <w:rFonts w:ascii="Arial" w:cs="Arial" w:eastAsia="Arial" w:hAnsi="Arial"/>
          <w:sz w:val="18"/>
          <w:szCs w:val="18"/>
          <w:color w:val="auto"/>
        </w:rPr>
      </w:pPr>
    </w:p>
    <w:p>
      <w:pPr>
        <w:ind w:left="220" w:firstLine="229"/>
        <w:spacing w:after="0" w:line="271" w:lineRule="auto"/>
        <w:tabs>
          <w:tab w:leader="none" w:pos="7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and its consolidated subsidiaries) set forth in the Registration Statement, the Time of Sale Information and the Final Prospectus and in Exhibit 12 to the Registration Statement, the information included or incorporated by reference in the Company’s Annual Report on Form 10-K for the year ended December 31, 2010 and the Quarterly Reports on Form 10-Q for the three months ended March 31, 2011 and June 30, 2011, incorporated by reference in the Registration Statement, the Time of Sale Information and the Final Prospectus, and the information included in the “Management’s Discussion and Analysis of Financial Condition and Results of Operations” agrees with the accounting records of the Company and its consolidated subsidiaries, excluding any questions of legal interpretation; and</w:t>
      </w:r>
    </w:p>
    <w:p>
      <w:pPr>
        <w:spacing w:after="0" w:line="70" w:lineRule="exact"/>
        <w:rPr>
          <w:rFonts w:ascii="Arial" w:cs="Arial" w:eastAsia="Arial" w:hAnsi="Arial"/>
          <w:sz w:val="17"/>
          <w:szCs w:val="17"/>
          <w:color w:val="auto"/>
        </w:rPr>
      </w:pPr>
    </w:p>
    <w:p>
      <w:pPr>
        <w:ind w:left="220" w:firstLine="229"/>
        <w:spacing w:after="0" w:line="273" w:lineRule="auto"/>
        <w:tabs>
          <w:tab w:leader="none" w:pos="75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they have inquired of certain officials of the Company who have responsibility for financial and accounting matters as to whether: (A) at each of August 19, 2011 and August 24, 2011 there was any change in the capital stock, incurrence of new indebtedness or any decreases in consolidated net current assets or in total equity of the Company as compared with the amounts shown on the June 30, 2011 unaudited condensed consolidated balance sheet incorporated by reference in the Registration Statement; or (B) for the periods from July 1, 2011 to August 19, 2011 and from July 1, 2011 to August 24, 2011, there were any decreases, as compared with the corresponding period in the preceding year, in consolidated operating revenues or in the total or per-share amounts of net income attributable to the Company.</w:t>
      </w:r>
    </w:p>
    <w:p>
      <w:pPr>
        <w:spacing w:after="0" w:line="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References to the Final Prospectus in this paragraph (f) of this Section 7 include any supplement thereto at the date of the letter. The letter delivered on the Closing Date shall use a “cut-off” date no more than three business days prior to the Closing Date.</w:t>
      </w:r>
    </w:p>
    <w:p>
      <w:pPr>
        <w:spacing w:after="0" w:line="62" w:lineRule="exact"/>
        <w:rPr>
          <w:sz w:val="20"/>
          <w:szCs w:val="20"/>
          <w:color w:val="auto"/>
        </w:rPr>
      </w:pPr>
    </w:p>
    <w:p>
      <w:pPr>
        <w:jc w:val="both"/>
        <w:ind w:right="100" w:firstLine="221"/>
        <w:spacing w:after="0" w:line="286" w:lineRule="auto"/>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Subsequent to the Time of Sale or, if earlier, the dates as of which information is given in the Registration Statement (exclusive of any amendment thereof) and the Time of Sale Information and the Final Prospectus (exclusive of any amendment or supplement thereto), there shall not have been (i) any change or decrease specified in the letter or letters referred to in paragraph (f) of this Section 7 or (ii) any change, or any</w:t>
      </w:r>
    </w:p>
    <w:p>
      <w:pPr>
        <w:spacing w:after="0" w:line="13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8" w:name="page29"/>
    <w:bookmarkEnd w:id="28"/>
    <w:p>
      <w:pPr>
        <w:jc w:val="both"/>
        <w:ind w:left="240" w:right="40"/>
        <w:spacing w:after="0" w:line="288" w:lineRule="auto"/>
        <w:rPr>
          <w:sz w:val="20"/>
          <w:szCs w:val="20"/>
          <w:color w:val="auto"/>
        </w:rPr>
      </w:pPr>
      <w:r>
        <w:rPr>
          <w:rFonts w:ascii="Arial" w:cs="Arial" w:eastAsia="Arial" w:hAnsi="Arial"/>
          <w:sz w:val="16"/>
          <w:szCs w:val="16"/>
          <w:color w:val="auto"/>
        </w:rPr>
        <w:t>development involving a prospective change, in or affecting the condition (financial or otherwise),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 the effect of which, in any case referred to in clause</w:t>
      </w:r>
    </w:p>
    <w:p>
      <w:pPr>
        <w:ind w:left="240" w:right="560" w:hanging="4"/>
        <w:spacing w:after="0" w:line="255" w:lineRule="auto"/>
        <w:tabs>
          <w:tab w:leader="none" w:pos="4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or (ii) above, is, in the sole judgment of the Representatives, so material and adverse as to make it impractical or inadvisable to proceed with the offering or delivery of the Securities as contemplated by the Registration Statement (exclusive of any amendment thereof) and the Time of Sale Information and the Final Prospectus (exclusive of any amendment or supplement thereto).</w:t>
      </w:r>
    </w:p>
    <w:p>
      <w:pPr>
        <w:spacing w:after="0" w:line="82" w:lineRule="exact"/>
        <w:rPr>
          <w:rFonts w:ascii="Arial" w:cs="Arial" w:eastAsia="Arial" w:hAnsi="Arial"/>
          <w:sz w:val="18"/>
          <w:szCs w:val="18"/>
          <w:color w:val="auto"/>
        </w:rPr>
      </w:pPr>
    </w:p>
    <w:p>
      <w:pPr>
        <w:ind w:left="240" w:right="60" w:firstLine="221"/>
        <w:spacing w:after="0" w:line="286" w:lineRule="auto"/>
        <w:tabs>
          <w:tab w:leader="none" w:pos="7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Subsequent to the Time of Sale, there shall not have been any decrease in the rating of any of the Company’s debt securities by any “nationally recognized statistical rating organization” (as defined for purposes of Rule 436(g) under the Act) or any notice given of any intended or potential decrease in any such rating or of a possible change in any such rating that does not indicate the direction of the possible change.</w:t>
      </w:r>
    </w:p>
    <w:p>
      <w:pPr>
        <w:spacing w:after="0" w:line="57" w:lineRule="exact"/>
        <w:rPr>
          <w:rFonts w:ascii="Arial" w:cs="Arial" w:eastAsia="Arial" w:hAnsi="Arial"/>
          <w:sz w:val="17"/>
          <w:szCs w:val="17"/>
          <w:color w:val="auto"/>
        </w:rPr>
      </w:pPr>
    </w:p>
    <w:p>
      <w:pPr>
        <w:ind w:left="240" w:right="740" w:firstLine="221"/>
        <w:spacing w:after="0" w:line="277" w:lineRule="auto"/>
        <w:tabs>
          <w:tab w:leader="none" w:pos="6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Prior to the Closing Date, the Company and Holdings shall have furnished to the Representatives such further information, certificates and documents as the Representatives may reasonably request.</w:t>
      </w:r>
    </w:p>
    <w:p>
      <w:pPr>
        <w:spacing w:after="0" w:line="62"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or facsimile confirmed in writing.</w:t>
      </w:r>
    </w:p>
    <w:p>
      <w:pPr>
        <w:spacing w:after="0" w:line="80"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documents required to be delivered by this Section 7 shall be delivered at the office of Baker Botts L.L.P., counsel for the Company, at One Shell Plaza, 910 Louisiana Street, Houston, Texas 77002, on the Closing Date.</w:t>
      </w:r>
    </w:p>
    <w:p>
      <w:pPr>
        <w:spacing w:after="0" w:line="62" w:lineRule="exact"/>
        <w:rPr>
          <w:sz w:val="20"/>
          <w:szCs w:val="20"/>
          <w:color w:val="auto"/>
        </w:rPr>
      </w:pPr>
    </w:p>
    <w:p>
      <w:pPr>
        <w:ind w:firstLine="233"/>
        <w:spacing w:after="0" w:line="273" w:lineRule="auto"/>
        <w:tabs>
          <w:tab w:leader="none" w:pos="405"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Reimbursement of Underwriters’ Expenses</w:t>
      </w:r>
      <w:r>
        <w:rPr>
          <w:rFonts w:ascii="Arial" w:cs="Arial" w:eastAsia="Arial" w:hAnsi="Arial"/>
          <w:sz w:val="17"/>
          <w:szCs w:val="17"/>
          <w:color w:val="auto"/>
        </w:rPr>
        <w:t>. If the sale of the Securities provided for herein is not consummated because any condition to the obligations of the Underwriters set forth in Section 7 hereof is not satisfied, because of any termination pursuant to Section 11 hereof (other than as a result of the occurrence of the circumstances in Sections 11(ii) and 11(iii)) or because of any refusal, inability or failure on the part of the Company to perform any agreement herein or comply with any provision hereof other than by reason of a default by any of the Underwriters, the Company will reimburse the Underwriters severally through the Representatives on demand for all out-of-pocket expenses (including reasonable fees and disbursements of counsel) that shall have been incurred by them in connection with the proposed purchase and sale of the Securities.</w:t>
      </w:r>
    </w:p>
    <w:p>
      <w:pPr>
        <w:spacing w:after="0" w:line="70" w:lineRule="exact"/>
        <w:rPr>
          <w:rFonts w:ascii="Arial" w:cs="Arial" w:eastAsia="Arial" w:hAnsi="Arial"/>
          <w:sz w:val="17"/>
          <w:szCs w:val="17"/>
          <w:color w:val="auto"/>
        </w:rPr>
      </w:pPr>
    </w:p>
    <w:p>
      <w:pPr>
        <w:ind w:right="860" w:firstLine="233"/>
        <w:spacing w:after="0" w:line="277" w:lineRule="auto"/>
        <w:tabs>
          <w:tab w:leader="none" w:pos="40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 (a) Each of the Company and Holdings, jointly and severally, agrees to indemnify and hold harmless each Underwriter, the directors,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9" w:name="page30"/>
    <w:bookmarkEnd w:id="29"/>
    <w:p>
      <w:pPr>
        <w:ind w:right="20"/>
        <w:spacing w:after="0" w:line="286" w:lineRule="auto"/>
        <w:rPr>
          <w:sz w:val="20"/>
          <w:szCs w:val="20"/>
          <w:color w:val="auto"/>
        </w:rPr>
      </w:pPr>
      <w:r>
        <w:rPr>
          <w:rFonts w:ascii="Arial" w:cs="Arial" w:eastAsia="Arial" w:hAnsi="Arial"/>
          <w:sz w:val="16"/>
          <w:szCs w:val="16"/>
          <w:color w:val="auto"/>
        </w:rPr>
        <w:t xml:space="preserve">officers, employees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(i) arise out of or are based upon any untrue statement or alleged untrue statement of a material fact contained in the Registration Statement or in any amendment thereof, or arise out of or are based upon the omission or alleged omission to state therein a material fact required to be stated therein or necessary to make the statements therein not misleading, or (ii) arise out of or are based upon any untrue statement or alleged untrue statement of a material fact contained in the Final Prospectus (or any amendment or supplement thereto), any Issuer Free Writing Prospectus or the Time of Sale Information, or arise out of or are based upon any omission or alleged omission to state therein a material fact necessary in order to make the statements therein, in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neither the Company nor Holdings will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that the Company or Holdings may otherwise have.</w:t>
      </w:r>
    </w:p>
    <w:p>
      <w:pPr>
        <w:spacing w:after="0" w:line="64" w:lineRule="exact"/>
        <w:rPr>
          <w:sz w:val="20"/>
          <w:szCs w:val="20"/>
          <w:color w:val="auto"/>
        </w:rPr>
      </w:pPr>
    </w:p>
    <w:p>
      <w:pPr>
        <w:ind w:firstLine="458"/>
        <w:spacing w:after="0" w:line="288" w:lineRule="auto"/>
        <w:tabs>
          <w:tab w:leader="none" w:pos="705"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Underwriter, severally and not jointly, agrees to indemnify and hold harmless the Company and Holdings, each of their respective directors, each of their respective officers who signs the Registration Statement, and each person who controls either the Company or Holdings within the meaning of either the Act or the Exchange Act, to the same extent as the foregoing indemnity from the Company or Holdings to each Underwriter (the “</w:t>
      </w:r>
      <w:r>
        <w:rPr>
          <w:rFonts w:ascii="Arial" w:cs="Arial" w:eastAsia="Arial" w:hAnsi="Arial"/>
          <w:sz w:val="16"/>
          <w:szCs w:val="16"/>
          <w:u w:val="single" w:color="auto"/>
          <w:color w:val="auto"/>
        </w:rPr>
        <w:t>Foregoing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Indemnity</w:t>
      </w:r>
      <w:r>
        <w:rPr>
          <w:rFonts w:ascii="Arial" w:cs="Arial" w:eastAsia="Arial" w:hAnsi="Arial"/>
          <w:sz w:val="16"/>
          <w:szCs w:val="16"/>
          <w:color w:val="auto"/>
        </w:rPr>
        <w:t>”),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Each of the Company and Holdings acknowledges that the following statements set forth in the Time of Sale Information and the Final Prospectus constitute the only information furnished in writing by or on behalf of the several Underwriters for inclusion in the documents referred to in the Foregoing Indemnity: (i) the statements in the last paragraph of the cover page regarding delivery of the Securities and (ii) (A) the list of Underwriters and their respective participation in the sale of the Securities, (B) the sentences related to concessions and reallowances, and (C) the paragraphs related to stabilization, syndicate covering transactions and penalty bids, in each case under the heading “Underwriting.”</w:t>
      </w:r>
    </w:p>
    <w:p>
      <w:pPr>
        <w:spacing w:after="0" w:line="61" w:lineRule="exact"/>
        <w:rPr>
          <w:rFonts w:ascii="Arial" w:cs="Arial" w:eastAsia="Arial" w:hAnsi="Arial"/>
          <w:sz w:val="16"/>
          <w:szCs w:val="16"/>
          <w:color w:val="auto"/>
        </w:rPr>
      </w:pPr>
    </w:p>
    <w:p>
      <w:pPr>
        <w:ind w:right="180" w:firstLine="458"/>
        <w:spacing w:after="0" w:line="286" w:lineRule="auto"/>
        <w:tabs>
          <w:tab w:leader="none" w:pos="695"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this Section 9 of notice of the commencement of any action, such indemnified party will, if a claim in respect thereof is to be made against the indemnifying party under this Section 9, notify the indemnifying party in writing of the commencement thereof; but the failure so to notify the indemnifying party (i) will not relieve it from liability under paragraph (a) or (b) above unless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spacing w:after="0" w:line="285" w:lineRule="auto"/>
        <w:rPr>
          <w:sz w:val="20"/>
          <w:szCs w:val="20"/>
          <w:color w:val="auto"/>
        </w:rPr>
      </w:pPr>
      <w:r>
        <w:rPr>
          <w:rFonts w:ascii="Arial" w:cs="Arial" w:eastAsia="Arial" w:hAnsi="Arial"/>
          <w:sz w:val="16"/>
          <w:szCs w:val="16"/>
          <w:color w:val="auto"/>
        </w:rPr>
        <w:t xml:space="preserve">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counsel shall be reasonably satisfactory to the indemnified party and shall not, without the consent of the indemnified party, be counsel to the indemnifying party. Notwithstanding the indemnifying party’s election to appoint counsel to represent the indemnified party in an action, the indemnified party shall have the right to employ a separate counsel (including a local counsel), and the indemnifying party shall bear the reasonable fees, costs and expenses of such separate counsel if (i) the indemnifying party shall not have employed counsel reasonably satisfactory to the indemnified party to represent the indemnified party within a reasonable time after notice of the institution of such action or (ii)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 indemnified party. An indemnifying party shall not be liable under this Section 9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w:t>
      </w:r>
    </w:p>
    <w:p>
      <w:pPr>
        <w:spacing w:after="0" w:line="62" w:lineRule="exact"/>
        <w:rPr>
          <w:sz w:val="20"/>
          <w:szCs w:val="20"/>
          <w:color w:val="auto"/>
        </w:rPr>
      </w:pPr>
    </w:p>
    <w:p>
      <w:pPr>
        <w:ind w:right="20" w:firstLine="458"/>
        <w:spacing w:after="0" w:line="289" w:lineRule="auto"/>
        <w:tabs>
          <w:tab w:leader="none" w:pos="7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or (b) of this Section 9 is unavailable to or insufficient to hold harmless an indemnified party for any reason, the Company, Holdings and the Underwriters severally agree to contribute to the aggregate losses, claims, damages and liabilities (including legal or other expenses reasonably incurred in connection with investigating or defending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to which the Company, Holdings and one or more of the Underwriters may be subject in such proportion as is appropriate to reflect the relative benefits received by the Company and Holdings on the one hand and by the Underwriters on the other from the offering of the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case shall any Underwriter (except as may be provided in any agreement among underwriters relating to the offering of the Securities) be responsible for any amount in excess of the underwriting discount or commission applicable to the Securities purchased by such Underwriter hereunder. If the allocation provided by the immediately preceding sentence is unavailable for any reason, the Company, Holdings and the Underwriters severally shall contribute in such proportion as is appropriate to reflect not only such relative benefits but also the relative fault of the Company and Holdings on the one hand and of the Underwriters on the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spacing w:after="0" w:line="286" w:lineRule="auto"/>
        <w:rPr>
          <w:sz w:val="20"/>
          <w:szCs w:val="20"/>
          <w:color w:val="auto"/>
        </w:rPr>
      </w:pPr>
      <w:r>
        <w:rPr>
          <w:rFonts w:ascii="Arial" w:cs="Arial" w:eastAsia="Arial" w:hAnsi="Arial"/>
          <w:sz w:val="16"/>
          <w:szCs w:val="16"/>
          <w:color w:val="auto"/>
        </w:rPr>
        <w:t>other in connection with the statements or omissions which resulted in such Losses as well as any other relevant equitable considerations. Benefits received by the Company and Holdings shall be deemed to be equal to the total net proceeds from the offering (before deducting expenses) received by the Company,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and Holdings on the one hand or the Underwriters on the other, the intent of the parties and their relative knowledge, access to information and opportunity to correct or prevent such untrue statement or omission. The Company, Holdings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The Underwriters’ obligations in this paragraph (d) to contribute are several in proportion to their respective underwriting obligations and not joint. For purposes of this Section 9, each person who controls an Underwriter within the meaning of either the Act or the Exchange Act and each director, officer, employee and agent of an Underwriter shall have the same rights to contribution as such Underwriter, and each person who controls the Company or Holdings within the meaning of either the Act or the Exchange Act, each officer of the Company or Holdings who shall have signed the Registration Statement and each director of the Company or Holdings shall have the same rights to contribution as the Company or Holdings, subject in each case to the applicable terms and conditions of this paragraph (d).</w:t>
      </w:r>
    </w:p>
    <w:p>
      <w:pPr>
        <w:spacing w:after="0" w:line="61" w:lineRule="exact"/>
        <w:rPr>
          <w:sz w:val="20"/>
          <w:szCs w:val="20"/>
          <w:color w:val="auto"/>
        </w:rPr>
      </w:pPr>
    </w:p>
    <w:p>
      <w:pPr>
        <w:ind w:firstLine="233"/>
        <w:spacing w:after="0" w:line="268" w:lineRule="auto"/>
        <w:tabs>
          <w:tab w:leader="none" w:pos="495"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Default by an Underwriter</w:t>
      </w:r>
      <w:r>
        <w:rPr>
          <w:rFonts w:ascii="Arial" w:cs="Arial" w:eastAsia="Arial" w:hAnsi="Arial"/>
          <w:sz w:val="17"/>
          <w:szCs w:val="17"/>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principal amount of Notes set forth opposite their names in Schedule II hereto bears to the aggregate principal amount of Notes set forth opposite the names of all the remaining Underwriters) the Securities which the defaulting Underwriter or Underwriters agreed but failed to purchase;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the event that the aggregate principal amount of Notes which the defaulting Underwriter or Underwriters agreed but failed to purchase shall exceed 10% of the aggregate principal amount of Notes set forth in Schedule II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the Company or Holdings. In the event of a default by any Underwriter as set forth in this Section 10, the Closing Date shall be postponed for such period, not exceeding five Business Days, as the Representatives shall determine in order that the required changes in the Registration Statement, the Time of Sale Information and the Final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2" w:name="page33"/>
    <w:bookmarkEnd w:id="32"/>
    <w:p>
      <w:pPr>
        <w:ind w:left="-20" w:right="80" w:firstLine="233"/>
        <w:spacing w:after="0" w:line="270" w:lineRule="auto"/>
        <w:tabs>
          <w:tab w:leader="none" w:pos="468"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be subject to termination in the absolute discretion of the Representatives, by notice given to the Company prior to delivery of and payment for the Securities, if at any time prior to such time (i) trading in the Company’s Common Stock shall have been suspended by the Commission, (ii) trading in securities generally on the New York Stock Exchange shall have been suspended or limited or minimum prices shall have been established on such exchange, (iii) a banking moratorium shall have been declared either by Federal, New York State or State of Texas authorities or a material disruption in commercial banking or securities settlement or clearance services in the United States shall have occurred, or (iv) there shall have occurred any material change in the financial markets or any outbreak or escalation of hostilities, insurrection or armed conflict,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this Agreement, the Time of Sale Information and the Final Prospectus (exclusive of any amendment or supplement thereto).</w:t>
      </w:r>
    </w:p>
    <w:p>
      <w:pPr>
        <w:spacing w:after="0" w:line="73" w:lineRule="exact"/>
        <w:rPr>
          <w:rFonts w:ascii="Arial" w:cs="Arial" w:eastAsia="Arial" w:hAnsi="Arial"/>
          <w:sz w:val="17"/>
          <w:szCs w:val="17"/>
          <w:color w:val="auto"/>
        </w:rPr>
      </w:pPr>
    </w:p>
    <w:p>
      <w:pPr>
        <w:ind w:left="-20" w:firstLine="233"/>
        <w:spacing w:after="0" w:line="257" w:lineRule="auto"/>
        <w:tabs>
          <w:tab w:leader="none" w:pos="47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and Holdings or their respective officers and of the Underwriters set forth in or made pursuant to this Agreement will remain in full force and effect, regardless of any investigation made by or on behalf of any Underwriter, the Company or Holdings or any of the officers, directors, employees, agents or controlling persons referred to in Section 9 hereof, and will survive delivery of and payment for the Securities. The provisions of Sections 8 and 9 hereof shall survive the termination or cancellation of this Agreement.</w:t>
      </w:r>
    </w:p>
    <w:p>
      <w:pPr>
        <w:spacing w:after="0" w:line="80" w:lineRule="exact"/>
        <w:rPr>
          <w:rFonts w:ascii="Arial" w:cs="Arial" w:eastAsia="Arial" w:hAnsi="Arial"/>
          <w:sz w:val="18"/>
          <w:szCs w:val="18"/>
          <w:color w:val="auto"/>
        </w:rPr>
      </w:pPr>
    </w:p>
    <w:p>
      <w:pPr>
        <w:ind w:left="-20" w:right="40" w:firstLine="233"/>
        <w:spacing w:after="0" w:line="273" w:lineRule="auto"/>
        <w:tabs>
          <w:tab w:leader="none" w:pos="475"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communications hereunder will be in writing and effective only on receipt, and, if sent to the Representatives, will be mailed, delivered or telefaxed to: (1) Credit Suisse Securities (USA) LLC, 11 Madison Avenue, New York, NY 10010 (fax: 212-743-5041), (2) J.P. Morgan Securities LLC, Attention: High Grade Syndicate Desk — 3</w:t>
      </w:r>
      <w:r>
        <w:rPr>
          <w:rFonts w:ascii="Arial" w:cs="Arial" w:eastAsia="Arial" w:hAnsi="Arial"/>
          <w:sz w:val="14"/>
          <w:szCs w:val="14"/>
          <w:color w:val="auto"/>
        </w:rPr>
        <w:t>rd</w:t>
      </w:r>
      <w:r>
        <w:rPr>
          <w:rFonts w:ascii="Arial" w:cs="Arial" w:eastAsia="Arial" w:hAnsi="Arial"/>
          <w:sz w:val="17"/>
          <w:szCs w:val="17"/>
          <w:color w:val="auto"/>
        </w:rPr>
        <w:t xml:space="preserve"> Floor, 383 Madison Avenue, New York, New York 10017 (fax no.: 212-834-6081) and (3) Wells Fargo Securities, LLC, 301 S. College Street, 6</w:t>
      </w:r>
      <w:r>
        <w:rPr>
          <w:rFonts w:ascii="Arial" w:cs="Arial" w:eastAsia="Arial" w:hAnsi="Arial"/>
          <w:sz w:val="14"/>
          <w:szCs w:val="14"/>
          <w:color w:val="auto"/>
        </w:rPr>
        <w:t>th</w:t>
      </w:r>
      <w:r>
        <w:rPr>
          <w:rFonts w:ascii="Arial" w:cs="Arial" w:eastAsia="Arial" w:hAnsi="Arial"/>
          <w:sz w:val="17"/>
          <w:szCs w:val="17"/>
          <w:color w:val="auto"/>
        </w:rPr>
        <w:t xml:space="preserve"> Floor, Charlotte, North Carolina 28202, Attention: Transaction Management Department (fax no.: 704-383-9165); or, if sent to the Company or Holdings, will be mailed, delivered or telefaxed to Waste Management, Inc., Attn: General Counsel (fax no.: 713-209-9710) and confirmed to it at 1001 Fannin, Suite 4000, Houston, Texas 77002, attention of the Legal Department.</w:t>
      </w:r>
    </w:p>
    <w:p>
      <w:pPr>
        <w:spacing w:after="0" w:line="70" w:lineRule="exact"/>
        <w:rPr>
          <w:rFonts w:ascii="Arial" w:cs="Arial" w:eastAsia="Arial" w:hAnsi="Arial"/>
          <w:sz w:val="17"/>
          <w:szCs w:val="17"/>
          <w:color w:val="auto"/>
        </w:rPr>
      </w:pPr>
    </w:p>
    <w:p>
      <w:pPr>
        <w:ind w:left="-20" w:right="660" w:firstLine="233"/>
        <w:spacing w:after="0" w:line="342" w:lineRule="auto"/>
        <w:tabs>
          <w:tab w:leader="none" w:pos="475"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will inure to the benefit of and be binding upon the parties hereto and their respective successors and the officers, directors, employees, agents and controlling persons referred to in Section 9 hereof, and no other person will have any right or obligation hereunder.</w:t>
      </w:r>
    </w:p>
    <w:p>
      <w:pPr>
        <w:spacing w:after="0" w:line="15" w:lineRule="exact"/>
        <w:rPr>
          <w:rFonts w:ascii="Arial" w:cs="Arial" w:eastAsia="Arial" w:hAnsi="Arial"/>
          <w:sz w:val="16"/>
          <w:szCs w:val="16"/>
          <w:color w:val="auto"/>
        </w:rPr>
      </w:pPr>
    </w:p>
    <w:p>
      <w:pPr>
        <w:ind w:left="-20" w:right="400" w:firstLine="233"/>
        <w:spacing w:after="0" w:line="277" w:lineRule="auto"/>
        <w:tabs>
          <w:tab w:leader="none" w:pos="47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33" w:name="page34"/>
    <w:bookmarkEnd w:id="33"/>
    <w:p>
      <w:pPr>
        <w:ind w:left="-180" w:right="160" w:firstLine="233"/>
        <w:spacing w:after="0" w:line="277" w:lineRule="auto"/>
        <w:tabs>
          <w:tab w:leader="none" w:pos="31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w:t>
      </w:r>
    </w:p>
    <w:p>
      <w:pPr>
        <w:spacing w:after="0" w:line="62" w:lineRule="exact"/>
        <w:rPr>
          <w:rFonts w:ascii="Arial" w:cs="Arial" w:eastAsia="Arial" w:hAnsi="Arial"/>
          <w:sz w:val="18"/>
          <w:szCs w:val="18"/>
          <w:color w:val="auto"/>
        </w:rPr>
      </w:pPr>
    </w:p>
    <w:p>
      <w:pPr>
        <w:ind w:left="320" w:hanging="267"/>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117" w:lineRule="exact"/>
        <w:rPr>
          <w:rFonts w:ascii="Arial" w:cs="Arial" w:eastAsia="Arial" w:hAnsi="Arial"/>
          <w:sz w:val="18"/>
          <w:szCs w:val="18"/>
          <w:color w:val="auto"/>
        </w:rPr>
      </w:pPr>
    </w:p>
    <w:p>
      <w:pPr>
        <w:ind w:left="320" w:hanging="267"/>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“Act” shall mean the Securities Act of 1933, as amended, and the rules and regulations of the Commission promulgated thereunder.</w:t>
      </w:r>
    </w:p>
    <w:p>
      <w:pPr>
        <w:spacing w:after="0" w:line="117" w:lineRule="exact"/>
        <w:rPr>
          <w:sz w:val="20"/>
          <w:szCs w:val="20"/>
          <w:color w:val="auto"/>
        </w:rPr>
      </w:pPr>
    </w:p>
    <w:p>
      <w:pPr>
        <w:ind w:left="60" w:right="20" w:firstLine="225"/>
        <w:spacing w:after="0" w:line="277" w:lineRule="auto"/>
        <w:rPr>
          <w:sz w:val="20"/>
          <w:szCs w:val="20"/>
          <w:color w:val="auto"/>
        </w:rPr>
      </w:pPr>
      <w:r>
        <w:rPr>
          <w:rFonts w:ascii="Arial" w:cs="Arial" w:eastAsia="Arial" w:hAnsi="Arial"/>
          <w:sz w:val="18"/>
          <w:szCs w:val="18"/>
          <w:color w:val="auto"/>
        </w:rPr>
        <w:t>“affiliate” shall mean a person that directly, or indirectly through one or more intermediaries, controls or is controlled by, or is under common control with, the person specified.</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“Basic Prospectus” shall mean the prospectus referred to in Section 1(a) above contained in the Registration Statement at the Effective Date.</w:t>
      </w:r>
    </w:p>
    <w:p>
      <w:pPr>
        <w:spacing w:after="0" w:line="129" w:lineRule="exact"/>
        <w:rPr>
          <w:sz w:val="20"/>
          <w:szCs w:val="20"/>
          <w:color w:val="auto"/>
        </w:rPr>
      </w:pPr>
    </w:p>
    <w:p>
      <w:pPr>
        <w:ind w:left="60" w:right="140" w:firstLine="225"/>
        <w:spacing w:after="0" w:line="277"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banking institutions or trust companies are authorized or obligated by law to close in New York City or Houston, Texas.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“Commission” shall mean the Securities and Exchange Commission.</w:t>
      </w:r>
    </w:p>
    <w:p>
      <w:pPr>
        <w:spacing w:after="0" w:line="117" w:lineRule="exact"/>
        <w:rPr>
          <w:sz w:val="20"/>
          <w:szCs w:val="20"/>
          <w:color w:val="auto"/>
        </w:rPr>
      </w:pPr>
    </w:p>
    <w:p>
      <w:pPr>
        <w:ind w:left="60" w:right="140" w:firstLine="225"/>
        <w:spacing w:after="0" w:line="342" w:lineRule="auto"/>
        <w:rPr>
          <w:sz w:val="20"/>
          <w:szCs w:val="20"/>
          <w:color w:val="auto"/>
        </w:rPr>
      </w:pPr>
      <w:r>
        <w:rPr>
          <w:rFonts w:ascii="Arial" w:cs="Arial" w:eastAsia="Arial" w:hAnsi="Arial"/>
          <w:sz w:val="16"/>
          <w:szCs w:val="16"/>
          <w:color w:val="auto"/>
        </w:rPr>
        <w:t>“Effective Date” shall mean each date and time that the Registration Statement, any post-effective amendment or amendments thereto and any Rule 462(b) Registration Statement became or become effective or are deemed to become effective under Rule 430A, Rule 430B and Rule 430C.</w:t>
      </w:r>
    </w:p>
    <w:p>
      <w:pPr>
        <w:spacing w:after="0" w:line="16" w:lineRule="exact"/>
        <w:rPr>
          <w:sz w:val="20"/>
          <w:szCs w:val="20"/>
          <w:color w:val="auto"/>
        </w:rPr>
      </w:pPr>
    </w:p>
    <w:p>
      <w:pPr>
        <w:ind w:left="60" w:right="640" w:firstLine="225"/>
        <w:spacing w:after="0" w:line="277"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62" w:lineRule="exact"/>
        <w:rPr>
          <w:sz w:val="20"/>
          <w:szCs w:val="20"/>
          <w:color w:val="auto"/>
        </w:rPr>
      </w:pPr>
    </w:p>
    <w:p>
      <w:pPr>
        <w:ind w:left="60" w:right="80" w:firstLine="225"/>
        <w:spacing w:after="0" w:line="277" w:lineRule="auto"/>
        <w:rPr>
          <w:sz w:val="20"/>
          <w:szCs w:val="20"/>
          <w:color w:val="auto"/>
        </w:rPr>
      </w:pPr>
      <w:r>
        <w:rPr>
          <w:rFonts w:ascii="Arial" w:cs="Arial" w:eastAsia="Arial" w:hAnsi="Arial"/>
          <w:sz w:val="18"/>
          <w:szCs w:val="18"/>
          <w:color w:val="auto"/>
        </w:rPr>
        <w:t>“Final Prospectus” shall mean the prospectus supplement relating to the Securities that was first filed pursuant to Rule 424(b) after the Time of Sale, together with the Basic Prospectus.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“1940 Act” shall mean the Investment Company Act of 1940, as amended.</w:t>
      </w:r>
    </w:p>
    <w:p>
      <w:pPr>
        <w:spacing w:after="0" w:line="117" w:lineRule="exact"/>
        <w:rPr>
          <w:sz w:val="20"/>
          <w:szCs w:val="20"/>
          <w:color w:val="auto"/>
        </w:rPr>
      </w:pPr>
    </w:p>
    <w:p>
      <w:pPr>
        <w:ind w:left="60" w:right="180" w:firstLine="225"/>
        <w:spacing w:after="0" w:line="277" w:lineRule="auto"/>
        <w:rPr>
          <w:sz w:val="20"/>
          <w:szCs w:val="20"/>
          <w:color w:val="auto"/>
        </w:rPr>
      </w:pPr>
      <w:r>
        <w:rPr>
          <w:rFonts w:ascii="Arial" w:cs="Arial" w:eastAsia="Arial" w:hAnsi="Arial"/>
          <w:sz w:val="18"/>
          <w:szCs w:val="18"/>
          <w:color w:val="auto"/>
        </w:rPr>
        <w:t>“Preliminary Prospectus” shall mean the preliminary prospectus supplement relating to the Securities dated August 24, 2011 that was filed with the Commission pursuant to Rule 424(b) prior to the Time of Sale, together with the Basic Prospectus.</w:t>
      </w:r>
    </w:p>
    <w:p>
      <w:pPr>
        <w:spacing w:after="0" w:line="62" w:lineRule="exact"/>
        <w:rPr>
          <w:sz w:val="20"/>
          <w:szCs w:val="20"/>
          <w:color w:val="auto"/>
        </w:rPr>
      </w:pPr>
    </w:p>
    <w:p>
      <w:pPr>
        <w:ind w:left="60" w:firstLine="225"/>
        <w:spacing w:after="0" w:line="277" w:lineRule="auto"/>
        <w:rPr>
          <w:sz w:val="20"/>
          <w:szCs w:val="20"/>
          <w:color w:val="auto"/>
        </w:rPr>
      </w:pPr>
      <w:r>
        <w:rPr>
          <w:rFonts w:ascii="Arial" w:cs="Arial" w:eastAsia="Arial" w:hAnsi="Arial"/>
          <w:sz w:val="18"/>
          <w:szCs w:val="18"/>
          <w:color w:val="auto"/>
        </w:rPr>
        <w:t>“Prospectus Delivery Period” shall mean such period of time after the first date of the public offering of the Securities as in the opinion of counsel for the Underwriters a prospectus relating to the Securities is required by law to be delivered (or required to be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420" w:top="935" w:right="419" w:bottom="1440" w:gutter="0" w:footer="0" w:header="0"/>
        </w:sectPr>
      </w:pPr>
    </w:p>
    <w:bookmarkStart w:id="34" w:name="page35"/>
    <w:bookmarkEnd w:id="34"/>
    <w:p>
      <w:pPr>
        <w:ind w:left="220"/>
        <w:spacing w:after="0"/>
        <w:rPr>
          <w:sz w:val="20"/>
          <w:szCs w:val="20"/>
          <w:color w:val="auto"/>
        </w:rPr>
      </w:pPr>
      <w:r>
        <w:rPr>
          <w:rFonts w:ascii="Arial" w:cs="Arial" w:eastAsia="Arial" w:hAnsi="Arial"/>
          <w:sz w:val="18"/>
          <w:szCs w:val="18"/>
          <w:color w:val="auto"/>
        </w:rPr>
        <w:t>delivered but for Rule 172 under the Act) in connection with sales of the Securities by any Underwriter or dealer.</w:t>
      </w:r>
    </w:p>
    <w:p>
      <w:pPr>
        <w:spacing w:after="0" w:line="117" w:lineRule="exact"/>
        <w:rPr>
          <w:sz w:val="20"/>
          <w:szCs w:val="20"/>
          <w:color w:val="auto"/>
        </w:rPr>
      </w:pPr>
    </w:p>
    <w:p>
      <w:pPr>
        <w:ind w:left="220" w:right="140" w:firstLine="225"/>
        <w:spacing w:after="0" w:line="276" w:lineRule="auto"/>
        <w:rPr>
          <w:sz w:val="20"/>
          <w:szCs w:val="20"/>
          <w:color w:val="auto"/>
        </w:rPr>
      </w:pPr>
      <w:r>
        <w:rPr>
          <w:rFonts w:ascii="Arial" w:cs="Arial" w:eastAsia="Arial" w:hAnsi="Arial"/>
          <w:sz w:val="17"/>
          <w:szCs w:val="17"/>
          <w:color w:val="auto"/>
        </w:rPr>
        <w:t>“Registration Statement” shall mean the registration statement referred to in Section 1(a) above, including exhibits and financial statements, as amended at the Time of Sale (or, if not effective at the Time of Sale, in the form in which it shall become effective) and, in the event any post-effective amendment thereto or any Rule 462(b) Registration Statement becomes effective prior to the Closing Date, shall also mean such registration statement as so amended or such Rule 462(b) Registration Statement, as the case may be. Such term shall include any Rule 430 Information deemed to be included therein at the Effective Date as provided by Rule 430A, Rule 430B or Rule 430C.</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“Rule 415,” “Rule 424,” “Rule 430A,” “Rule 430B,” “Rule 430C” and “Rule 462” refer to such rules under the Act.</w:t>
      </w:r>
    </w:p>
    <w:p>
      <w:pPr>
        <w:spacing w:after="0" w:line="117" w:lineRule="exact"/>
        <w:rPr>
          <w:sz w:val="20"/>
          <w:szCs w:val="20"/>
          <w:color w:val="auto"/>
        </w:rPr>
      </w:pPr>
    </w:p>
    <w:p>
      <w:pPr>
        <w:ind w:left="220" w:firstLine="225"/>
        <w:spacing w:after="0" w:line="264" w:lineRule="auto"/>
        <w:rPr>
          <w:sz w:val="20"/>
          <w:szCs w:val="20"/>
          <w:color w:val="auto"/>
        </w:rPr>
      </w:pPr>
      <w:r>
        <w:rPr>
          <w:rFonts w:ascii="Arial" w:cs="Arial" w:eastAsia="Arial" w:hAnsi="Arial"/>
          <w:sz w:val="18"/>
          <w:szCs w:val="18"/>
          <w:color w:val="auto"/>
        </w:rPr>
        <w:t>“Rule 430 Information” shall mean information with respect to the Securities and the offering thereof permitted to be omitted from the Registration Statement when it becomes effective pursuant to Rule 430A, Rule 430B or Rule 430C that is deemed to be part of the Registration Statement at the time of its effectiveness.</w:t>
      </w:r>
    </w:p>
    <w:p>
      <w:pPr>
        <w:spacing w:after="0" w:line="73" w:lineRule="exact"/>
        <w:rPr>
          <w:sz w:val="20"/>
          <w:szCs w:val="20"/>
          <w:color w:val="auto"/>
        </w:rPr>
      </w:pPr>
    </w:p>
    <w:p>
      <w:pPr>
        <w:ind w:left="220" w:right="400" w:firstLine="225"/>
        <w:spacing w:after="0" w:line="277" w:lineRule="auto"/>
        <w:rPr>
          <w:sz w:val="20"/>
          <w:szCs w:val="20"/>
          <w:color w:val="auto"/>
        </w:rPr>
      </w:pPr>
      <w:r>
        <w:rPr>
          <w:rFonts w:ascii="Arial" w:cs="Arial" w:eastAsia="Arial" w:hAnsi="Arial"/>
          <w:sz w:val="18"/>
          <w:szCs w:val="18"/>
          <w:color w:val="auto"/>
        </w:rPr>
        <w:t>“Rule 462(b) Registration Statement” shall mean a registration statement and any amendments thereto filed pursuant to Rule 462(b) relating to the offering covered by the registration statement referred to in Section 1(a) above.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“Time of Sale” shall mean 3:45 P.M. New York time on August 24, 2011, the time when sales of the Securities were first made.</w:t>
      </w:r>
    </w:p>
    <w:p>
      <w:pPr>
        <w:spacing w:after="0" w:line="117" w:lineRule="exact"/>
        <w:rPr>
          <w:sz w:val="20"/>
          <w:szCs w:val="20"/>
          <w:color w:val="auto"/>
        </w:rPr>
      </w:pPr>
    </w:p>
    <w:p>
      <w:pPr>
        <w:ind w:left="220" w:right="760" w:firstLine="225"/>
        <w:spacing w:after="0" w:line="277" w:lineRule="auto"/>
        <w:rPr>
          <w:sz w:val="20"/>
          <w:szCs w:val="20"/>
          <w:color w:val="auto"/>
        </w:rPr>
      </w:pPr>
      <w:r>
        <w:rPr>
          <w:rFonts w:ascii="Arial" w:cs="Arial" w:eastAsia="Arial" w:hAnsi="Arial"/>
          <w:sz w:val="18"/>
          <w:szCs w:val="18"/>
          <w:color w:val="auto"/>
        </w:rPr>
        <w:t>“Trust Indenture Act” shall mean the Trust Indenture Act of 1939, as amended, and the rules and regulations of the Commission promulgated thereunder.</w:t>
      </w:r>
    </w:p>
    <w:p>
      <w:pPr>
        <w:spacing w:after="0" w:line="62" w:lineRule="exact"/>
        <w:rPr>
          <w:sz w:val="20"/>
          <w:szCs w:val="20"/>
          <w:color w:val="auto"/>
        </w:rPr>
      </w:pPr>
    </w:p>
    <w:p>
      <w:pPr>
        <w:ind w:left="-20" w:right="460" w:firstLine="233"/>
        <w:spacing w:after="0" w:line="312" w:lineRule="auto"/>
        <w:tabs>
          <w:tab w:leader="none" w:pos="475"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Consent to Representation</w:t>
      </w:r>
      <w:r>
        <w:rPr>
          <w:rFonts w:ascii="Arial" w:cs="Arial" w:eastAsia="Arial" w:hAnsi="Arial"/>
          <w:sz w:val="16"/>
          <w:szCs w:val="16"/>
          <w:color w:val="auto"/>
        </w:rPr>
        <w:t>. The Company and the Underwriters acknowledge that Vinson &amp; Elkins L.L.P., which is acting as counsel to the Underwriters in connection with the offer and sale of the Securities, also acts as counsel from time to time to the Company and certain of its affiliates in connection with unrelated matters. The Company and the Underwriters consent to Vinson &amp; Elkins L.L.P. so acting as counsel to the Underwriters.</w:t>
      </w:r>
    </w:p>
    <w:p>
      <w:pPr>
        <w:spacing w:after="0" w:line="38" w:lineRule="exact"/>
        <w:rPr>
          <w:rFonts w:ascii="Arial" w:cs="Arial" w:eastAsia="Arial" w:hAnsi="Arial"/>
          <w:sz w:val="16"/>
          <w:szCs w:val="16"/>
          <w:color w:val="auto"/>
        </w:rPr>
      </w:pPr>
    </w:p>
    <w:p>
      <w:pPr>
        <w:ind w:left="-20" w:right="380" w:firstLine="233"/>
        <w:spacing w:after="0" w:line="259" w:lineRule="auto"/>
        <w:tabs>
          <w:tab w:leader="none" w:pos="47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35" w:name="page36"/>
    <w:bookmarkEnd w:id="35"/>
    <w:p>
      <w:pPr>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us the enclosed duplicate hereof, whereupon this letter and your acceptance shall represent a binding agreement among the Company, Holdings and the several Underwriters.</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Cherie C. Rice</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President-Finance &amp; Treasurer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Cherie C. Rice</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 &amp; Treasurer</w:t>
      </w:r>
    </w:p>
    <w:p>
      <w:pPr>
        <w:spacing w:after="0" w:line="200" w:lineRule="exact"/>
        <w:rPr>
          <w:sz w:val="20"/>
          <w:szCs w:val="20"/>
          <w:color w:val="auto"/>
        </w:rPr>
      </w:pPr>
    </w:p>
    <w:p>
      <w:pPr>
        <w:spacing w:after="0" w:line="335"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Signature Page to Underwriting Agreement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5" w:right="41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The foregoing Agreement is hereby confirmed and accepted as of the date first set forth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WELLS FARGO SECURITIES, LLC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CREDIT SUISSE SECURITIES (USA) LLC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Murphy</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Christopher Murphy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J.P. MORGAN SECURITIES LLC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 Sramek</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60" w:type="dxa"/>
            <w:vAlign w:val="bottom"/>
          </w:tcPr>
          <w:p>
            <w:pPr>
              <w:spacing w:after="0"/>
              <w:rPr>
                <w:sz w:val="20"/>
                <w:szCs w:val="20"/>
                <w:color w:val="auto"/>
              </w:rPr>
            </w:pPr>
            <w:r>
              <w:rPr>
                <w:rFonts w:ascii="Arial" w:cs="Arial" w:eastAsia="Arial" w:hAnsi="Arial"/>
                <w:sz w:val="18"/>
                <w:szCs w:val="18"/>
                <w:color w:val="auto"/>
              </w:rPr>
              <w:t>Maria Sramek</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Executive Director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WELLS FARGO SECURITIES, LLC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Carolyn Hurley</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60" w:type="dxa"/>
            <w:vAlign w:val="bottom"/>
          </w:tcPr>
          <w:p>
            <w:pPr>
              <w:spacing w:after="0"/>
              <w:rPr>
                <w:sz w:val="20"/>
                <w:szCs w:val="20"/>
                <w:color w:val="auto"/>
              </w:rPr>
            </w:pPr>
            <w:r>
              <w:rPr>
                <w:rFonts w:ascii="Arial" w:cs="Arial" w:eastAsia="Arial" w:hAnsi="Arial"/>
                <w:sz w:val="18"/>
                <w:szCs w:val="18"/>
                <w:color w:val="auto"/>
              </w:rPr>
              <w:t>Carolyn Hurley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the other several Underwriters, if any, named in Schedule II to the foregoing Agreement.</w:t>
      </w:r>
    </w:p>
    <w:p>
      <w:pPr>
        <w:spacing w:after="0" w:line="356" w:lineRule="exact"/>
        <w:rPr>
          <w:sz w:val="20"/>
          <w:szCs w:val="20"/>
          <w:color w:val="auto"/>
        </w:rPr>
      </w:pPr>
    </w:p>
    <w:p>
      <w:pPr>
        <w:ind w:left="4000"/>
        <w:spacing w:after="0"/>
        <w:rPr>
          <w:sz w:val="20"/>
          <w:szCs w:val="20"/>
          <w:color w:val="auto"/>
        </w:rPr>
      </w:pPr>
      <w:r>
        <w:rPr>
          <w:rFonts w:ascii="Arial" w:cs="Arial" w:eastAsia="Arial" w:hAnsi="Arial"/>
          <w:sz w:val="18"/>
          <w:szCs w:val="18"/>
          <w:i w:val="1"/>
          <w:iCs w:val="1"/>
          <w:color w:val="auto"/>
        </w:rPr>
        <w:t>Signature Page to Underwriting Agreement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1"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SCHEDULE I</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Issuer Free Writing Prospectus dated August 24, 2011 relating to the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Preliminary Prospectus Supplement dated August 24, 2011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Prospectus dated September 22, 2009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Statement No. 333-162059</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7780" w:type="dxa"/>
            <w:vAlign w:val="bottom"/>
          </w:tcPr>
          <w:p>
            <w:pPr>
              <w:ind w:left="1100"/>
              <w:spacing w:after="0"/>
              <w:rPr>
                <w:sz w:val="20"/>
                <w:szCs w:val="20"/>
                <w:color w:val="auto"/>
              </w:rPr>
            </w:pPr>
            <w:r>
              <w:rPr>
                <w:rFonts w:ascii="Arial" w:cs="Arial" w:eastAsia="Arial" w:hAnsi="Arial"/>
                <w:sz w:val="18"/>
                <w:szCs w:val="18"/>
                <w:b w:val="1"/>
                <w:bCs w:val="1"/>
                <w:color w:val="auto"/>
              </w:rPr>
              <w:t>Final Pricing Term Sheet</w:t>
            </w:r>
          </w:p>
        </w:tc>
      </w:tr>
      <w:tr>
        <w:trPr>
          <w:trHeight w:val="234"/>
        </w:trPr>
        <w:tc>
          <w:tcPr>
            <w:tcW w:w="3640" w:type="dxa"/>
            <w:vAlign w:val="bottom"/>
          </w:tcPr>
          <w:p>
            <w:pPr>
              <w:spacing w:after="0"/>
              <w:rPr>
                <w:sz w:val="20"/>
                <w:szCs w:val="20"/>
                <w:color w:val="auto"/>
              </w:rPr>
            </w:pPr>
          </w:p>
        </w:tc>
        <w:tc>
          <w:tcPr>
            <w:tcW w:w="7780" w:type="dxa"/>
            <w:vAlign w:val="bottom"/>
          </w:tcPr>
          <w:p>
            <w:pPr>
              <w:ind w:left="900"/>
              <w:spacing w:after="0"/>
              <w:rPr>
                <w:sz w:val="20"/>
                <w:szCs w:val="20"/>
                <w:color w:val="auto"/>
              </w:rPr>
            </w:pPr>
            <w:r>
              <w:rPr>
                <w:rFonts w:ascii="Arial" w:cs="Arial" w:eastAsia="Arial" w:hAnsi="Arial"/>
                <w:sz w:val="18"/>
                <w:szCs w:val="18"/>
                <w:b w:val="1"/>
                <w:bCs w:val="1"/>
                <w:color w:val="auto"/>
              </w:rPr>
              <w:t>2.600% Senior Notes due 2016</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Issuer:</w:t>
            </w:r>
          </w:p>
        </w:tc>
        <w:tc>
          <w:tcPr>
            <w:tcW w:w="7780" w:type="dxa"/>
            <w:vAlign w:val="bottom"/>
          </w:tcPr>
          <w:p>
            <w:pPr>
              <w:ind w:left="1520"/>
              <w:spacing w:after="0"/>
              <w:rPr>
                <w:sz w:val="20"/>
                <w:szCs w:val="20"/>
                <w:color w:val="auto"/>
              </w:rPr>
            </w:pPr>
            <w:r>
              <w:rPr>
                <w:rFonts w:ascii="Arial" w:cs="Arial" w:eastAsia="Arial" w:hAnsi="Arial"/>
                <w:sz w:val="18"/>
                <w:szCs w:val="18"/>
                <w:color w:val="auto"/>
              </w:rPr>
              <w:t>Waste Management,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Guarantor:</w:t>
            </w:r>
          </w:p>
        </w:tc>
        <w:tc>
          <w:tcPr>
            <w:tcW w:w="7780" w:type="dxa"/>
            <w:vAlign w:val="bottom"/>
          </w:tcPr>
          <w:p>
            <w:pPr>
              <w:ind w:left="1520"/>
              <w:spacing w:after="0"/>
              <w:rPr>
                <w:sz w:val="20"/>
                <w:szCs w:val="20"/>
                <w:color w:val="auto"/>
              </w:rPr>
            </w:pPr>
            <w:r>
              <w:rPr>
                <w:rFonts w:ascii="Arial" w:cs="Arial" w:eastAsia="Arial" w:hAnsi="Arial"/>
                <w:sz w:val="18"/>
                <w:szCs w:val="18"/>
                <w:color w:val="auto"/>
              </w:rPr>
              <w:t>Waste Management Holdings,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Principal Amount:</w:t>
            </w:r>
          </w:p>
        </w:tc>
        <w:tc>
          <w:tcPr>
            <w:tcW w:w="7780" w:type="dxa"/>
            <w:vAlign w:val="bottom"/>
          </w:tcPr>
          <w:p>
            <w:pPr>
              <w:ind w:left="1520"/>
              <w:spacing w:after="0"/>
              <w:rPr>
                <w:sz w:val="20"/>
                <w:szCs w:val="20"/>
                <w:color w:val="auto"/>
              </w:rPr>
            </w:pPr>
            <w:r>
              <w:rPr>
                <w:rFonts w:ascii="Arial" w:cs="Arial" w:eastAsia="Arial" w:hAnsi="Arial"/>
                <w:sz w:val="18"/>
                <w:szCs w:val="18"/>
                <w:color w:val="auto"/>
              </w:rPr>
              <w:t>$500,000,000</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Maturity:</w:t>
            </w:r>
          </w:p>
        </w:tc>
        <w:tc>
          <w:tcPr>
            <w:tcW w:w="7780" w:type="dxa"/>
            <w:vAlign w:val="bottom"/>
          </w:tcPr>
          <w:p>
            <w:pPr>
              <w:ind w:left="1520"/>
              <w:spacing w:after="0"/>
              <w:rPr>
                <w:sz w:val="20"/>
                <w:szCs w:val="20"/>
                <w:color w:val="auto"/>
              </w:rPr>
            </w:pPr>
            <w:r>
              <w:rPr>
                <w:rFonts w:ascii="Arial" w:cs="Arial" w:eastAsia="Arial" w:hAnsi="Arial"/>
                <w:sz w:val="18"/>
                <w:szCs w:val="18"/>
                <w:color w:val="auto"/>
              </w:rPr>
              <w:t>September 1, 2016</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Coupon:</w:t>
            </w:r>
          </w:p>
        </w:tc>
        <w:tc>
          <w:tcPr>
            <w:tcW w:w="7780" w:type="dxa"/>
            <w:vAlign w:val="bottom"/>
          </w:tcPr>
          <w:p>
            <w:pPr>
              <w:ind w:left="1520"/>
              <w:spacing w:after="0"/>
              <w:rPr>
                <w:sz w:val="20"/>
                <w:szCs w:val="20"/>
                <w:color w:val="auto"/>
              </w:rPr>
            </w:pPr>
            <w:r>
              <w:rPr>
                <w:rFonts w:ascii="Arial" w:cs="Arial" w:eastAsia="Arial" w:hAnsi="Arial"/>
                <w:sz w:val="18"/>
                <w:szCs w:val="18"/>
                <w:color w:val="auto"/>
              </w:rPr>
              <w:t>2.600%</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Price to Public:</w:t>
            </w:r>
          </w:p>
        </w:tc>
        <w:tc>
          <w:tcPr>
            <w:tcW w:w="7780" w:type="dxa"/>
            <w:vAlign w:val="bottom"/>
          </w:tcPr>
          <w:p>
            <w:pPr>
              <w:ind w:left="1520"/>
              <w:spacing w:after="0"/>
              <w:rPr>
                <w:sz w:val="20"/>
                <w:szCs w:val="20"/>
                <w:color w:val="auto"/>
              </w:rPr>
            </w:pPr>
            <w:r>
              <w:rPr>
                <w:rFonts w:ascii="Arial" w:cs="Arial" w:eastAsia="Arial" w:hAnsi="Arial"/>
                <w:sz w:val="18"/>
                <w:szCs w:val="18"/>
                <w:color w:val="auto"/>
              </w:rPr>
              <w:t>99.991% of face amount</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Underwriting Discount:</w:t>
            </w:r>
          </w:p>
        </w:tc>
        <w:tc>
          <w:tcPr>
            <w:tcW w:w="7780" w:type="dxa"/>
            <w:vAlign w:val="bottom"/>
          </w:tcPr>
          <w:p>
            <w:pPr>
              <w:ind w:left="1520"/>
              <w:spacing w:after="0"/>
              <w:rPr>
                <w:sz w:val="20"/>
                <w:szCs w:val="20"/>
                <w:color w:val="auto"/>
              </w:rPr>
            </w:pPr>
            <w:r>
              <w:rPr>
                <w:rFonts w:ascii="Arial" w:cs="Arial" w:eastAsia="Arial" w:hAnsi="Arial"/>
                <w:sz w:val="18"/>
                <w:szCs w:val="18"/>
                <w:color w:val="auto"/>
              </w:rPr>
              <w:t>0.60%</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Benchmark Treasury:</w:t>
            </w:r>
          </w:p>
        </w:tc>
        <w:tc>
          <w:tcPr>
            <w:tcW w:w="7780" w:type="dxa"/>
            <w:vAlign w:val="bottom"/>
          </w:tcPr>
          <w:p>
            <w:pPr>
              <w:ind w:left="1520"/>
              <w:spacing w:after="0"/>
              <w:rPr>
                <w:sz w:val="20"/>
                <w:szCs w:val="20"/>
                <w:color w:val="auto"/>
              </w:rPr>
            </w:pPr>
            <w:r>
              <w:rPr>
                <w:rFonts w:ascii="Arial" w:cs="Arial" w:eastAsia="Arial" w:hAnsi="Arial"/>
                <w:sz w:val="18"/>
                <w:szCs w:val="18"/>
                <w:color w:val="auto"/>
              </w:rPr>
              <w:t>1.500% due 07/31/2016</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7780" w:type="dxa"/>
            <w:vAlign w:val="bottom"/>
          </w:tcPr>
          <w:p>
            <w:pPr>
              <w:ind w:left="1520"/>
              <w:spacing w:after="0"/>
              <w:rPr>
                <w:sz w:val="20"/>
                <w:szCs w:val="20"/>
                <w:color w:val="auto"/>
              </w:rPr>
            </w:pPr>
            <w:r>
              <w:rPr>
                <w:rFonts w:ascii="Arial" w:cs="Arial" w:eastAsia="Arial" w:hAnsi="Arial"/>
                <w:sz w:val="18"/>
                <w:szCs w:val="18"/>
                <w:color w:val="auto"/>
              </w:rPr>
              <w:t>1.60%</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7780" w:type="dxa"/>
            <w:vAlign w:val="bottom"/>
          </w:tcPr>
          <w:p>
            <w:pPr>
              <w:ind w:left="1520"/>
              <w:spacing w:after="0"/>
              <w:rPr>
                <w:sz w:val="20"/>
                <w:szCs w:val="20"/>
                <w:color w:val="auto"/>
              </w:rPr>
            </w:pPr>
            <w:r>
              <w:rPr>
                <w:rFonts w:ascii="Arial" w:cs="Arial" w:eastAsia="Arial" w:hAnsi="Arial"/>
                <w:sz w:val="18"/>
                <w:szCs w:val="18"/>
                <w:color w:val="auto"/>
              </w:rPr>
              <w:t>102-12+, 1.002%</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Yield to maturity:</w:t>
            </w:r>
          </w:p>
        </w:tc>
        <w:tc>
          <w:tcPr>
            <w:tcW w:w="7780" w:type="dxa"/>
            <w:vAlign w:val="bottom"/>
          </w:tcPr>
          <w:p>
            <w:pPr>
              <w:ind w:left="1520"/>
              <w:spacing w:after="0"/>
              <w:rPr>
                <w:sz w:val="20"/>
                <w:szCs w:val="20"/>
                <w:color w:val="auto"/>
              </w:rPr>
            </w:pPr>
            <w:r>
              <w:rPr>
                <w:rFonts w:ascii="Arial" w:cs="Arial" w:eastAsia="Arial" w:hAnsi="Arial"/>
                <w:sz w:val="18"/>
                <w:szCs w:val="18"/>
                <w:color w:val="auto"/>
              </w:rPr>
              <w:t>2.602%</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780" w:type="dxa"/>
            <w:vAlign w:val="bottom"/>
          </w:tcPr>
          <w:p>
            <w:pPr>
              <w:ind w:left="1520"/>
              <w:spacing w:after="0"/>
              <w:rPr>
                <w:sz w:val="20"/>
                <w:szCs w:val="20"/>
                <w:color w:val="auto"/>
              </w:rPr>
            </w:pPr>
            <w:r>
              <w:rPr>
                <w:rFonts w:ascii="Arial" w:cs="Arial" w:eastAsia="Arial" w:hAnsi="Arial"/>
                <w:sz w:val="18"/>
                <w:szCs w:val="18"/>
                <w:color w:val="auto"/>
              </w:rPr>
              <w:t>Semi-annually on March 1 and September 1, commencing on March 1, 2011.</w:t>
            </w:r>
          </w:p>
        </w:tc>
      </w:tr>
      <w:tr>
        <w:trPr>
          <w:trHeight w:val="418"/>
        </w:trPr>
        <w:tc>
          <w:tcPr>
            <w:tcW w:w="3640" w:type="dxa"/>
            <w:vAlign w:val="bottom"/>
          </w:tcPr>
          <w:p>
            <w:pPr>
              <w:spacing w:after="0"/>
              <w:rPr>
                <w:sz w:val="20"/>
                <w:szCs w:val="20"/>
                <w:color w:val="auto"/>
              </w:rPr>
            </w:pPr>
            <w:r>
              <w:rPr>
                <w:rFonts w:ascii="Arial" w:cs="Arial" w:eastAsia="Arial" w:hAnsi="Arial"/>
                <w:sz w:val="18"/>
                <w:szCs w:val="18"/>
                <w:color w:val="auto"/>
              </w:rPr>
              <w:t>Redemption Provisions:</w:t>
            </w:r>
          </w:p>
        </w:tc>
        <w:tc>
          <w:tcPr>
            <w:tcW w:w="7780" w:type="dxa"/>
            <w:vAlign w:val="bottom"/>
          </w:tcPr>
          <w:p>
            <w:pPr>
              <w:ind w:left="1520"/>
              <w:spacing w:after="0"/>
              <w:rPr>
                <w:sz w:val="20"/>
                <w:szCs w:val="20"/>
                <w:color w:val="auto"/>
              </w:rPr>
            </w:pPr>
            <w:r>
              <w:rPr>
                <w:rFonts w:ascii="Arial" w:cs="Arial" w:eastAsia="Arial" w:hAnsi="Arial"/>
                <w:sz w:val="18"/>
                <w:szCs w:val="18"/>
                <w:color w:val="auto"/>
                <w:w w:val="96"/>
              </w:rPr>
              <w:t>Redeemable at any time, in whole or from time to time in part, at the option of the</w:t>
            </w:r>
          </w:p>
        </w:tc>
      </w:tr>
      <w:tr>
        <w:trPr>
          <w:trHeight w:val="216"/>
        </w:trPr>
        <w:tc>
          <w:tcPr>
            <w:tcW w:w="3640" w:type="dxa"/>
            <w:vAlign w:val="bottom"/>
          </w:tcPr>
          <w:p>
            <w:pPr>
              <w:spacing w:after="0"/>
              <w:rPr>
                <w:sz w:val="18"/>
                <w:szCs w:val="18"/>
                <w:color w:val="auto"/>
              </w:rPr>
            </w:pPr>
          </w:p>
        </w:tc>
        <w:tc>
          <w:tcPr>
            <w:tcW w:w="7780" w:type="dxa"/>
            <w:vAlign w:val="bottom"/>
          </w:tcPr>
          <w:p>
            <w:pPr>
              <w:ind w:left="1520"/>
              <w:spacing w:after="0"/>
              <w:rPr>
                <w:sz w:val="20"/>
                <w:szCs w:val="20"/>
                <w:color w:val="auto"/>
              </w:rPr>
            </w:pPr>
            <w:r>
              <w:rPr>
                <w:rFonts w:ascii="Arial" w:cs="Arial" w:eastAsia="Arial" w:hAnsi="Arial"/>
                <w:sz w:val="18"/>
                <w:szCs w:val="18"/>
                <w:color w:val="auto"/>
                <w:w w:val="89"/>
              </w:rPr>
              <w:t>Company, at a make whole redemption price using the applicable Treasury rate plus 25</w:t>
            </w:r>
          </w:p>
        </w:tc>
      </w:tr>
      <w:tr>
        <w:trPr>
          <w:trHeight w:val="230"/>
        </w:trPr>
        <w:tc>
          <w:tcPr>
            <w:tcW w:w="3640" w:type="dxa"/>
            <w:vAlign w:val="bottom"/>
          </w:tcPr>
          <w:p>
            <w:pPr>
              <w:spacing w:after="0"/>
              <w:rPr>
                <w:sz w:val="20"/>
                <w:szCs w:val="20"/>
                <w:color w:val="auto"/>
              </w:rPr>
            </w:pPr>
          </w:p>
        </w:tc>
        <w:tc>
          <w:tcPr>
            <w:tcW w:w="7780" w:type="dxa"/>
            <w:vAlign w:val="bottom"/>
          </w:tcPr>
          <w:p>
            <w:pPr>
              <w:ind w:left="1520"/>
              <w:spacing w:after="0"/>
              <w:rPr>
                <w:sz w:val="20"/>
                <w:szCs w:val="20"/>
                <w:color w:val="auto"/>
              </w:rPr>
            </w:pPr>
            <w:r>
              <w:rPr>
                <w:rFonts w:ascii="Arial" w:cs="Arial" w:eastAsia="Arial" w:hAnsi="Arial"/>
                <w:sz w:val="18"/>
                <w:szCs w:val="18"/>
                <w:color w:val="auto"/>
                <w:w w:val="90"/>
              </w:rPr>
              <w:t>basis points (as defined and described in further detail in the Prospectus Supplement).</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Settlement:</w:t>
            </w:r>
          </w:p>
        </w:tc>
        <w:tc>
          <w:tcPr>
            <w:tcW w:w="7780" w:type="dxa"/>
            <w:vAlign w:val="bottom"/>
          </w:tcPr>
          <w:p>
            <w:pPr>
              <w:ind w:left="1520"/>
              <w:spacing w:after="0"/>
              <w:rPr>
                <w:sz w:val="20"/>
                <w:szCs w:val="20"/>
                <w:color w:val="auto"/>
              </w:rPr>
            </w:pPr>
            <w:r>
              <w:rPr>
                <w:rFonts w:ascii="Arial" w:cs="Arial" w:eastAsia="Arial" w:hAnsi="Arial"/>
                <w:sz w:val="18"/>
                <w:szCs w:val="18"/>
                <w:color w:val="auto"/>
              </w:rPr>
              <w:t>T+3; August 29, 2011</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CUSIP:</w:t>
            </w:r>
          </w:p>
        </w:tc>
        <w:tc>
          <w:tcPr>
            <w:tcW w:w="7780" w:type="dxa"/>
            <w:vAlign w:val="bottom"/>
          </w:tcPr>
          <w:p>
            <w:pPr>
              <w:ind w:left="1520"/>
              <w:spacing w:after="0"/>
              <w:rPr>
                <w:sz w:val="20"/>
                <w:szCs w:val="20"/>
                <w:color w:val="auto"/>
              </w:rPr>
            </w:pPr>
            <w:r>
              <w:rPr>
                <w:rFonts w:ascii="Arial" w:cs="Arial" w:eastAsia="Arial" w:hAnsi="Arial"/>
                <w:sz w:val="18"/>
                <w:szCs w:val="18"/>
                <w:color w:val="auto"/>
              </w:rPr>
              <w:t>94106LAX7</w:t>
            </w:r>
          </w:p>
        </w:tc>
      </w:tr>
      <w:tr>
        <w:trPr>
          <w:trHeight w:val="418"/>
        </w:trPr>
        <w:tc>
          <w:tcPr>
            <w:tcW w:w="3640" w:type="dxa"/>
            <w:vAlign w:val="bottom"/>
          </w:tcPr>
          <w:p>
            <w:pPr>
              <w:spacing w:after="0"/>
              <w:rPr>
                <w:sz w:val="20"/>
                <w:szCs w:val="20"/>
                <w:color w:val="auto"/>
              </w:rPr>
            </w:pPr>
            <w:r>
              <w:rPr>
                <w:rFonts w:ascii="Arial" w:cs="Arial" w:eastAsia="Arial" w:hAnsi="Arial"/>
                <w:sz w:val="18"/>
                <w:szCs w:val="18"/>
                <w:color w:val="auto"/>
              </w:rPr>
              <w:t>Joint Book-Running and</w:t>
            </w:r>
          </w:p>
        </w:tc>
        <w:tc>
          <w:tcPr>
            <w:tcW w:w="7780" w:type="dxa"/>
            <w:vAlign w:val="bottom"/>
          </w:tcPr>
          <w:p>
            <w:pPr>
              <w:ind w:left="1520"/>
              <w:spacing w:after="0"/>
              <w:rPr>
                <w:sz w:val="20"/>
                <w:szCs w:val="20"/>
                <w:color w:val="auto"/>
              </w:rPr>
            </w:pPr>
            <w:r>
              <w:rPr>
                <w:rFonts w:ascii="Arial" w:cs="Arial" w:eastAsia="Arial" w:hAnsi="Arial"/>
                <w:sz w:val="18"/>
                <w:szCs w:val="18"/>
                <w:color w:val="auto"/>
              </w:rPr>
              <w:t>Credit Suisse Securities (USA) LLC</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Joint Lead Managers</w:t>
            </w:r>
          </w:p>
        </w:tc>
        <w:tc>
          <w:tcPr>
            <w:tcW w:w="7780" w:type="dxa"/>
            <w:vAlign w:val="bottom"/>
          </w:tcPr>
          <w:p>
            <w:pPr>
              <w:ind w:left="1520"/>
              <w:spacing w:after="0"/>
              <w:rPr>
                <w:sz w:val="20"/>
                <w:szCs w:val="20"/>
                <w:color w:val="auto"/>
              </w:rPr>
            </w:pPr>
            <w:r>
              <w:rPr>
                <w:rFonts w:ascii="Arial" w:cs="Arial" w:eastAsia="Arial" w:hAnsi="Arial"/>
                <w:sz w:val="18"/>
                <w:szCs w:val="18"/>
                <w:color w:val="auto"/>
              </w:rPr>
              <w:t>J.P. Morgan Securities LLC</w:t>
            </w:r>
          </w:p>
        </w:tc>
      </w:tr>
      <w:tr>
        <w:trPr>
          <w:trHeight w:val="230"/>
        </w:trPr>
        <w:tc>
          <w:tcPr>
            <w:tcW w:w="3640" w:type="dxa"/>
            <w:vAlign w:val="bottom"/>
          </w:tcPr>
          <w:p>
            <w:pPr>
              <w:spacing w:after="0"/>
              <w:rPr>
                <w:sz w:val="20"/>
                <w:szCs w:val="20"/>
                <w:color w:val="auto"/>
              </w:rPr>
            </w:pPr>
          </w:p>
        </w:tc>
        <w:tc>
          <w:tcPr>
            <w:tcW w:w="7780" w:type="dxa"/>
            <w:vAlign w:val="bottom"/>
          </w:tcPr>
          <w:p>
            <w:pPr>
              <w:ind w:left="1520"/>
              <w:spacing w:after="0"/>
              <w:rPr>
                <w:sz w:val="20"/>
                <w:szCs w:val="20"/>
                <w:color w:val="auto"/>
              </w:rPr>
            </w:pPr>
            <w:r>
              <w:rPr>
                <w:rFonts w:ascii="Arial" w:cs="Arial" w:eastAsia="Arial" w:hAnsi="Arial"/>
                <w:sz w:val="18"/>
                <w:szCs w:val="18"/>
                <w:color w:val="auto"/>
              </w:rPr>
              <w:t>Wells Fargo Securities, LLC</w:t>
            </w:r>
          </w:p>
        </w:tc>
      </w:tr>
      <w:tr>
        <w:trPr>
          <w:trHeight w:val="418"/>
        </w:trPr>
        <w:tc>
          <w:tcPr>
            <w:tcW w:w="3640" w:type="dxa"/>
            <w:vAlign w:val="bottom"/>
          </w:tcPr>
          <w:p>
            <w:pPr>
              <w:spacing w:after="0"/>
              <w:rPr>
                <w:sz w:val="20"/>
                <w:szCs w:val="20"/>
                <w:color w:val="auto"/>
              </w:rPr>
            </w:pPr>
            <w:r>
              <w:rPr>
                <w:rFonts w:ascii="Arial" w:cs="Arial" w:eastAsia="Arial" w:hAnsi="Arial"/>
                <w:sz w:val="18"/>
                <w:szCs w:val="18"/>
                <w:color w:val="auto"/>
              </w:rPr>
              <w:t>Co-Managers</w:t>
            </w:r>
          </w:p>
        </w:tc>
        <w:tc>
          <w:tcPr>
            <w:tcW w:w="7780" w:type="dxa"/>
            <w:vAlign w:val="bottom"/>
          </w:tcPr>
          <w:p>
            <w:pPr>
              <w:ind w:left="1520"/>
              <w:spacing w:after="0"/>
              <w:rPr>
                <w:sz w:val="20"/>
                <w:szCs w:val="20"/>
                <w:color w:val="auto"/>
              </w:rPr>
            </w:pPr>
            <w:r>
              <w:rPr>
                <w:rFonts w:ascii="Arial" w:cs="Arial" w:eastAsia="Arial" w:hAnsi="Arial"/>
                <w:sz w:val="18"/>
                <w:szCs w:val="18"/>
                <w:color w:val="auto"/>
              </w:rPr>
              <w:t>Banco Bilbao Vizcaya Argentaria, S.A.</w:t>
            </w:r>
          </w:p>
        </w:tc>
      </w:tr>
      <w:tr>
        <w:trPr>
          <w:trHeight w:val="216"/>
        </w:trPr>
        <w:tc>
          <w:tcPr>
            <w:tcW w:w="3640" w:type="dxa"/>
            <w:vAlign w:val="bottom"/>
          </w:tcPr>
          <w:p>
            <w:pPr>
              <w:spacing w:after="0"/>
              <w:rPr>
                <w:sz w:val="18"/>
                <w:szCs w:val="18"/>
                <w:color w:val="auto"/>
              </w:rPr>
            </w:pPr>
          </w:p>
        </w:tc>
        <w:tc>
          <w:tcPr>
            <w:tcW w:w="7780" w:type="dxa"/>
            <w:vAlign w:val="bottom"/>
          </w:tcPr>
          <w:p>
            <w:pPr>
              <w:ind w:left="1520"/>
              <w:spacing w:after="0"/>
              <w:rPr>
                <w:sz w:val="20"/>
                <w:szCs w:val="20"/>
                <w:color w:val="auto"/>
              </w:rPr>
            </w:pPr>
            <w:r>
              <w:rPr>
                <w:rFonts w:ascii="Arial" w:cs="Arial" w:eastAsia="Arial" w:hAnsi="Arial"/>
                <w:sz w:val="18"/>
                <w:szCs w:val="18"/>
                <w:color w:val="auto"/>
              </w:rPr>
              <w:t>BNY Mellon Capital Markets, LLC</w:t>
            </w:r>
          </w:p>
        </w:tc>
      </w:tr>
      <w:tr>
        <w:trPr>
          <w:trHeight w:val="216"/>
        </w:trPr>
        <w:tc>
          <w:tcPr>
            <w:tcW w:w="3640" w:type="dxa"/>
            <w:vAlign w:val="bottom"/>
          </w:tcPr>
          <w:p>
            <w:pPr>
              <w:spacing w:after="0"/>
              <w:rPr>
                <w:sz w:val="18"/>
                <w:szCs w:val="18"/>
                <w:color w:val="auto"/>
              </w:rPr>
            </w:pPr>
          </w:p>
        </w:tc>
        <w:tc>
          <w:tcPr>
            <w:tcW w:w="7780" w:type="dxa"/>
            <w:vAlign w:val="bottom"/>
          </w:tcPr>
          <w:p>
            <w:pPr>
              <w:ind w:left="1520"/>
              <w:spacing w:after="0"/>
              <w:rPr>
                <w:sz w:val="20"/>
                <w:szCs w:val="20"/>
                <w:color w:val="auto"/>
              </w:rPr>
            </w:pPr>
            <w:r>
              <w:rPr>
                <w:rFonts w:ascii="Arial" w:cs="Arial" w:eastAsia="Arial" w:hAnsi="Arial"/>
                <w:sz w:val="18"/>
                <w:szCs w:val="18"/>
                <w:color w:val="auto"/>
              </w:rPr>
              <w:t>Comerica Securities, Inc.</w:t>
            </w:r>
          </w:p>
        </w:tc>
      </w:tr>
      <w:tr>
        <w:trPr>
          <w:trHeight w:val="216"/>
        </w:trPr>
        <w:tc>
          <w:tcPr>
            <w:tcW w:w="3640" w:type="dxa"/>
            <w:vAlign w:val="bottom"/>
          </w:tcPr>
          <w:p>
            <w:pPr>
              <w:spacing w:after="0"/>
              <w:rPr>
                <w:sz w:val="18"/>
                <w:szCs w:val="18"/>
                <w:color w:val="auto"/>
              </w:rPr>
            </w:pPr>
          </w:p>
        </w:tc>
        <w:tc>
          <w:tcPr>
            <w:tcW w:w="7780" w:type="dxa"/>
            <w:vAlign w:val="bottom"/>
          </w:tcPr>
          <w:p>
            <w:pPr>
              <w:ind w:left="1520"/>
              <w:spacing w:after="0"/>
              <w:rPr>
                <w:sz w:val="20"/>
                <w:szCs w:val="20"/>
                <w:color w:val="auto"/>
              </w:rPr>
            </w:pPr>
            <w:r>
              <w:rPr>
                <w:rFonts w:ascii="Arial" w:cs="Arial" w:eastAsia="Arial" w:hAnsi="Arial"/>
                <w:sz w:val="18"/>
                <w:szCs w:val="18"/>
                <w:color w:val="auto"/>
              </w:rPr>
              <w:t>Mitsubishi UFJ Securities (USA), Inc .</w:t>
            </w:r>
          </w:p>
        </w:tc>
      </w:tr>
      <w:tr>
        <w:trPr>
          <w:trHeight w:val="216"/>
        </w:trPr>
        <w:tc>
          <w:tcPr>
            <w:tcW w:w="3640" w:type="dxa"/>
            <w:vAlign w:val="bottom"/>
          </w:tcPr>
          <w:p>
            <w:pPr>
              <w:spacing w:after="0"/>
              <w:rPr>
                <w:sz w:val="18"/>
                <w:szCs w:val="18"/>
                <w:color w:val="auto"/>
              </w:rPr>
            </w:pPr>
          </w:p>
        </w:tc>
        <w:tc>
          <w:tcPr>
            <w:tcW w:w="7780" w:type="dxa"/>
            <w:vAlign w:val="bottom"/>
          </w:tcPr>
          <w:p>
            <w:pPr>
              <w:ind w:left="1520"/>
              <w:spacing w:after="0"/>
              <w:rPr>
                <w:sz w:val="20"/>
                <w:szCs w:val="20"/>
                <w:color w:val="auto"/>
              </w:rPr>
            </w:pPr>
            <w:r>
              <w:rPr>
                <w:rFonts w:ascii="Arial" w:cs="Arial" w:eastAsia="Arial" w:hAnsi="Arial"/>
                <w:sz w:val="18"/>
                <w:szCs w:val="18"/>
                <w:color w:val="auto"/>
              </w:rPr>
              <w:t>Mizuho Securities USA Inc.</w:t>
            </w:r>
          </w:p>
        </w:tc>
      </w:tr>
      <w:tr>
        <w:trPr>
          <w:trHeight w:val="230"/>
        </w:trPr>
        <w:tc>
          <w:tcPr>
            <w:tcW w:w="3640" w:type="dxa"/>
            <w:vAlign w:val="bottom"/>
          </w:tcPr>
          <w:p>
            <w:pPr>
              <w:spacing w:after="0"/>
              <w:rPr>
                <w:sz w:val="20"/>
                <w:szCs w:val="20"/>
                <w:color w:val="auto"/>
              </w:rPr>
            </w:pPr>
          </w:p>
        </w:tc>
        <w:tc>
          <w:tcPr>
            <w:tcW w:w="7780" w:type="dxa"/>
            <w:vAlign w:val="bottom"/>
          </w:tcPr>
          <w:p>
            <w:pPr>
              <w:ind w:left="1520"/>
              <w:spacing w:after="0"/>
              <w:rPr>
                <w:sz w:val="20"/>
                <w:szCs w:val="20"/>
                <w:color w:val="auto"/>
              </w:rPr>
            </w:pPr>
            <w:r>
              <w:rPr>
                <w:rFonts w:ascii="Arial" w:cs="Arial" w:eastAsia="Arial" w:hAnsi="Arial"/>
                <w:sz w:val="18"/>
                <w:szCs w:val="18"/>
                <w:color w:val="auto"/>
              </w:rPr>
              <w:t>SMBC Nikko Capital Markets Limited</w:t>
            </w:r>
          </w:p>
        </w:tc>
      </w:tr>
      <w:tr>
        <w:trPr>
          <w:trHeight w:val="632"/>
        </w:trPr>
        <w:tc>
          <w:tcPr>
            <w:tcW w:w="3640" w:type="dxa"/>
            <w:vAlign w:val="bottom"/>
            <w:tcBorders>
              <w:bottom w:val="single" w:sz="8" w:color="808080"/>
            </w:tcBorders>
          </w:tcPr>
          <w:p>
            <w:pPr>
              <w:spacing w:after="0"/>
              <w:rPr>
                <w:sz w:val="24"/>
                <w:szCs w:val="24"/>
                <w:color w:val="auto"/>
              </w:rPr>
            </w:pPr>
          </w:p>
        </w:tc>
        <w:tc>
          <w:tcPr>
            <w:tcW w:w="7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38" w:name="page39"/>
    <w:bookmarkEnd w:id="38"/>
    <w:p>
      <w:pPr>
        <w:spacing w:after="0" w:line="273" w:lineRule="auto"/>
        <w:rPr>
          <w:sz w:val="20"/>
          <w:szCs w:val="20"/>
          <w:color w:val="auto"/>
        </w:rPr>
      </w:pPr>
      <w:r>
        <w:rPr>
          <w:rFonts w:ascii="Arial" w:cs="Arial" w:eastAsia="Arial" w:hAnsi="Arial"/>
          <w:sz w:val="17"/>
          <w:szCs w:val="17"/>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Credit Suisse Securities (USA) LLC toll-free at 800-221-1037, (2) J.P. Morgan Securities LLC collect at 1-212-834-4533 or (3) Wells Fargo Securities, LLC toll-free at 1-800-326-5897.</w:t>
      </w:r>
    </w:p>
    <w:p>
      <w:pPr>
        <w:spacing w:after="0" w:line="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35" w:right="4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SCHEDULE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Representatives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49"/>
        </w:trPr>
        <w:tc>
          <w:tcPr>
            <w:tcW w:w="9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of Notes</w:t>
            </w:r>
          </w:p>
        </w:tc>
        <w:tc>
          <w:tcPr>
            <w:tcW w:w="0" w:type="dxa"/>
            <w:vAlign w:val="bottom"/>
          </w:tcPr>
          <w:p>
            <w:pPr>
              <w:spacing w:after="0"/>
              <w:rPr>
                <w:sz w:val="1"/>
                <w:szCs w:val="1"/>
                <w:color w:val="auto"/>
              </w:rPr>
            </w:pPr>
          </w:p>
        </w:tc>
      </w:tr>
      <w:tr>
        <w:trPr>
          <w:trHeight w:val="171"/>
        </w:trPr>
        <w:tc>
          <w:tcPr>
            <w:tcW w:w="96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to be Purchased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133,334,000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133,333,000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133,333,000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Banco Bilbao Vizcaya Argentaria, S.A. Mitsubishi</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16,667,000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BNY Mellon Capital Markets, LLC</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Comerica Securities, Inc.</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16,667,000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Mitsubishi UFJ Securities (USA), Inc.</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Mizuho Securities USA Inc.</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16,666,000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SMBC Nikko Capital Markets Limited</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500,000,000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9"/>
        </w:trPr>
        <w:tc>
          <w:tcPr>
            <w:tcW w:w="20" w:type="dxa"/>
            <w:vAlign w:val="bottom"/>
          </w:tcPr>
          <w:p>
            <w:pPr>
              <w:spacing w:after="0"/>
              <w:rPr>
                <w:sz w:val="24"/>
                <w:szCs w:val="24"/>
                <w:color w:val="auto"/>
              </w:rPr>
            </w:pPr>
          </w:p>
        </w:tc>
        <w:tc>
          <w:tcPr>
            <w:tcW w:w="96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0" w:type="dxa"/>
            <w:vAlign w:val="bottom"/>
            <w:tcBorders>
              <w:top w:val="single" w:sz="8" w:color="auto"/>
              <w:bottom w:val="single" w:sz="8" w:color="808080"/>
            </w:tcBorders>
          </w:tcPr>
          <w:p>
            <w:pPr>
              <w:spacing w:after="0"/>
              <w:rPr>
                <w:sz w:val="24"/>
                <w:szCs w:val="24"/>
                <w:color w:val="auto"/>
              </w:rPr>
            </w:pPr>
          </w:p>
        </w:tc>
        <w:tc>
          <w:tcPr>
            <w:tcW w:w="960" w:type="dxa"/>
            <w:vAlign w:val="bottom"/>
            <w:tcBorders>
              <w:top w:val="single" w:sz="8" w:color="auto"/>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40" w:name="page41"/>
    <w:bookmarkEnd w:id="40"/>
    <w:p>
      <w:pPr>
        <w:ind w:left="5300"/>
        <w:spacing w:after="0"/>
        <w:rPr>
          <w:sz w:val="20"/>
          <w:szCs w:val="20"/>
          <w:color w:val="auto"/>
        </w:rPr>
      </w:pPr>
      <w:r>
        <w:rPr>
          <w:rFonts w:ascii="Arial" w:cs="Arial" w:eastAsia="Arial" w:hAnsi="Arial"/>
          <w:sz w:val="18"/>
          <w:szCs w:val="18"/>
          <w:b w:val="1"/>
          <w:bCs w:val="1"/>
          <w:color w:val="auto"/>
        </w:rPr>
        <w:t>ANNEX A</w:t>
      </w:r>
    </w:p>
    <w:p>
      <w:pPr>
        <w:spacing w:after="0" w:line="117" w:lineRule="exact"/>
        <w:rPr>
          <w:sz w:val="20"/>
          <w:szCs w:val="20"/>
          <w:color w:val="auto"/>
        </w:rPr>
      </w:pPr>
    </w:p>
    <w:p>
      <w:pPr>
        <w:jc w:val="right"/>
        <w:ind w:right="3099"/>
        <w:spacing w:after="0"/>
        <w:rPr>
          <w:sz w:val="20"/>
          <w:szCs w:val="20"/>
          <w:color w:val="auto"/>
        </w:rPr>
      </w:pPr>
      <w:r>
        <w:rPr>
          <w:rFonts w:ascii="Arial" w:cs="Arial" w:eastAsia="Arial" w:hAnsi="Arial"/>
          <w:sz w:val="18"/>
          <w:szCs w:val="18"/>
          <w:b w:val="1"/>
          <w:bCs w:val="1"/>
          <w:color w:val="auto"/>
        </w:rPr>
        <w:t>FREE WRITING PROSPECTUSES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Final Pricing Term Sheet, substantially in the form of Schedule I attached to this Agreement.</w:t>
      </w:r>
    </w:p>
    <w:p>
      <w:pPr>
        <w:sectPr>
          <w:pgSz w:w="11900" w:h="16838" w:orient="portrait"/>
          <w:cols w:equalWidth="0" w:num="1">
            <w:col w:w="10219"/>
          </w:cols>
          <w:pgMar w:left="240" w:top="959"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4.2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103"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undersigned, the Vice President — Finance and Treasurer, and the Corporate Secretary of Waste Management, Inc. (the “Company”), hereby certify that:</w:t>
      </w:r>
    </w:p>
    <w:p>
      <w:pPr>
        <w:spacing w:after="0" w:line="62" w:lineRule="exact"/>
        <w:rPr>
          <w:sz w:val="20"/>
          <w:szCs w:val="20"/>
          <w:color w:val="auto"/>
        </w:rPr>
      </w:pPr>
    </w:p>
    <w:p>
      <w:pPr>
        <w:ind w:right="200" w:firstLine="233"/>
        <w:spacing w:after="0" w:line="279" w:lineRule="auto"/>
        <w:tabs>
          <w:tab w:leader="none" w:pos="405"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August 29, 2011 (the “Order”) for the authentication and delivery by the Trustee of $500,000,000 aggregate principal amount of 2.60% Notes due 2016 (the “Notes”).</w:t>
      </w:r>
    </w:p>
    <w:p>
      <w:pPr>
        <w:spacing w:after="0" w:line="63" w:lineRule="exact"/>
        <w:rPr>
          <w:rFonts w:ascii="Arial" w:cs="Arial" w:eastAsia="Arial" w:hAnsi="Arial"/>
          <w:sz w:val="17"/>
          <w:szCs w:val="17"/>
          <w:color w:val="auto"/>
        </w:rPr>
      </w:pPr>
    </w:p>
    <w:p>
      <w:pPr>
        <w:ind w:left="420" w:hanging="187"/>
        <w:spacing w:after="0"/>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undersigned have read Sections 102, 103, 301 and 303 of the Indenture and the definitions in the Indenture relating thereto.</w:t>
      </w:r>
    </w:p>
    <w:p>
      <w:pPr>
        <w:spacing w:after="0" w:line="117" w:lineRule="exact"/>
        <w:rPr>
          <w:rFonts w:ascii="Arial" w:cs="Arial" w:eastAsia="Arial" w:hAnsi="Arial"/>
          <w:sz w:val="18"/>
          <w:szCs w:val="18"/>
          <w:color w:val="auto"/>
        </w:rPr>
      </w:pPr>
    </w:p>
    <w:p>
      <w:pPr>
        <w:ind w:right="360" w:firstLine="233"/>
        <w:spacing w:after="0" w:line="342" w:lineRule="auto"/>
        <w:tabs>
          <w:tab w:leader="none" w:pos="40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5" w:lineRule="exact"/>
        <w:rPr>
          <w:rFonts w:ascii="Arial" w:cs="Arial" w:eastAsia="Arial" w:hAnsi="Arial"/>
          <w:sz w:val="16"/>
          <w:szCs w:val="16"/>
          <w:color w:val="auto"/>
        </w:rPr>
      </w:pPr>
    </w:p>
    <w:p>
      <w:pPr>
        <w:ind w:left="420" w:hanging="187"/>
        <w:spacing w:after="0"/>
        <w:tabs>
          <w:tab w:leader="none" w:pos="4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undersigned have examined the Order, and they have examined the covenants, conditions and provisions of the Indenture relating thereto.</w:t>
      </w:r>
    </w:p>
    <w:p>
      <w:pPr>
        <w:spacing w:after="0" w:line="128" w:lineRule="exact"/>
        <w:rPr>
          <w:rFonts w:ascii="Arial" w:cs="Arial" w:eastAsia="Arial" w:hAnsi="Arial"/>
          <w:sz w:val="17"/>
          <w:szCs w:val="17"/>
          <w:color w:val="auto"/>
        </w:rPr>
      </w:pPr>
    </w:p>
    <w:p>
      <w:pPr>
        <w:ind w:right="360" w:firstLine="233"/>
        <w:spacing w:after="0" w:line="308" w:lineRule="auto"/>
        <w:tabs>
          <w:tab w:leader="none" w:pos="405"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 the opinion of the persons making this Certificate, they have made such examination or investigation as is necessary to enable them to express an informed opinion as to whether or not all conditions provided for in the Indenture with respect to the Order have been complied with.</w:t>
      </w:r>
    </w:p>
    <w:p>
      <w:pPr>
        <w:spacing w:after="0" w:line="38" w:lineRule="exact"/>
        <w:rPr>
          <w:rFonts w:ascii="Arial" w:cs="Arial" w:eastAsia="Arial" w:hAnsi="Arial"/>
          <w:sz w:val="17"/>
          <w:szCs w:val="17"/>
          <w:color w:val="auto"/>
        </w:rPr>
      </w:pPr>
    </w:p>
    <w:p>
      <w:pPr>
        <w:ind w:right="240" w:firstLine="233"/>
        <w:spacing w:after="0" w:line="277" w:lineRule="auto"/>
        <w:tabs>
          <w:tab w:leader="none" w:pos="4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conditions precedent provided in the Indenture to the authentication by the Trustee of $500,000,000 aggregate principal amount of the Notes have been complied with, and such Notes may be delivered in accordance with the Order as provided in the Indenture.</w:t>
      </w:r>
    </w:p>
    <w:p>
      <w:pPr>
        <w:spacing w:after="0" w:line="62" w:lineRule="exact"/>
        <w:rPr>
          <w:rFonts w:ascii="Arial" w:cs="Arial" w:eastAsia="Arial" w:hAnsi="Arial"/>
          <w:sz w:val="18"/>
          <w:szCs w:val="18"/>
          <w:color w:val="auto"/>
        </w:rPr>
      </w:pPr>
    </w:p>
    <w:p>
      <w:pPr>
        <w:jc w:val="both"/>
        <w:ind w:firstLine="233"/>
        <w:spacing w:after="0" w:line="264" w:lineRule="auto"/>
        <w:tabs>
          <w:tab w:leader="none" w:pos="4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terms of the Notes (including the Form of Note)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Officers’ Certificate have been approved by officers of the Company as duly authorized by resolutions of the Board of Directors of the Company as of August 20, 2009 and such resolutions, copies of which are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 are in full force and effect as of the date hereof.</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301 of the Indenture dated as of September 10,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IN WITNESS WHEREOF, the undersigned has hereunto executed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152400</wp:posOffset>
            </wp:positionV>
            <wp:extent cx="26155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3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Cherie C. Rice</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Vice President —Finance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157480</wp:posOffset>
            </wp:positionV>
            <wp:extent cx="26155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Linda J. Smith</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Corporate Secretary</w:t>
      </w:r>
    </w:p>
    <w:p>
      <w:pPr>
        <w:spacing w:after="0" w:line="319"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Officers’ Certificate Delivered Pursuant to</w:t>
      </w:r>
    </w:p>
    <w:p>
      <w:pPr>
        <w:spacing w:after="0" w:line="9"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Section 301 of the Indenture dated as of September 10,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398145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59"/>
          </w:cols>
          <w:pgMar w:left="700" w:top="936" w:right="1440"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i w:val="1"/>
          <w:iCs w:val="1"/>
          <w:color w:val="auto"/>
        </w:rPr>
        <w:t>Annex 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the Notes</w:t>
      </w:r>
    </w:p>
    <w:p>
      <w:pPr>
        <w:spacing w:after="0" w:line="103"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Pursuant to authority granted by the Board of Directors of the Company on August 20, 2009 and the Sole Director of Waste Management Holdings, Inc. on August 23, 2011,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5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title of the series of Securities shall be “2.60% Senior Notes due 2016” (the “Notes”).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130" w:lineRule="exact"/>
        <w:rPr>
          <w:rFonts w:ascii="Arial" w:cs="Arial" w:eastAsia="Arial" w:hAnsi="Arial"/>
          <w:sz w:val="18"/>
          <w:szCs w:val="18"/>
          <w:color w:val="auto"/>
        </w:rPr>
      </w:pPr>
    </w:p>
    <w:p>
      <w:pPr>
        <w:ind w:left="460" w:right="180" w:hanging="452"/>
        <w:spacing w:after="0" w:line="279"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initial aggregate principal amount of the Notes that may be authenticated and delivered under the Indenture shall be $500,000,000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76" w:lineRule="exact"/>
        <w:rPr>
          <w:rFonts w:ascii="Arial" w:cs="Arial" w:eastAsia="Arial" w:hAnsi="Arial"/>
          <w:sz w:val="17"/>
          <w:szCs w:val="17"/>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September 1, 2016.</w:t>
      </w:r>
    </w:p>
    <w:p>
      <w:pPr>
        <w:spacing w:after="0" w:line="130" w:lineRule="exact"/>
        <w:rPr>
          <w:rFonts w:ascii="Arial" w:cs="Arial" w:eastAsia="Arial" w:hAnsi="Arial"/>
          <w:sz w:val="18"/>
          <w:szCs w:val="18"/>
          <w:color w:val="auto"/>
        </w:rPr>
      </w:pPr>
    </w:p>
    <w:p>
      <w:pPr>
        <w:ind w:left="460" w:right="300" w:hanging="452"/>
        <w:spacing w:after="0" w:line="30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Each Note shall bear interest from August 29, 2011 at the fixed rate of 2.60% per annum; the Interest Payment Dates on which such interest shall be payable shall be March 1 and September 1, of each year, commencing March 1, 2012, until maturity unless such date falls on a day that is not a Business Day, in which case, such payment shall be made on the next day that is a Business Day. The Regular Record Date for the determination of Holders to whom interest is payable shall be February 15 or August 15, respectively, immediately preceding such date, as the case may be.</w:t>
      </w:r>
    </w:p>
    <w:p>
      <w:pPr>
        <w:spacing w:after="0" w:line="59" w:lineRule="exact"/>
        <w:rPr>
          <w:rFonts w:ascii="Arial" w:cs="Arial" w:eastAsia="Arial" w:hAnsi="Arial"/>
          <w:sz w:val="16"/>
          <w:szCs w:val="16"/>
          <w:color w:val="auto"/>
        </w:rPr>
      </w:pPr>
    </w:p>
    <w:p>
      <w:pPr>
        <w:ind w:left="460" w:right="160" w:hanging="452"/>
        <w:spacing w:after="0" w:line="26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86" w:lineRule="exact"/>
        <w:rPr>
          <w:rFonts w:ascii="Arial" w:cs="Arial" w:eastAsia="Arial" w:hAnsi="Arial"/>
          <w:sz w:val="18"/>
          <w:szCs w:val="18"/>
          <w:color w:val="auto"/>
        </w:rPr>
      </w:pPr>
    </w:p>
    <w:p>
      <w:pPr>
        <w:ind w:left="460" w:right="240" w:hanging="452"/>
        <w:spacing w:after="0" w:line="259"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44" w:name="page45"/>
    <w:bookmarkEnd w:id="44"/>
    <w:p>
      <w:pPr>
        <w:ind w:left="452" w:right="20" w:hanging="452"/>
        <w:spacing w:after="0" w:line="259" w:lineRule="auto"/>
        <w:tabs>
          <w:tab w:leader="none" w:pos="4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92" w:lineRule="exact"/>
        <w:rPr>
          <w:rFonts w:ascii="Arial" w:cs="Arial" w:eastAsia="Arial" w:hAnsi="Arial"/>
          <w:sz w:val="18"/>
          <w:szCs w:val="18"/>
          <w:color w:val="auto"/>
        </w:rPr>
      </w:pPr>
    </w:p>
    <w:p>
      <w:pPr>
        <w:ind w:left="452" w:hanging="452"/>
        <w:spacing w:after="0" w:line="297" w:lineRule="auto"/>
        <w:tabs>
          <w:tab w:leader="none" w:pos="45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Notes will be redeemable, at the option of the Company, at any time in whole, or from time to time in part, at a Redemption Price equal to the greater of (i) 100% of the principal amount of the Notes to be redeemed or (ii) the sum of the present value of the remaining scheduled payments of principal and interest (at the rate in effect on the date of calculation of the Redemption Price) thereon (exclusive of interest accrued to the Redemption Date (as defined in the Notes)) discounted to the Redemption Date on a semiannual basis (assuming a 360 day year consisting of twelve 30-day months) at the applicable Treasury Yield (as defined in the Notes) plus 25 basis points; plus, in either case, accrued interest to the Redemption Date.</w:t>
      </w:r>
    </w:p>
    <w:p>
      <w:pPr>
        <w:spacing w:after="0" w:line="63" w:lineRule="exact"/>
        <w:rPr>
          <w:rFonts w:ascii="Arial" w:cs="Arial" w:eastAsia="Arial" w:hAnsi="Arial"/>
          <w:sz w:val="16"/>
          <w:szCs w:val="16"/>
          <w:color w:val="auto"/>
        </w:rPr>
      </w:pPr>
    </w:p>
    <w:p>
      <w:pPr>
        <w:ind w:left="452" w:right="360" w:hanging="452"/>
        <w:spacing w:after="0" w:line="277" w:lineRule="auto"/>
        <w:tabs>
          <w:tab w:leader="none" w:pos="4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75" w:lineRule="exact"/>
        <w:rPr>
          <w:rFonts w:ascii="Arial" w:cs="Arial" w:eastAsia="Arial" w:hAnsi="Arial"/>
          <w:sz w:val="18"/>
          <w:szCs w:val="18"/>
          <w:color w:val="auto"/>
        </w:rPr>
      </w:pPr>
    </w:p>
    <w:p>
      <w:pPr>
        <w:ind w:left="452" w:right="820" w:hanging="452"/>
        <w:spacing w:after="0" w:line="277" w:lineRule="auto"/>
        <w:tabs>
          <w:tab w:leader="none" w:pos="4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Bank of New York Mellon shall serve initially as Security Registrar for the Notes.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130" w:lineRule="exact"/>
        <w:rPr>
          <w:rFonts w:ascii="Arial" w:cs="Arial" w:eastAsia="Arial" w:hAnsi="Arial"/>
          <w:sz w:val="18"/>
          <w:szCs w:val="18"/>
          <w:color w:val="auto"/>
        </w:rPr>
      </w:pPr>
    </w:p>
    <w:p>
      <w:pPr>
        <w:jc w:val="both"/>
        <w:ind w:left="452" w:right="80" w:hanging="452"/>
        <w:spacing w:after="0" w:line="302" w:lineRule="auto"/>
        <w:tabs>
          <w:tab w:leader="none" w:pos="45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Notes will be fully and unconditionally guaranteed on a senior basis by the Company’s wholly owned subsidiary, Waste Management Holdings, Inc., pursuant to the terms and conditions of a Guarantee Agreement dated August 29, 2011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362585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2"/>
          </w:cols>
          <w:pgMar w:left="248" w:top="935" w:right="39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BOOK-ENTRY SECURITY</w:t>
      </w:r>
    </w:p>
    <w:p>
      <w:pPr>
        <w:spacing w:after="0" w:line="103" w:lineRule="exact"/>
        <w:rPr>
          <w:sz w:val="20"/>
          <w:szCs w:val="20"/>
          <w:color w:val="auto"/>
        </w:rPr>
      </w:pPr>
    </w:p>
    <w:p>
      <w:pPr>
        <w:ind w:right="260" w:firstLine="222"/>
        <w:spacing w:after="0" w:line="273" w:lineRule="auto"/>
        <w:rPr>
          <w:sz w:val="20"/>
          <w:szCs w:val="20"/>
          <w:color w:val="auto"/>
        </w:rPr>
      </w:pPr>
      <w:r>
        <w:rPr>
          <w:rFonts w:ascii="Arial" w:cs="Arial" w:eastAsia="Arial" w:hAnsi="Arial"/>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7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RGN-1</w:t>
            </w:r>
          </w:p>
        </w:tc>
        <w:tc>
          <w:tcPr>
            <w:tcW w:w="3240" w:type="dxa"/>
            <w:vAlign w:val="bottom"/>
          </w:tcPr>
          <w:p>
            <w:pPr>
              <w:jc w:val="right"/>
              <w:spacing w:after="0"/>
              <w:rPr>
                <w:sz w:val="20"/>
                <w:szCs w:val="20"/>
                <w:color w:val="auto"/>
              </w:rPr>
            </w:pPr>
            <w:r>
              <w:rPr>
                <w:rFonts w:ascii="Arial" w:cs="Arial" w:eastAsia="Arial" w:hAnsi="Arial"/>
                <w:sz w:val="18"/>
                <w:szCs w:val="18"/>
                <w:color w:val="auto"/>
              </w:rPr>
              <w:t>Principal Amount</w:t>
            </w:r>
          </w:p>
        </w:tc>
      </w:tr>
      <w:tr>
        <w:trPr>
          <w:trHeight w:val="418"/>
        </w:trPr>
        <w:tc>
          <w:tcPr>
            <w:tcW w:w="8180" w:type="dxa"/>
            <w:vAlign w:val="bottom"/>
          </w:tcPr>
          <w:p>
            <w:pPr>
              <w:jc w:val="center"/>
              <w:ind w:left="3190"/>
              <w:spacing w:after="0"/>
              <w:rPr>
                <w:sz w:val="20"/>
                <w:szCs w:val="20"/>
                <w:color w:val="auto"/>
              </w:rPr>
            </w:pPr>
            <w:r>
              <w:rPr>
                <w:rFonts w:ascii="Arial" w:cs="Arial" w:eastAsia="Arial" w:hAnsi="Arial"/>
                <w:sz w:val="18"/>
                <w:szCs w:val="18"/>
                <w:color w:val="auto"/>
                <w:w w:val="97"/>
              </w:rPr>
              <w:t>WASTE MANAGEMENT, INC.</w:t>
            </w:r>
          </w:p>
        </w:tc>
        <w:tc>
          <w:tcPr>
            <w:tcW w:w="3240" w:type="dxa"/>
            <w:vAlign w:val="bottom"/>
          </w:tcPr>
          <w:p>
            <w:pPr>
              <w:jc w:val="right"/>
              <w:spacing w:after="0"/>
              <w:rPr>
                <w:sz w:val="20"/>
                <w:szCs w:val="20"/>
                <w:color w:val="auto"/>
              </w:rPr>
            </w:pPr>
            <w:r>
              <w:rPr>
                <w:rFonts w:ascii="Arial" w:cs="Arial" w:eastAsia="Arial" w:hAnsi="Arial"/>
                <w:sz w:val="18"/>
                <w:szCs w:val="18"/>
                <w:color w:val="auto"/>
              </w:rPr>
              <w:t>U.S. $500,000,000,</w:t>
            </w:r>
          </w:p>
        </w:tc>
      </w:tr>
      <w:tr>
        <w:trPr>
          <w:trHeight w:val="216"/>
        </w:trPr>
        <w:tc>
          <w:tcPr>
            <w:tcW w:w="8180" w:type="dxa"/>
            <w:vAlign w:val="bottom"/>
          </w:tcPr>
          <w:p>
            <w:pPr>
              <w:spacing w:after="0"/>
              <w:rPr>
                <w:sz w:val="18"/>
                <w:szCs w:val="18"/>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which may be</w:t>
            </w:r>
          </w:p>
        </w:tc>
      </w:tr>
      <w:tr>
        <w:trPr>
          <w:trHeight w:val="216"/>
        </w:trPr>
        <w:tc>
          <w:tcPr>
            <w:tcW w:w="8180" w:type="dxa"/>
            <w:vAlign w:val="bottom"/>
          </w:tcPr>
          <w:p>
            <w:pPr>
              <w:spacing w:after="0"/>
              <w:rPr>
                <w:sz w:val="18"/>
                <w:szCs w:val="18"/>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decreased by the Schedule of</w:t>
            </w:r>
          </w:p>
        </w:tc>
      </w:tr>
      <w:tr>
        <w:trPr>
          <w:trHeight w:val="216"/>
        </w:trPr>
        <w:tc>
          <w:tcPr>
            <w:tcW w:w="8180" w:type="dxa"/>
            <w:vAlign w:val="bottom"/>
          </w:tcPr>
          <w:p>
            <w:pPr>
              <w:spacing w:after="0"/>
              <w:rPr>
                <w:sz w:val="18"/>
                <w:szCs w:val="18"/>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Exchanges of Definitive</w:t>
            </w:r>
          </w:p>
        </w:tc>
      </w:tr>
      <w:tr>
        <w:trPr>
          <w:trHeight w:val="230"/>
        </w:trPr>
        <w:tc>
          <w:tcPr>
            <w:tcW w:w="8180" w:type="dxa"/>
            <w:vAlign w:val="bottom"/>
          </w:tcPr>
          <w:p>
            <w:pPr>
              <w:spacing w:after="0"/>
              <w:rPr>
                <w:sz w:val="20"/>
                <w:szCs w:val="20"/>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Security attached hereto</w:t>
            </w:r>
          </w:p>
        </w:tc>
      </w:tr>
      <w:tr>
        <w:trPr>
          <w:trHeight w:val="432"/>
        </w:trPr>
        <w:tc>
          <w:tcPr>
            <w:tcW w:w="8180" w:type="dxa"/>
            <w:vAlign w:val="bottom"/>
          </w:tcPr>
          <w:p>
            <w:pPr>
              <w:jc w:val="center"/>
              <w:ind w:left="3190"/>
              <w:spacing w:after="0"/>
              <w:rPr>
                <w:sz w:val="20"/>
                <w:szCs w:val="20"/>
                <w:color w:val="auto"/>
              </w:rPr>
            </w:pPr>
            <w:r>
              <w:rPr>
                <w:rFonts w:ascii="Arial" w:cs="Arial" w:eastAsia="Arial" w:hAnsi="Arial"/>
                <w:sz w:val="18"/>
                <w:szCs w:val="18"/>
                <w:color w:val="auto"/>
                <w:w w:val="93"/>
              </w:rPr>
              <w:t>2.60% SENIOR NOTES DUE 2016</w:t>
            </w:r>
          </w:p>
        </w:tc>
        <w:tc>
          <w:tcPr>
            <w:tcW w:w="3240" w:type="dxa"/>
            <w:vAlign w:val="bottom"/>
          </w:tcPr>
          <w:p>
            <w:pPr>
              <w:spacing w:after="0"/>
              <w:rPr>
                <w:sz w:val="24"/>
                <w:szCs w:val="24"/>
                <w:color w:val="auto"/>
              </w:rPr>
            </w:pPr>
          </w:p>
        </w:tc>
      </w:tr>
      <w:tr>
        <w:trPr>
          <w:trHeight w:val="432"/>
        </w:trPr>
        <w:tc>
          <w:tcPr>
            <w:tcW w:w="8180" w:type="dxa"/>
            <w:vAlign w:val="bottom"/>
          </w:tcPr>
          <w:p>
            <w:pPr>
              <w:spacing w:after="0"/>
              <w:rPr>
                <w:sz w:val="24"/>
                <w:szCs w:val="24"/>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CUSIP 94106LAX7</w:t>
            </w:r>
          </w:p>
        </w:tc>
      </w:tr>
    </w:tbl>
    <w:p>
      <w:pPr>
        <w:spacing w:after="0" w:line="94" w:lineRule="exact"/>
        <w:rPr>
          <w:sz w:val="20"/>
          <w:szCs w:val="20"/>
          <w:color w:val="auto"/>
        </w:rPr>
      </w:pPr>
    </w:p>
    <w:p>
      <w:pPr>
        <w:ind w:right="260" w:firstLine="222"/>
        <w:spacing w:after="0" w:line="279" w:lineRule="auto"/>
        <w:rPr>
          <w:sz w:val="20"/>
          <w:szCs w:val="20"/>
          <w:color w:val="auto"/>
        </w:rPr>
      </w:pPr>
      <w:r>
        <w:rPr>
          <w:rFonts w:ascii="Arial" w:cs="Arial" w:eastAsia="Arial" w:hAnsi="Arial"/>
          <w:sz w:val="17"/>
          <w:szCs w:val="17"/>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 Five Hundred Million ($500,000,000) U.S. dollars, or such lesser principal sum as is shown on the attached Schedule of Exchanges of Definitive Security, on September 1, 2016 in such coin or currency of the United States of America as at the time of payment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6" w:name="page47"/>
    <w:bookmarkEnd w:id="46"/>
    <w:p>
      <w:pPr>
        <w:jc w:val="both"/>
        <w:ind w:right="100"/>
        <w:spacing w:after="0" w:line="312" w:lineRule="auto"/>
        <w:rPr>
          <w:sz w:val="20"/>
          <w:szCs w:val="20"/>
          <w:color w:val="auto"/>
        </w:rPr>
      </w:pPr>
      <w:r>
        <w:rPr>
          <w:rFonts w:ascii="Arial" w:cs="Arial" w:eastAsia="Arial" w:hAnsi="Arial"/>
          <w:sz w:val="16"/>
          <w:szCs w:val="16"/>
          <w:color w:val="auto"/>
        </w:rPr>
        <w:t>legal tender for the payment of public and private debts, and to pay interest at an annual rate of 2.60% payable on March 1 and September 1 of each year, to the person in whose name this Security is registered at the close of business on the record date for such interest, which shall be the preceding February 15 or August 15, respectively, payable commencing March 1, 2012, with interest consisting of interest accrued from August 29, 2011.</w:t>
      </w:r>
    </w:p>
    <w:p>
      <w:pPr>
        <w:spacing w:after="0" w:line="39"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62"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62"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This Security is issued in respect of a series of Securities of an initial aggregate of U.S. $500,000,000 in principal amount designated as the 2.60% Senior Notes due 2016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85"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hereby irrevocably undertakes to the Holder hereof to exchange this Security in accordance with the terms of the Indenture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47" w:name="page48"/>
    <w:bookmarkEnd w:id="47"/>
    <w:p>
      <w:pPr>
        <w:ind w:right="40" w:firstLine="222"/>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Dated: August 29, 2011</w:t>
            </w:r>
          </w:p>
        </w:tc>
        <w:tc>
          <w:tcPr>
            <w:tcW w:w="6200" w:type="dxa"/>
            <w:vAlign w:val="bottom"/>
            <w:gridSpan w:val="2"/>
          </w:tcPr>
          <w:p>
            <w:pPr>
              <w:ind w:left="1820"/>
              <w:spacing w:after="0"/>
              <w:rPr>
                <w:sz w:val="20"/>
                <w:szCs w:val="20"/>
                <w:color w:val="auto"/>
              </w:rPr>
            </w:pPr>
            <w:r>
              <w:rPr>
                <w:rFonts w:ascii="Arial" w:cs="Arial" w:eastAsia="Arial" w:hAnsi="Arial"/>
                <w:sz w:val="18"/>
                <w:szCs w:val="18"/>
                <w:color w:val="auto"/>
              </w:rPr>
              <w:t>WASTE MANAGEMENT, INC.,</w:t>
            </w:r>
          </w:p>
        </w:tc>
      </w:tr>
      <w:tr>
        <w:trPr>
          <w:trHeight w:val="230"/>
        </w:trPr>
        <w:tc>
          <w:tcPr>
            <w:tcW w:w="3540" w:type="dxa"/>
            <w:vAlign w:val="bottom"/>
          </w:tcPr>
          <w:p>
            <w:pPr>
              <w:spacing w:after="0"/>
              <w:rPr>
                <w:sz w:val="20"/>
                <w:szCs w:val="20"/>
                <w:color w:val="auto"/>
              </w:rPr>
            </w:pPr>
          </w:p>
        </w:tc>
        <w:tc>
          <w:tcPr>
            <w:tcW w:w="6200" w:type="dxa"/>
            <w:vAlign w:val="bottom"/>
            <w:gridSpan w:val="2"/>
          </w:tcPr>
          <w:p>
            <w:pPr>
              <w:ind w:left="1820"/>
              <w:spacing w:after="0"/>
              <w:rPr>
                <w:sz w:val="20"/>
                <w:szCs w:val="20"/>
                <w:color w:val="auto"/>
              </w:rPr>
            </w:pPr>
            <w:r>
              <w:rPr>
                <w:rFonts w:ascii="Arial" w:cs="Arial" w:eastAsia="Arial" w:hAnsi="Arial"/>
                <w:sz w:val="18"/>
                <w:szCs w:val="18"/>
                <w:color w:val="auto"/>
              </w:rPr>
              <w:t>a Delaware corporation</w:t>
            </w:r>
          </w:p>
        </w:tc>
      </w:tr>
      <w:tr>
        <w:trPr>
          <w:trHeight w:val="432"/>
        </w:trPr>
        <w:tc>
          <w:tcPr>
            <w:tcW w:w="3540" w:type="dxa"/>
            <w:vAlign w:val="bottom"/>
          </w:tcPr>
          <w:p>
            <w:pPr>
              <w:spacing w:after="0"/>
              <w:rPr>
                <w:sz w:val="24"/>
                <w:szCs w:val="24"/>
                <w:color w:val="auto"/>
              </w:rPr>
            </w:pPr>
          </w:p>
        </w:tc>
        <w:tc>
          <w:tcPr>
            <w:tcW w:w="6200" w:type="dxa"/>
            <w:vAlign w:val="bottom"/>
            <w:gridSpan w:val="2"/>
          </w:tcPr>
          <w:p>
            <w:pPr>
              <w:ind w:left="1820"/>
              <w:spacing w:after="0"/>
              <w:rPr>
                <w:sz w:val="20"/>
                <w:szCs w:val="20"/>
                <w:color w:val="auto"/>
              </w:rPr>
            </w:pPr>
            <w:r>
              <w:rPr>
                <w:rFonts w:ascii="Arial" w:cs="Arial" w:eastAsia="Arial" w:hAnsi="Arial"/>
                <w:sz w:val="18"/>
                <w:szCs w:val="18"/>
                <w:color w:val="auto"/>
              </w:rPr>
              <w:t>By:</w:t>
            </w:r>
          </w:p>
        </w:tc>
      </w:tr>
      <w:tr>
        <w:trPr>
          <w:trHeight w:val="195"/>
        </w:trPr>
        <w:tc>
          <w:tcPr>
            <w:tcW w:w="35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Cherie C. Rice</w:t>
            </w:r>
          </w:p>
        </w:tc>
      </w:tr>
      <w:tr>
        <w:trPr>
          <w:trHeight w:val="230"/>
        </w:trPr>
        <w:tc>
          <w:tcPr>
            <w:tcW w:w="3540" w:type="dxa"/>
            <w:vAlign w:val="bottom"/>
          </w:tcPr>
          <w:p>
            <w:pPr>
              <w:spacing w:after="0"/>
              <w:rPr>
                <w:sz w:val="20"/>
                <w:szCs w:val="20"/>
                <w:color w:val="auto"/>
              </w:rPr>
            </w:pPr>
          </w:p>
        </w:tc>
        <w:tc>
          <w:tcPr>
            <w:tcW w:w="6200" w:type="dxa"/>
            <w:vAlign w:val="bottom"/>
            <w:gridSpan w:val="2"/>
          </w:tcPr>
          <w:p>
            <w:pPr>
              <w:ind w:left="2160"/>
              <w:spacing w:after="0"/>
              <w:rPr>
                <w:sz w:val="20"/>
                <w:szCs w:val="20"/>
                <w:color w:val="auto"/>
              </w:rPr>
            </w:pPr>
            <w:r>
              <w:rPr>
                <w:rFonts w:ascii="Arial" w:cs="Arial" w:eastAsia="Arial" w:hAnsi="Arial"/>
                <w:sz w:val="18"/>
                <w:szCs w:val="18"/>
                <w:color w:val="auto"/>
              </w:rPr>
              <w:t>Vice President-Finance and Treasurer</w:t>
            </w:r>
          </w:p>
        </w:tc>
      </w:tr>
      <w:tr>
        <w:trPr>
          <w:trHeight w:val="432"/>
        </w:trPr>
        <w:tc>
          <w:tcPr>
            <w:tcW w:w="3540" w:type="dxa"/>
            <w:vAlign w:val="bottom"/>
          </w:tcPr>
          <w:p>
            <w:pPr>
              <w:spacing w:after="0"/>
              <w:rPr>
                <w:sz w:val="24"/>
                <w:szCs w:val="24"/>
                <w:color w:val="auto"/>
              </w:rPr>
            </w:pPr>
          </w:p>
        </w:tc>
        <w:tc>
          <w:tcPr>
            <w:tcW w:w="6200" w:type="dxa"/>
            <w:vAlign w:val="bottom"/>
            <w:gridSpan w:val="2"/>
          </w:tcPr>
          <w:p>
            <w:pPr>
              <w:ind w:left="1820"/>
              <w:spacing w:after="0"/>
              <w:rPr>
                <w:sz w:val="20"/>
                <w:szCs w:val="20"/>
                <w:color w:val="auto"/>
              </w:rPr>
            </w:pPr>
            <w:r>
              <w:rPr>
                <w:rFonts w:ascii="Arial" w:cs="Arial" w:eastAsia="Arial" w:hAnsi="Arial"/>
                <w:sz w:val="18"/>
                <w:szCs w:val="18"/>
                <w:color w:val="auto"/>
              </w:rPr>
              <w:t>Attest:</w:t>
            </w:r>
          </w:p>
        </w:tc>
      </w:tr>
      <w:tr>
        <w:trPr>
          <w:trHeight w:val="432"/>
        </w:trPr>
        <w:tc>
          <w:tcPr>
            <w:tcW w:w="3540" w:type="dxa"/>
            <w:vAlign w:val="bottom"/>
          </w:tcPr>
          <w:p>
            <w:pPr>
              <w:spacing w:after="0"/>
              <w:rPr>
                <w:sz w:val="24"/>
                <w:szCs w:val="24"/>
                <w:color w:val="auto"/>
              </w:rPr>
            </w:pPr>
          </w:p>
        </w:tc>
        <w:tc>
          <w:tcPr>
            <w:tcW w:w="6200" w:type="dxa"/>
            <w:vAlign w:val="bottom"/>
            <w:gridSpan w:val="2"/>
          </w:tcPr>
          <w:p>
            <w:pPr>
              <w:ind w:left="1820"/>
              <w:spacing w:after="0"/>
              <w:rPr>
                <w:sz w:val="20"/>
                <w:szCs w:val="20"/>
                <w:color w:val="auto"/>
              </w:rPr>
            </w:pPr>
            <w:r>
              <w:rPr>
                <w:rFonts w:ascii="Arial" w:cs="Arial" w:eastAsia="Arial" w:hAnsi="Arial"/>
                <w:sz w:val="18"/>
                <w:szCs w:val="18"/>
                <w:color w:val="auto"/>
              </w:rPr>
              <w:t>By:</w:t>
            </w:r>
          </w:p>
        </w:tc>
      </w:tr>
      <w:tr>
        <w:trPr>
          <w:trHeight w:val="195"/>
        </w:trPr>
        <w:tc>
          <w:tcPr>
            <w:tcW w:w="35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Linda J. Smith</w:t>
            </w:r>
          </w:p>
        </w:tc>
      </w:tr>
      <w:tr>
        <w:trPr>
          <w:trHeight w:val="230"/>
        </w:trPr>
        <w:tc>
          <w:tcPr>
            <w:tcW w:w="3540" w:type="dxa"/>
            <w:vAlign w:val="bottom"/>
          </w:tcPr>
          <w:p>
            <w:pPr>
              <w:spacing w:after="0"/>
              <w:rPr>
                <w:sz w:val="20"/>
                <w:szCs w:val="20"/>
                <w:color w:val="auto"/>
              </w:rPr>
            </w:pPr>
          </w:p>
        </w:tc>
        <w:tc>
          <w:tcPr>
            <w:tcW w:w="6200" w:type="dxa"/>
            <w:vAlign w:val="bottom"/>
            <w:gridSpan w:val="2"/>
          </w:tcPr>
          <w:p>
            <w:pPr>
              <w:ind w:left="2160"/>
              <w:spacing w:after="0"/>
              <w:rPr>
                <w:sz w:val="20"/>
                <w:szCs w:val="20"/>
                <w:color w:val="auto"/>
              </w:rPr>
            </w:pPr>
            <w:r>
              <w:rPr>
                <w:rFonts w:ascii="Arial" w:cs="Arial" w:eastAsia="Arial" w:hAnsi="Arial"/>
                <w:sz w:val="18"/>
                <w:szCs w:val="18"/>
                <w:color w:val="auto"/>
              </w:rPr>
              <w:t>Secretary</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AUTHENTICATION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Date of Authentication: August 29, 2011</w:t>
            </w:r>
          </w:p>
        </w:tc>
        <w:tc>
          <w:tcPr>
            <w:tcW w:w="5580" w:type="dxa"/>
            <w:vAlign w:val="bottom"/>
            <w:gridSpan w:val="2"/>
          </w:tcPr>
          <w:p>
            <w:pPr>
              <w:ind w:left="1200"/>
              <w:spacing w:after="0"/>
              <w:rPr>
                <w:sz w:val="20"/>
                <w:szCs w:val="20"/>
                <w:color w:val="auto"/>
              </w:rPr>
            </w:pPr>
            <w:r>
              <w:rPr>
                <w:rFonts w:ascii="Arial" w:cs="Arial" w:eastAsia="Arial" w:hAnsi="Arial"/>
                <w:sz w:val="18"/>
                <w:szCs w:val="18"/>
                <w:color w:val="auto"/>
              </w:rPr>
              <w:t>The Bank of New York Mellon Trust</w:t>
            </w:r>
          </w:p>
        </w:tc>
        <w:tc>
          <w:tcPr>
            <w:tcW w:w="168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5580" w:type="dxa"/>
            <w:vAlign w:val="bottom"/>
            <w:gridSpan w:val="2"/>
          </w:tcPr>
          <w:p>
            <w:pPr>
              <w:ind w:left="1200"/>
              <w:spacing w:after="0"/>
              <w:rPr>
                <w:sz w:val="20"/>
                <w:szCs w:val="20"/>
                <w:color w:val="auto"/>
              </w:rPr>
            </w:pPr>
            <w:r>
              <w:rPr>
                <w:rFonts w:ascii="Arial" w:cs="Arial" w:eastAsia="Arial" w:hAnsi="Arial"/>
                <w:sz w:val="18"/>
                <w:szCs w:val="18"/>
                <w:color w:val="auto"/>
              </w:rPr>
              <w:t>Company N.A., as Trustee</w:t>
            </w:r>
          </w:p>
        </w:tc>
        <w:tc>
          <w:tcPr>
            <w:tcW w:w="1680" w:type="dxa"/>
            <w:vAlign w:val="bottom"/>
          </w:tcPr>
          <w:p>
            <w:pPr>
              <w:spacing w:after="0"/>
              <w:rPr>
                <w:sz w:val="20"/>
                <w:szCs w:val="20"/>
                <w:color w:val="auto"/>
              </w:rPr>
            </w:pPr>
          </w:p>
        </w:tc>
      </w:tr>
      <w:tr>
        <w:trPr>
          <w:trHeight w:val="432"/>
        </w:trPr>
        <w:tc>
          <w:tcPr>
            <w:tcW w:w="4160" w:type="dxa"/>
            <w:vAlign w:val="bottom"/>
          </w:tcPr>
          <w:p>
            <w:pPr>
              <w:spacing w:after="0"/>
              <w:rPr>
                <w:sz w:val="24"/>
                <w:szCs w:val="24"/>
                <w:color w:val="auto"/>
              </w:rPr>
            </w:pPr>
          </w:p>
        </w:tc>
        <w:tc>
          <w:tcPr>
            <w:tcW w:w="5580" w:type="dxa"/>
            <w:vAlign w:val="bottom"/>
            <w:gridSpan w:val="2"/>
          </w:tcPr>
          <w:p>
            <w:pPr>
              <w:ind w:left="1200"/>
              <w:spacing w:after="0"/>
              <w:rPr>
                <w:sz w:val="20"/>
                <w:szCs w:val="20"/>
                <w:color w:val="auto"/>
              </w:rPr>
            </w:pPr>
            <w:r>
              <w:rPr>
                <w:rFonts w:ascii="Arial" w:cs="Arial" w:eastAsia="Arial" w:hAnsi="Arial"/>
                <w:sz w:val="18"/>
                <w:szCs w:val="18"/>
                <w:color w:val="auto"/>
              </w:rPr>
              <w:t>By:</w:t>
            </w:r>
          </w:p>
        </w:tc>
        <w:tc>
          <w:tcPr>
            <w:tcW w:w="1680" w:type="dxa"/>
            <w:vAlign w:val="bottom"/>
          </w:tcPr>
          <w:p>
            <w:pPr>
              <w:spacing w:after="0"/>
              <w:rPr>
                <w:sz w:val="24"/>
                <w:szCs w:val="24"/>
                <w:color w:val="auto"/>
              </w:rPr>
            </w:pPr>
          </w:p>
        </w:tc>
      </w:tr>
      <w:tr>
        <w:trPr>
          <w:trHeight w:val="195"/>
        </w:trPr>
        <w:tc>
          <w:tcPr>
            <w:tcW w:w="4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Julie Hoffman-Ramos</w:t>
            </w:r>
          </w:p>
        </w:tc>
        <w:tc>
          <w:tcPr>
            <w:tcW w:w="1680" w:type="dxa"/>
            <w:vAlign w:val="bottom"/>
          </w:tcPr>
          <w:p>
            <w:pPr>
              <w:spacing w:after="0"/>
              <w:rPr>
                <w:sz w:val="16"/>
                <w:szCs w:val="16"/>
                <w:color w:val="auto"/>
              </w:rPr>
            </w:pPr>
          </w:p>
        </w:tc>
      </w:tr>
      <w:tr>
        <w:trPr>
          <w:trHeight w:val="230"/>
        </w:trPr>
        <w:tc>
          <w:tcPr>
            <w:tcW w:w="4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Vice President</w:t>
            </w:r>
          </w:p>
        </w:tc>
        <w:tc>
          <w:tcPr>
            <w:tcW w:w="1680" w:type="dxa"/>
            <w:vAlign w:val="bottom"/>
          </w:tcPr>
          <w:p>
            <w:pPr>
              <w:spacing w:after="0"/>
              <w:rPr>
                <w:sz w:val="20"/>
                <w:szCs w:val="20"/>
                <w:color w:val="auto"/>
              </w:rPr>
            </w:pPr>
          </w:p>
        </w:tc>
      </w:tr>
      <w:tr>
        <w:trPr>
          <w:trHeight w:val="442"/>
        </w:trPr>
        <w:tc>
          <w:tcPr>
            <w:tcW w:w="41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color w:val="auto"/>
        </w:rPr>
        <w:t>REVERSE OF BOOK-ENTRY SECURITY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2.60% SENIOR NOTES DUE 2016</w:t>
      </w:r>
    </w:p>
    <w:p>
      <w:pPr>
        <w:spacing w:after="0" w:line="117"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2.60% Senior Notes due 2016 of the Company, in initial aggregate principal amount of $500,000,000 (the “Securities”).</w:t>
      </w:r>
    </w:p>
    <w:p>
      <w:pPr>
        <w:spacing w:after="0" w:line="81" w:lineRule="exact"/>
        <w:rPr>
          <w:sz w:val="20"/>
          <w:szCs w:val="20"/>
          <w:color w:val="auto"/>
        </w:rPr>
      </w:pPr>
    </w:p>
    <w:p>
      <w:pPr>
        <w:ind w:left="420" w:hanging="187"/>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promises to pay interest on the principal amount of this Security at the rate of 2.60% per annum.</w:t>
      </w:r>
    </w:p>
    <w:p>
      <w:pPr>
        <w:spacing w:after="0" w:line="117" w:lineRule="exact"/>
        <w:rPr>
          <w:sz w:val="20"/>
          <w:szCs w:val="20"/>
          <w:color w:val="auto"/>
        </w:rPr>
      </w:pPr>
    </w:p>
    <w:p>
      <w:pPr>
        <w:ind w:right="160" w:firstLine="222"/>
        <w:spacing w:after="0" w:line="297" w:lineRule="auto"/>
        <w:rPr>
          <w:sz w:val="20"/>
          <w:szCs w:val="20"/>
          <w:color w:val="auto"/>
        </w:rPr>
      </w:pPr>
      <w:r>
        <w:rPr>
          <w:rFonts w:ascii="Arial" w:cs="Arial" w:eastAsia="Arial" w:hAnsi="Arial"/>
          <w:sz w:val="16"/>
          <w:szCs w:val="16"/>
          <w:color w:val="auto"/>
        </w:rPr>
        <w:t>The Company will pay interest semi-annually on March 1 and September 1 of each year (each an “Interest Payment Date”), commencing March 1, 2012. Interest on the Securities will accrue from the most recent date to which interest has been paid or, if no interest has been paid on the Securities, from August 29, 2011.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2.60% per annum, in each case to the extent lawful.</w:t>
      </w:r>
    </w:p>
    <w:p>
      <w:pPr>
        <w:spacing w:after="0" w:line="50" w:lineRule="exact"/>
        <w:rPr>
          <w:sz w:val="20"/>
          <w:szCs w:val="20"/>
          <w:color w:val="auto"/>
        </w:rPr>
      </w:pPr>
    </w:p>
    <w:p>
      <w:pPr>
        <w:ind w:left="420" w:hanging="187"/>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117"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49" w:name="page50"/>
    <w:bookmarkEnd w:id="49"/>
    <w:p>
      <w:pPr>
        <w:ind w:right="40"/>
        <w:spacing w:after="0" w:line="257" w:lineRule="auto"/>
        <w:rPr>
          <w:sz w:val="20"/>
          <w:szCs w:val="20"/>
          <w:color w:val="auto"/>
        </w:rPr>
      </w:pPr>
      <w:r>
        <w:rPr>
          <w:rFonts w:ascii="Arial" w:cs="Arial" w:eastAsia="Arial" w:hAnsi="Arial"/>
          <w:sz w:val="18"/>
          <w:szCs w:val="18"/>
          <w:color w:val="auto"/>
        </w:rPr>
        <w:t>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80" w:lineRule="exact"/>
        <w:rPr>
          <w:sz w:val="20"/>
          <w:szCs w:val="20"/>
          <w:color w:val="auto"/>
        </w:rPr>
      </w:pPr>
    </w:p>
    <w:p>
      <w:pPr>
        <w:ind w:left="420" w:hanging="187"/>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Initially, The Bank of New York Mellon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73" w:lineRule="exact"/>
        <w:rPr>
          <w:sz w:val="20"/>
          <w:szCs w:val="20"/>
          <w:color w:val="auto"/>
        </w:rPr>
      </w:pPr>
    </w:p>
    <w:p>
      <w:pPr>
        <w:ind w:left="420" w:hanging="187"/>
        <w:spacing w:after="0"/>
        <w:tabs>
          <w:tab w:leader="none" w:pos="4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Security is one of a duly authorized issue of Debt Securities of the Company issued and to be issued in one or more series under the Indenture.</w:t>
      </w:r>
    </w:p>
    <w:p>
      <w:pPr>
        <w:spacing w:after="0" w:line="129"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August 20, 2009 (the “Resolutions”) and the written consent of the Sole Director of Waste Management Holdings, Inc. on August 23, 2011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$500,000,000.</w:t>
      </w:r>
    </w:p>
    <w:p>
      <w:pPr>
        <w:spacing w:after="0" w:line="70" w:lineRule="exact"/>
        <w:rPr>
          <w:sz w:val="20"/>
          <w:szCs w:val="20"/>
          <w:color w:val="auto"/>
        </w:rPr>
      </w:pPr>
    </w:p>
    <w:p>
      <w:pPr>
        <w:ind w:left="420" w:hanging="187"/>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Securities will be redeemable, at the option of the Company, at any time in whole, or from time to time in part, at a Redemption Price (the “Make-Whole Price”) equal to the greater of: (i) 100% of the principal amount of the Securities to be redeemed; or (ii) the sum of the present values of the remaining scheduled payments of principal and interest (at the rate in effect on the date of calculation of the Redemption Price) on the Securities (exclusive of interest accrued to the Redemption Date) discounted to the Redemption Date on a semi-annual basis (assuming a 360-day year consisting of twelve 30-day months) at the applicable Treasury Yield plus 25 basis points; plus, in either case, accrued interest to the Redemption Date.</w:t>
      </w:r>
    </w:p>
    <w:p>
      <w:pPr>
        <w:spacing w:after="0" w:line="64"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0" w:name="page51"/>
    <w:bookmarkEnd w:id="50"/>
    <w:p>
      <w:pPr>
        <w:ind w:right="260"/>
        <w:spacing w:after="0" w:line="259" w:lineRule="auto"/>
        <w:rPr>
          <w:sz w:val="20"/>
          <w:szCs w:val="20"/>
          <w:color w:val="auto"/>
        </w:rPr>
      </w:pPr>
      <w:r>
        <w:rPr>
          <w:rFonts w:ascii="Arial" w:cs="Arial" w:eastAsia="Arial" w:hAnsi="Arial"/>
          <w:sz w:val="18"/>
          <w:szCs w:val="18"/>
          <w:color w:val="auto"/>
        </w:rPr>
        <w:t>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117"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39"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that would be utilized, at the time of selection and in accordance with customary financial practice, in pricing new issues of corporate debt securities of comparable maturity to the remaining term of the Securities.</w:t>
      </w:r>
    </w:p>
    <w:p>
      <w:pPr>
        <w:spacing w:after="0" w:line="7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“Independent Investment Banker” means any of Credit Suisse Securities (USA) LLC, J.P. Morgan Securities LLC and a Primary Treasury Dealer (as defined below) selected by Wells Fargo Securities, LLC (and their respective successors), or, if all of such firms are unwilling or unable to select the applicable Comparable Treasury Issue, an independent investment banking institution of national standing appointed by the Trustee and reasonably acceptable to the Company.</w:t>
      </w:r>
    </w:p>
    <w:p>
      <w:pPr>
        <w:spacing w:after="0" w:line="79" w:lineRule="exact"/>
        <w:rPr>
          <w:sz w:val="20"/>
          <w:szCs w:val="20"/>
          <w:color w:val="auto"/>
        </w:rPr>
      </w:pPr>
    </w:p>
    <w:p>
      <w:pPr>
        <w:jc w:val="both"/>
        <w:ind w:right="220" w:firstLine="225"/>
        <w:spacing w:after="0" w:line="312" w:lineRule="auto"/>
        <w:rPr>
          <w:sz w:val="20"/>
          <w:szCs w:val="20"/>
          <w:color w:val="auto"/>
        </w:rPr>
      </w:pPr>
      <w:r>
        <w:rPr>
          <w:rFonts w:ascii="Arial" w:cs="Arial" w:eastAsia="Arial" w:hAnsi="Arial"/>
          <w:sz w:val="16"/>
          <w:szCs w:val="16"/>
          <w:color w:val="auto"/>
        </w:rPr>
        <w:t>“Comparable Treasury Price” means, with respect to any Redemption Date, (i) the average of the Reference Treasury Dealer 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39"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“Reference Treasury Dealer” means (i) each of Credit Suisse Securities (USA) LLC, J.P. Morgan Securities LLC and a Primary Treasury Dealer (as defined below) selected by Wells Fargo Securities, LLC (and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79" w:lineRule="exact"/>
        <w:rPr>
          <w:sz w:val="20"/>
          <w:szCs w:val="20"/>
          <w:color w:val="auto"/>
        </w:rPr>
      </w:pPr>
    </w:p>
    <w:p>
      <w:pPr>
        <w:ind w:right="140" w:firstLine="225"/>
        <w:spacing w:after="0" w:line="308" w:lineRule="auto"/>
        <w:rPr>
          <w:sz w:val="20"/>
          <w:szCs w:val="20"/>
          <w:color w:val="auto"/>
        </w:rPr>
      </w:pPr>
      <w:r>
        <w:rPr>
          <w:rFonts w:ascii="Arial" w:cs="Arial" w:eastAsia="Arial" w:hAnsi="Arial"/>
          <w:sz w:val="17"/>
          <w:szCs w:val="17"/>
          <w:color w:val="auto"/>
        </w:rPr>
        <w:t>“Reference Treasury Dealer Quotations” means, with respect to each Reference Treasury Dealer and any Redemption Date for the Securities, an average, as determined by the Trustee, of the bid and asked prices for the Comparable Treasury Issue for the Securities (expressed in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1" w:name="page52"/>
    <w:bookmarkEnd w:id="51"/>
    <w:p>
      <w:pPr>
        <w:ind w:right="260"/>
        <w:spacing w:after="0" w:line="277" w:lineRule="auto"/>
        <w:rPr>
          <w:sz w:val="20"/>
          <w:szCs w:val="20"/>
          <w:color w:val="auto"/>
        </w:rPr>
      </w:pPr>
      <w:r>
        <w:rPr>
          <w:rFonts w:ascii="Arial" w:cs="Arial" w:eastAsia="Arial" w:hAnsi="Arial"/>
          <w:sz w:val="18"/>
          <w:szCs w:val="18"/>
          <w:color w:val="auto"/>
        </w:rPr>
        <w:t>case as a percentage of its principal amount) quoted in writing to the Trustee by such Reference Treasury Dealer at 5:00 p.m., New York City time, on the third Business Day preceding such Redemption Date.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Except as set forth above, the Securities will not be redeemable prior to their Stated Maturity and will not be entitled to the benefit of any sinking fund.</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Securities may be redeemed in part in a minimum principal amount of $2,000, or any integral multiple of $1,000 in excess thereof.</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117" w:lineRule="exact"/>
        <w:rPr>
          <w:sz w:val="20"/>
          <w:szCs w:val="20"/>
          <w:color w:val="auto"/>
        </w:rPr>
      </w:pPr>
    </w:p>
    <w:p>
      <w:pPr>
        <w:ind w:left="420" w:hanging="187"/>
        <w:spacing w:after="0"/>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85" w:lineRule="exact"/>
        <w:rPr>
          <w:sz w:val="20"/>
          <w:szCs w:val="20"/>
          <w:color w:val="auto"/>
        </w:rPr>
      </w:pPr>
    </w:p>
    <w:p>
      <w:pPr>
        <w:ind w:right="340" w:firstLine="222"/>
        <w:spacing w:after="0" w:line="293" w:lineRule="auto"/>
        <w:rPr>
          <w:sz w:val="20"/>
          <w:szCs w:val="20"/>
          <w:color w:val="auto"/>
        </w:rPr>
      </w:pPr>
      <w:r>
        <w:rPr>
          <w:rFonts w:ascii="Arial" w:cs="Arial" w:eastAsia="Arial" w:hAnsi="Arial"/>
          <w:sz w:val="16"/>
          <w:szCs w:val="16"/>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117" w:lineRule="exact"/>
        <w:rPr>
          <w:sz w:val="20"/>
          <w:szCs w:val="20"/>
          <w:color w:val="auto"/>
        </w:rPr>
      </w:pPr>
    </w:p>
    <w:p>
      <w:pPr>
        <w:ind w:left="660" w:hanging="436"/>
        <w:spacing w:after="0"/>
        <w:tabs>
          <w:tab w:leader="none" w:pos="660" w:val="left"/>
        </w:tabs>
        <w:numPr>
          <w:ilvl w:val="0"/>
          <w:numId w:val="50"/>
        </w:numPr>
        <w:rPr>
          <w:rFonts w:ascii="Arial" w:cs="Arial" w:eastAsia="Arial" w:hAnsi="Arial"/>
          <w:sz w:val="17"/>
          <w:szCs w:val="17"/>
          <w:b w:val="1"/>
          <w:bCs w:val="1"/>
          <w:color w:val="auto"/>
        </w:rPr>
      </w:pPr>
      <w:r>
        <w:rPr>
          <w:rFonts w:ascii="Arial" w:cs="Arial" w:eastAsia="Arial" w:hAnsi="Arial"/>
          <w:sz w:val="17"/>
          <w:szCs w:val="17"/>
          <w:color w:val="auto"/>
        </w:rPr>
        <w:t>accept for payment all Securities or portions of Securities properly tendered and not withdrawn pursuant to the Change of Control Offer;</w:t>
      </w:r>
    </w:p>
    <w:p>
      <w:pPr>
        <w:spacing w:after="0" w:line="142" w:lineRule="exact"/>
        <w:rPr>
          <w:rFonts w:ascii="Arial" w:cs="Arial" w:eastAsia="Arial" w:hAnsi="Arial"/>
          <w:sz w:val="17"/>
          <w:szCs w:val="17"/>
          <w:b w:val="1"/>
          <w:bCs w:val="1"/>
          <w:color w:val="auto"/>
        </w:rPr>
      </w:pPr>
    </w:p>
    <w:p>
      <w:pPr>
        <w:ind w:left="660" w:right="400" w:hanging="436"/>
        <w:spacing w:after="0" w:line="277" w:lineRule="auto"/>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75"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52" w:name="page53"/>
    <w:bookmarkEnd w:id="52"/>
    <w:p>
      <w:pPr>
        <w:ind w:firstLine="222"/>
        <w:spacing w:after="0" w:line="257" w:lineRule="auto"/>
        <w:rPr>
          <w:sz w:val="20"/>
          <w:szCs w:val="20"/>
          <w:color w:val="auto"/>
        </w:rPr>
      </w:pPr>
      <w:r>
        <w:rPr>
          <w:rFonts w:ascii="Arial" w:cs="Arial" w:eastAsia="Arial" w:hAnsi="Arial"/>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80"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may comply with those securities laws and regulations and, if so, will not be deemed to have breached its obligations under the Change of Control Offer provisions of this Security by virtue of any such conflict.</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117" w:lineRule="exact"/>
        <w:rPr>
          <w:sz w:val="20"/>
          <w:szCs w:val="20"/>
          <w:color w:val="auto"/>
        </w:rPr>
      </w:pPr>
    </w:p>
    <w:p>
      <w:pPr>
        <w:ind w:right="80" w:firstLine="225"/>
        <w:spacing w:after="0" w:line="268" w:lineRule="auto"/>
        <w:rPr>
          <w:sz w:val="20"/>
          <w:szCs w:val="20"/>
          <w:color w:val="auto"/>
        </w:rPr>
      </w:pPr>
      <w:r>
        <w:rPr>
          <w:rFonts w:ascii="Arial" w:cs="Arial" w:eastAsia="Arial" w:hAnsi="Arial"/>
          <w:sz w:val="17"/>
          <w:szCs w:val="17"/>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the Board of Directors of the Company are not Continuing Directors; or (5) the adoption of a plan relating to the liquidation or dissolution of the Company.</w:t>
      </w:r>
    </w:p>
    <w:p>
      <w:pPr>
        <w:spacing w:after="0" w:line="80"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53" w:name="page54"/>
    <w:bookmarkEnd w:id="53"/>
    <w:p>
      <w:pPr>
        <w:jc w:val="both"/>
        <w:ind w:right="80"/>
        <w:spacing w:after="0" w:line="264" w:lineRule="auto"/>
        <w:rPr>
          <w:sz w:val="20"/>
          <w:szCs w:val="20"/>
          <w:color w:val="auto"/>
        </w:rPr>
      </w:pPr>
      <w:r>
        <w:rPr>
          <w:rFonts w:ascii="Arial" w:cs="Arial" w:eastAsia="Arial" w:hAnsi="Arial"/>
          <w:sz w:val="18"/>
          <w:szCs w:val="18"/>
          <w:color w:val="auto"/>
        </w:rPr>
        <w:t>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11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“Continuing Directors” means, as of any date of determination, any member of the Board of Directors of the Company who (1) was a member of such Board of Directors on the date the Securities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“Fitch” means Fitch Inc. and its successors.</w:t>
      </w:r>
    </w:p>
    <w:p>
      <w:pPr>
        <w:spacing w:after="0" w:line="117" w:lineRule="exact"/>
        <w:rPr>
          <w:sz w:val="20"/>
          <w:szCs w:val="20"/>
          <w:color w:val="auto"/>
        </w:rPr>
      </w:pPr>
    </w:p>
    <w:p>
      <w:pPr>
        <w:ind w:right="60" w:firstLine="225"/>
        <w:spacing w:after="0" w:line="342" w:lineRule="auto"/>
        <w:rPr>
          <w:sz w:val="20"/>
          <w:szCs w:val="20"/>
          <w:color w:val="auto"/>
        </w:rPr>
      </w:pPr>
      <w:r>
        <w:rPr>
          <w:rFonts w:ascii="Arial" w:cs="Arial" w:eastAsia="Arial" w:hAnsi="Arial"/>
          <w:sz w:val="16"/>
          <w:szCs w:val="16"/>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117"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“S&amp;P” means Standard &amp; Poor’s Ratings Services, a division of The McGraw-Hill Companies, Inc., and its successors.</w:t>
      </w:r>
    </w:p>
    <w:p>
      <w:pPr>
        <w:spacing w:after="0" w:line="117"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ind w:left="420" w:hanging="187"/>
        <w:spacing w:after="0"/>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117" w:lineRule="exact"/>
        <w:rPr>
          <w:sz w:val="20"/>
          <w:szCs w:val="20"/>
          <w:color w:val="auto"/>
        </w:rPr>
      </w:pPr>
    </w:p>
    <w:p>
      <w:pPr>
        <w:ind w:right="60" w:firstLine="222"/>
        <w:spacing w:after="0" w:line="312" w:lineRule="auto"/>
        <w:rPr>
          <w:sz w:val="20"/>
          <w:szCs w:val="20"/>
          <w:color w:val="auto"/>
        </w:rPr>
      </w:pPr>
      <w:r>
        <w:rPr>
          <w:rFonts w:ascii="Arial" w:cs="Arial" w:eastAsia="Arial" w:hAnsi="Arial"/>
          <w:sz w:val="16"/>
          <w:szCs w:val="16"/>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39" w:lineRule="exact"/>
        <w:rPr>
          <w:sz w:val="20"/>
          <w:szCs w:val="20"/>
          <w:color w:val="auto"/>
        </w:rPr>
      </w:pPr>
    </w:p>
    <w:p>
      <w:pPr>
        <w:ind w:left="420" w:hanging="187"/>
        <w:spacing w:after="0"/>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117" w:lineRule="exact"/>
        <w:rPr>
          <w:sz w:val="20"/>
          <w:szCs w:val="20"/>
          <w:color w:val="auto"/>
        </w:rPr>
      </w:pPr>
    </w:p>
    <w:p>
      <w:pPr>
        <w:ind w:left="420" w:hanging="187"/>
        <w:spacing w:after="0"/>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81" w:lineRule="exact"/>
        <w:rPr>
          <w:sz w:val="20"/>
          <w:szCs w:val="20"/>
          <w:color w:val="auto"/>
        </w:rPr>
      </w:pPr>
    </w:p>
    <w:p>
      <w:pPr>
        <w:ind w:left="500" w:hanging="267"/>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117" w:lineRule="exact"/>
        <w:rPr>
          <w:sz w:val="20"/>
          <w:szCs w:val="20"/>
          <w:color w:val="auto"/>
        </w:rPr>
      </w:pPr>
    </w:p>
    <w:p>
      <w:pPr>
        <w:ind w:right="100" w:firstLine="225"/>
        <w:spacing w:after="0" w:line="284"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w:t>
      </w:r>
    </w:p>
    <w:p>
      <w:pPr>
        <w:spacing w:after="0" w:line="1" w:lineRule="exact"/>
        <w:rPr>
          <w:sz w:val="20"/>
          <w:szCs w:val="20"/>
          <w:color w:val="auto"/>
        </w:rPr>
      </w:pPr>
    </w:p>
    <w:p>
      <w:pPr>
        <w:ind w:right="60" w:firstLine="8"/>
        <w:spacing w:after="0" w:line="254" w:lineRule="auto"/>
        <w:tabs>
          <w:tab w:leader="none" w:pos="2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5" w:name="page56"/>
    <w:bookmarkEnd w:id="55"/>
    <w:p>
      <w:pPr>
        <w:ind w:right="40"/>
        <w:spacing w:after="0" w:line="264" w:lineRule="auto"/>
        <w:rPr>
          <w:sz w:val="20"/>
          <w:szCs w:val="20"/>
          <w:color w:val="auto"/>
        </w:rPr>
      </w:pPr>
      <w:r>
        <w:rPr>
          <w:rFonts w:ascii="Arial" w:cs="Arial" w:eastAsia="Arial" w:hAnsi="Arial"/>
          <w:sz w:val="18"/>
          <w:szCs w:val="18"/>
          <w:color w:val="auto"/>
        </w:rPr>
        <w:t>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73" w:lineRule="exact"/>
        <w:rPr>
          <w:sz w:val="20"/>
          <w:szCs w:val="20"/>
          <w:color w:val="auto"/>
        </w:rPr>
      </w:pPr>
    </w:p>
    <w:p>
      <w:pPr>
        <w:ind w:left="500" w:hanging="267"/>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117" w:lineRule="exact"/>
        <w:rPr>
          <w:sz w:val="20"/>
          <w:szCs w:val="20"/>
          <w:color w:val="auto"/>
        </w:rPr>
      </w:pPr>
    </w:p>
    <w:p>
      <w:pPr>
        <w:ind w:right="220" w:firstLine="222"/>
        <w:spacing w:after="0" w:line="342" w:lineRule="auto"/>
        <w:rPr>
          <w:sz w:val="20"/>
          <w:szCs w:val="20"/>
          <w:color w:val="auto"/>
        </w:rPr>
      </w:pPr>
      <w:r>
        <w:rPr>
          <w:rFonts w:ascii="Arial" w:cs="Arial" w:eastAsia="Arial" w:hAnsi="Arial"/>
          <w:sz w:val="16"/>
          <w:szCs w:val="16"/>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6" w:lineRule="exact"/>
        <w:rPr>
          <w:sz w:val="20"/>
          <w:szCs w:val="20"/>
          <w:color w:val="auto"/>
        </w:rPr>
      </w:pPr>
    </w:p>
    <w:p>
      <w:pPr>
        <w:ind w:left="500" w:hanging="267"/>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Security shall not be valid until the Trustee or authenticating agent signs the certificate of authentication on the other side of this Security.</w:t>
      </w:r>
    </w:p>
    <w:p>
      <w:pPr>
        <w:spacing w:after="0" w:line="129" w:lineRule="exact"/>
        <w:rPr>
          <w:sz w:val="20"/>
          <w:szCs w:val="20"/>
          <w:color w:val="auto"/>
        </w:rPr>
      </w:pPr>
    </w:p>
    <w:p>
      <w:pPr>
        <w:ind w:left="500" w:hanging="267"/>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73" w:lineRule="exact"/>
        <w:rPr>
          <w:sz w:val="20"/>
          <w:szCs w:val="20"/>
          <w:color w:val="auto"/>
        </w:rPr>
      </w:pPr>
    </w:p>
    <w:p>
      <w:pPr>
        <w:ind w:left="500" w:hanging="267"/>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73" w:lineRule="exact"/>
        <w:rPr>
          <w:sz w:val="20"/>
          <w:szCs w:val="20"/>
          <w:color w:val="auto"/>
        </w:rPr>
      </w:pPr>
    </w:p>
    <w:p>
      <w:pPr>
        <w:ind w:left="500" w:hanging="267"/>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11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73" w:lineRule="exact"/>
        <w:rPr>
          <w:sz w:val="20"/>
          <w:szCs w:val="20"/>
          <w:color w:val="auto"/>
        </w:rPr>
      </w:pPr>
    </w:p>
    <w:p>
      <w:pPr>
        <w:ind w:left="500" w:hanging="267"/>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No Recourse.</w:t>
      </w:r>
    </w:p>
    <w:p>
      <w:pPr>
        <w:spacing w:after="0" w:line="117"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6" w:name="page57"/>
    <w:bookmarkEnd w:id="56"/>
    <w:p>
      <w:pPr>
        <w:ind w:right="100"/>
        <w:spacing w:after="0" w:line="277" w:lineRule="auto"/>
        <w:rPr>
          <w:sz w:val="20"/>
          <w:szCs w:val="20"/>
          <w:color w:val="auto"/>
        </w:rPr>
      </w:pPr>
      <w:r>
        <w:rPr>
          <w:rFonts w:ascii="Arial" w:cs="Arial" w:eastAsia="Arial" w:hAnsi="Arial"/>
          <w:sz w:val="18"/>
          <w:szCs w:val="18"/>
          <w:color w:val="auto"/>
        </w:rPr>
        <w:t>otherwise, all such liability being expressly waived and released by the acceptance of the Security by the Holder and as part of the consideration for the issue of the Security.</w:t>
      </w:r>
    </w:p>
    <w:p>
      <w:pPr>
        <w:spacing w:after="0" w:line="62" w:lineRule="exact"/>
        <w:rPr>
          <w:sz w:val="20"/>
          <w:szCs w:val="20"/>
          <w:color w:val="auto"/>
        </w:rPr>
      </w:pPr>
    </w:p>
    <w:p>
      <w:pPr>
        <w:ind w:left="500" w:hanging="267"/>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117" w:lineRule="exact"/>
        <w:rPr>
          <w:sz w:val="20"/>
          <w:szCs w:val="20"/>
          <w:color w:val="auto"/>
        </w:rPr>
      </w:pPr>
    </w:p>
    <w:p>
      <w:pPr>
        <w:ind w:left="500" w:hanging="267"/>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11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Securities will be fully and unconditionally guaranteed on a senior basis by the Company’s wholly owned subsidiary, Waste Management Holdings, Inc., pursuant to the terms and conditions of a Guarantee Agreement dated August 29, 2011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7" w:name="page58"/>
    <w:bookmarkEnd w:id="57"/>
    <w:p>
      <w:pPr>
        <w:ind w:left="220" w:right="3400" w:firstLine="3187"/>
        <w:spacing w:after="0" w:line="440" w:lineRule="auto"/>
        <w:rPr>
          <w:sz w:val="20"/>
          <w:szCs w:val="20"/>
          <w:color w:val="auto"/>
        </w:rPr>
      </w:pPr>
      <w:r>
        <w:rPr>
          <w:rFonts w:ascii="Arial" w:cs="Arial" w:eastAsia="Arial" w:hAnsi="Arial"/>
          <w:sz w:val="17"/>
          <w:szCs w:val="17"/>
          <w:color w:val="auto"/>
        </w:rPr>
        <w:t>SCHEDULE OF EXCHANGES OF DEFINITIVE SECURITY The following exchanges of a part of this Book-Entry Security for definitive Securities have been made: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5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 increase</w:t>
            </w:r>
          </w:p>
        </w:tc>
        <w:tc>
          <w:tcPr>
            <w:tcW w:w="56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6"/>
              </w:rPr>
              <w:t>Principal Amount</w:t>
            </w:r>
          </w:p>
        </w:tc>
        <w:tc>
          <w:tcPr>
            <w:tcW w:w="580" w:type="dxa"/>
            <w:vAlign w:val="bottom"/>
          </w:tcPr>
          <w:p>
            <w:pPr>
              <w:spacing w:after="0"/>
              <w:rPr>
                <w:sz w:val="14"/>
                <w:szCs w:val="14"/>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Signature of</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decrease in</w:t>
            </w:r>
          </w:p>
        </w:tc>
        <w:tc>
          <w:tcPr>
            <w:tcW w:w="5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 Principal</w:t>
            </w:r>
          </w:p>
        </w:tc>
        <w:tc>
          <w:tcPr>
            <w:tcW w:w="5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58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Principal Amount</w:t>
            </w:r>
          </w:p>
        </w:tc>
        <w:tc>
          <w:tcPr>
            <w:tcW w:w="5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Amount of this</w:t>
            </w:r>
          </w:p>
        </w:tc>
        <w:tc>
          <w:tcPr>
            <w:tcW w:w="5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Security following</w:t>
            </w:r>
          </w:p>
        </w:tc>
        <w:tc>
          <w:tcPr>
            <w:tcW w:w="5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 officer</w:t>
            </w:r>
          </w:p>
        </w:tc>
        <w:tc>
          <w:tcPr>
            <w:tcW w:w="0" w:type="dxa"/>
            <w:vAlign w:val="bottom"/>
          </w:tcPr>
          <w:p>
            <w:pPr>
              <w:spacing w:after="0"/>
              <w:rPr>
                <w:sz w:val="1"/>
                <w:szCs w:val="1"/>
                <w:color w:val="auto"/>
              </w:rPr>
            </w:pPr>
          </w:p>
        </w:tc>
      </w:tr>
      <w:tr>
        <w:trPr>
          <w:trHeight w:val="149"/>
        </w:trPr>
        <w:tc>
          <w:tcPr>
            <w:tcW w:w="18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Date of Exchange</w:t>
            </w:r>
          </w:p>
        </w:tc>
        <w:tc>
          <w:tcPr>
            <w:tcW w:w="5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5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Book-Entry</w:t>
            </w:r>
          </w:p>
        </w:tc>
        <w:tc>
          <w:tcPr>
            <w:tcW w:w="5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5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Trustee or</w:t>
            </w:r>
          </w:p>
        </w:tc>
        <w:tc>
          <w:tcPr>
            <w:tcW w:w="0" w:type="dxa"/>
            <w:vAlign w:val="bottom"/>
          </w:tcPr>
          <w:p>
            <w:pPr>
              <w:spacing w:after="0"/>
              <w:rPr>
                <w:sz w:val="1"/>
                <w:szCs w:val="1"/>
                <w:color w:val="auto"/>
              </w:rPr>
            </w:pPr>
          </w:p>
        </w:tc>
      </w:tr>
      <w:tr>
        <w:trPr>
          <w:trHeight w:val="171"/>
        </w:trPr>
        <w:tc>
          <w:tcPr>
            <w:tcW w:w="184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Security</w:t>
            </w:r>
          </w:p>
        </w:tc>
        <w:tc>
          <w:tcPr>
            <w:tcW w:w="58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56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58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Security Custodian</w:t>
            </w:r>
          </w:p>
        </w:tc>
        <w:tc>
          <w:tcPr>
            <w:tcW w:w="0" w:type="dxa"/>
            <w:vAlign w:val="bottom"/>
          </w:tcPr>
          <w:p>
            <w:pPr>
              <w:spacing w:after="0"/>
              <w:rPr>
                <w:sz w:val="1"/>
                <w:szCs w:val="1"/>
                <w:color w:val="auto"/>
              </w:rPr>
            </w:pPr>
          </w:p>
        </w:tc>
      </w:tr>
      <w:tr>
        <w:trPr>
          <w:trHeight w:val="436"/>
        </w:trPr>
        <w:tc>
          <w:tcPr>
            <w:tcW w:w="18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i w:val="1"/>
          <w:iCs w:val="1"/>
          <w:color w:val="auto"/>
        </w:rPr>
        <w:t>Annex B</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Resolutions of the Board of Directors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Waste Management, Inc.</w:t>
      </w:r>
    </w:p>
    <w:p>
      <w:pPr>
        <w:spacing w:after="0" w:line="99"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September 22, 2006, Waste Management, Inc. (the “Company”) filed with the Securities Exchange Commission (the “SEC”) an</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 shelf registration statement on Form S-3, File No. 333-137526 (the “Automatic Shelf”), which registered the offer and sale by the Company from time to time of common stock; senior and subordinated debt securities; preferred stock; warrants; units; and guarantees by Waste Management Holdings, Inc., a wholly-owned subsidiary of the Company (“WMHI”), with respect to debt securities, in one or more classes or series in amounts as may be determined at the time of any offering; and</w:t>
      </w:r>
    </w:p>
    <w:p>
      <w:pPr>
        <w:spacing w:after="0" w:line="76" w:lineRule="exact"/>
        <w:rPr>
          <w:sz w:val="20"/>
          <w:szCs w:val="20"/>
          <w:color w:val="auto"/>
        </w:rPr>
      </w:pPr>
    </w:p>
    <w:p>
      <w:pPr>
        <w:ind w:right="18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rules and regulations promulgated by SEC, the Automatic Shelf expires, by its terms, on September 22, 2009, three years after</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effective date of the Automatic Shelf; and</w:t>
      </w:r>
    </w:p>
    <w:p>
      <w:pPr>
        <w:spacing w:after="0" w:line="54" w:lineRule="exact"/>
        <w:rPr>
          <w:sz w:val="20"/>
          <w:szCs w:val="20"/>
          <w:color w:val="auto"/>
        </w:rPr>
      </w:pPr>
    </w:p>
    <w:p>
      <w:pPr>
        <w:ind w:right="24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and finds it in the best interests of the Company, to file a new automatic shelf registration statement on Form S-3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facilitate any future offerings of securities by the Company or any selling security holders.</w:t>
      </w:r>
    </w:p>
    <w:p>
      <w:pPr>
        <w:spacing w:after="0" w:line="54" w:lineRule="exact"/>
        <w:rPr>
          <w:sz w:val="20"/>
          <w:szCs w:val="20"/>
          <w:color w:val="auto"/>
        </w:rPr>
      </w:pPr>
    </w:p>
    <w:p>
      <w:pPr>
        <w:ind w:right="120" w:firstLine="225"/>
        <w:spacing w:after="0" w:line="254"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Company is hereby authorized to prepare and file with the SEC an automatic shelf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on Form S-3 (the “New Automatic Shelf”), pursuant to the Securities Act of 1933, as amended, and the rules and regulations promulgated thereunder (the “Securities Act”), which New Automatic Shelf may cover, among other things, unsecured senior or subordinated debentures, notes or other evidences of indebtedness of the Company (collectively “Debt Securities”); shares of common stock, par value $0.01 per share, of the Company (the “Common Stock”); warrants to purchase shares of Common Stock; shares of preferred stock in such series with such designations, powers, preferences and relative and other special rights and qualifications, limitations and restrictions as the Board of Directors may from time to time authorize; guarantees of securities by Waste Management Holdings, Inc., a wholly-owned subsidiary of the Company; and any units consisting of one or more of the foregoing (the Debt Securities, Common Stock, warrants, preferred stock, guarantees and units collectively referred to herein as the “Securities”), to be issued from time to time;</w:t>
      </w:r>
    </w:p>
    <w:p>
      <w:pPr>
        <w:spacing w:after="0" w:line="81" w:lineRule="exact"/>
        <w:rPr>
          <w:sz w:val="20"/>
          <w:szCs w:val="20"/>
          <w:color w:val="auto"/>
        </w:rPr>
      </w:pPr>
    </w:p>
    <w:p>
      <w:pPr>
        <w:ind w:right="240" w:firstLine="225"/>
        <w:spacing w:after="0" w:line="26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proper officers (as established pursuant to these resolutions) be, and they hereby are, authorized, in their sole and</w:t>
      </w:r>
      <w:r>
        <w:rPr>
          <w:rFonts w:ascii="Arial" w:cs="Arial" w:eastAsia="Arial" w:hAnsi="Arial"/>
          <w:sz w:val="18"/>
          <w:szCs w:val="18"/>
          <w:b w:val="1"/>
          <w:bCs w:val="1"/>
          <w:color w:val="auto"/>
        </w:rPr>
        <w:t xml:space="preserve"> </w:t>
      </w:r>
      <w:r>
        <w:rPr>
          <w:rFonts w:ascii="Arial" w:cs="Arial" w:eastAsia="Arial" w:hAnsi="Arial"/>
          <w:sz w:val="18"/>
          <w:szCs w:val="18"/>
          <w:color w:val="auto"/>
        </w:rPr>
        <w:t>absolute discretion, subject to any limitations set forth in these resolutions, to cause the Company to offer and sell up to an aggregate of $3,000,000,000 of Securities without further approval of the Board of Directors;</w:t>
      </w:r>
    </w:p>
    <w:p>
      <w:pPr>
        <w:spacing w:after="0" w:line="68" w:lineRule="exact"/>
        <w:rPr>
          <w:sz w:val="20"/>
          <w:szCs w:val="20"/>
          <w:color w:val="auto"/>
        </w:rPr>
      </w:pPr>
    </w:p>
    <w:p>
      <w:pPr>
        <w:ind w:firstLine="225"/>
        <w:spacing w:after="0" w:line="281"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proper officers and the authorized employees (as established pursuant to these resolutions) be, and each of them hereby</w:t>
      </w:r>
      <w:r>
        <w:rPr>
          <w:rFonts w:ascii="Arial" w:cs="Arial" w:eastAsia="Arial" w:hAnsi="Arial"/>
          <w:sz w:val="17"/>
          <w:szCs w:val="17"/>
          <w:b w:val="1"/>
          <w:bCs w:val="1"/>
          <w:color w:val="auto"/>
        </w:rPr>
        <w:t xml:space="preserve"> </w:t>
      </w:r>
      <w:r>
        <w:rPr>
          <w:rFonts w:ascii="Arial" w:cs="Arial" w:eastAsia="Arial" w:hAnsi="Arial"/>
          <w:sz w:val="17"/>
          <w:szCs w:val="17"/>
          <w:color w:val="auto"/>
        </w:rPr>
        <w:t>is, authorized, in the name and on behalf of the Company, to execute and cause to be filed with the SEC any and all amendments (including, without limitation, post-effective amendments) or supplements to the New Automatic Shelf and any prospectus included therein and any additional documents which such officer or employee may deem necessary or desirable with respect to the registration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3" w:right="279" w:bottom="1440" w:gutter="0" w:footer="0" w:header="0"/>
        </w:sectPr>
      </w:pPr>
    </w:p>
    <w:bookmarkStart w:id="59" w:name="page60"/>
    <w:bookmarkEnd w:id="59"/>
    <w:p>
      <w:pPr>
        <w:ind w:right="80"/>
        <w:spacing w:after="0" w:line="277" w:lineRule="auto"/>
        <w:rPr>
          <w:sz w:val="20"/>
          <w:szCs w:val="20"/>
          <w:color w:val="auto"/>
        </w:rPr>
      </w:pPr>
      <w:r>
        <w:rPr>
          <w:rFonts w:ascii="Arial" w:cs="Arial" w:eastAsia="Arial" w:hAnsi="Arial"/>
          <w:sz w:val="18"/>
          <w:szCs w:val="18"/>
          <w:color w:val="auto"/>
        </w:rPr>
        <w:t>offering of the Securities, and such amendments, supplements, registration statements and documents to be in such form as the officer or employee executing the same may approve, as conclusively evidenced by his execution thereof;</w:t>
      </w:r>
    </w:p>
    <w:p>
      <w:pPr>
        <w:spacing w:after="0" w:line="58" w:lineRule="exact"/>
        <w:rPr>
          <w:sz w:val="20"/>
          <w:szCs w:val="20"/>
          <w:color w:val="auto"/>
        </w:rPr>
      </w:pPr>
    </w:p>
    <w:p>
      <w:pPr>
        <w:ind w:right="40" w:firstLine="225"/>
        <w:spacing w:after="0" w:line="26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General Counsel of the Company be, and he hereby is, designated and appointed the agent for service of process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the Securities Act in connection with the New Automatic Shelf and any and all amendments and supplements thereto, with all powers incident to such appointment;</w:t>
      </w:r>
    </w:p>
    <w:p>
      <w:pPr>
        <w:spacing w:after="0" w:line="68"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proper officers and authorized employees be and hereby are authorized and directed in the name and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take any and all action which they may deem necessary or advisable in order to effect the registration or qualification of all or part of the Securities to be registered under the Securities Act, for offer and sale under the securities or Blue Sky laws of the states of the United States of America,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81"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form of any additional resolutions required in connection with the appropriate qualification or registration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with the same force and effect as if set out verbatim herein;</w:t>
      </w:r>
    </w:p>
    <w:p>
      <w:pPr>
        <w:spacing w:after="0" w:line="76"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any of the proper officers or authorized employees be, and each of them hereby is, authorized to approve at any time and</w:t>
      </w:r>
      <w:r>
        <w:rPr>
          <w:rFonts w:ascii="Arial" w:cs="Arial" w:eastAsia="Arial" w:hAnsi="Arial"/>
          <w:sz w:val="17"/>
          <w:szCs w:val="17"/>
          <w:b w:val="1"/>
          <w:bCs w:val="1"/>
          <w:color w:val="auto"/>
        </w:rPr>
        <w:t xml:space="preserve"> </w:t>
      </w:r>
      <w:r>
        <w:rPr>
          <w:rFonts w:ascii="Arial" w:cs="Arial" w:eastAsia="Arial" w:hAnsi="Arial"/>
          <w:sz w:val="17"/>
          <w:szCs w:val="17"/>
          <w:color w:val="auto"/>
        </w:rPr>
        <w:t>from time to time, one or more forms of underwriting agreements (and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proper officers to approve any individual agreement pursuant to which Securities are to be sold if the form thereof has previously been approved as provided in this resolution;</w:t>
      </w:r>
    </w:p>
    <w:p>
      <w:pPr>
        <w:spacing w:after="0" w:line="64" w:lineRule="exact"/>
        <w:rPr>
          <w:sz w:val="20"/>
          <w:szCs w:val="20"/>
          <w:color w:val="auto"/>
        </w:rPr>
      </w:pPr>
    </w:p>
    <w:p>
      <w:pPr>
        <w:ind w:right="240" w:firstLine="225"/>
        <w:spacing w:after="0" w:line="282"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 the proper officers be, and each of them hereby is, authorized, at any time and from time to time,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 to determine, within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0" w:name="page61"/>
    <w:bookmarkEnd w:id="60"/>
    <w:p>
      <w:pPr>
        <w:ind w:right="80"/>
        <w:spacing w:after="0" w:line="297" w:lineRule="auto"/>
        <w:rPr>
          <w:sz w:val="20"/>
          <w:szCs w:val="20"/>
          <w:color w:val="auto"/>
        </w:rPr>
      </w:pPr>
      <w:r>
        <w:rPr>
          <w:rFonts w:ascii="Arial" w:cs="Arial" w:eastAsia="Arial" w:hAnsi="Arial"/>
          <w:sz w:val="16"/>
          <w:szCs w:val="16"/>
          <w:color w:val="auto"/>
        </w:rPr>
        <w:t>any limits that may be set by the Board of Directors, the number of shares of Common Stock, preferred stock or other equity securities to be offered and sold by the Company pursuant to the New Automatic Shelf, including any shares underlying warrants or convertible Debt Securities, (ii) to authorize the reserve and issuance of such shares and (iii) to take any and all action and to do or cause to be done any and all things which may appear to any of the proper officers to be necessary or advisable in order to authorize, offer, issue, and sell such shares of Common Stock, pursuant to the New Automatic Shelf and the applicable purchase agreement, which action could be taken or which things could be done by the Board of Directors of the Company;</w:t>
      </w:r>
    </w:p>
    <w:p>
      <w:pPr>
        <w:spacing w:after="0" w:line="46"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 the proper officers may, at any time and from time to time, on behalf of the Company, authorize the issuance of one</w:t>
      </w:r>
      <w:r>
        <w:rPr>
          <w:rFonts w:ascii="Arial" w:cs="Arial" w:eastAsia="Arial" w:hAnsi="Arial"/>
          <w:sz w:val="18"/>
          <w:szCs w:val="18"/>
          <w:b w:val="1"/>
          <w:bCs w:val="1"/>
          <w:color w:val="auto"/>
        </w:rPr>
        <w:t xml:space="preserve"> </w:t>
      </w:r>
      <w:r>
        <w:rPr>
          <w:rFonts w:ascii="Arial" w:cs="Arial" w:eastAsia="Arial" w:hAnsi="Arial"/>
          <w:sz w:val="18"/>
          <w:szCs w:val="18"/>
          <w:color w:val="auto"/>
        </w:rPr>
        <w:t>or more series of Securities under the Company’s indentures, within any limits that may be set by the Board of Directors, and in connection therewith establish, or, if all of the Securities of such series may not be originally issued at one time, to the extent deemed appropriate, prescribe the manner of determining, within any limitations established by any of the proper officers and subject in either case to the limitations set forth in these resolutions, all of the terms of such Securities;</w:t>
      </w:r>
    </w:p>
    <w:p>
      <w:pPr>
        <w:spacing w:after="0" w:line="76" w:lineRule="exact"/>
        <w:rPr>
          <w:sz w:val="20"/>
          <w:szCs w:val="20"/>
          <w:color w:val="auto"/>
        </w:rPr>
      </w:pPr>
    </w:p>
    <w:p>
      <w:pPr>
        <w:ind w:right="160" w:firstLine="225"/>
        <w:spacing w:after="0" w:line="298"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in connection with any such series of Securities (but without limiting the authority hereinafter in these resolutions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with respect to the issuance of Securities of a series which may not all be originally issued at one time), any of the proper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or underwriter and any other terms of offering or sale of Securities of such series and to sell Securities of such series in accordance with any applicable purchase agreement or other agreement(s);</w:t>
      </w:r>
    </w:p>
    <w:p>
      <w:pPr>
        <w:spacing w:after="0" w:line="46" w:lineRule="exact"/>
        <w:rPr>
          <w:sz w:val="20"/>
          <w:szCs w:val="20"/>
          <w:color w:val="auto"/>
        </w:rPr>
      </w:pPr>
    </w:p>
    <w:p>
      <w:pPr>
        <w:jc w:val="both"/>
        <w:ind w:right="140" w:firstLine="225"/>
        <w:spacing w:after="0" w:line="314"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in connection with the issuance of Securities of any series which may not be originally issued at one time (except as may</w:t>
      </w:r>
      <w:r>
        <w:rPr>
          <w:rFonts w:ascii="Arial" w:cs="Arial" w:eastAsia="Arial" w:hAnsi="Arial"/>
          <w:sz w:val="16"/>
          <w:szCs w:val="16"/>
          <w:b w:val="1"/>
          <w:bCs w:val="1"/>
          <w:color w:val="auto"/>
        </w:rPr>
        <w:t xml:space="preserve"> </w:t>
      </w:r>
      <w:r>
        <w:rPr>
          <w:rFonts w:ascii="Arial" w:cs="Arial" w:eastAsia="Arial" w:hAnsi="Arial"/>
          <w:sz w:val="16"/>
          <w:szCs w:val="16"/>
          <w:color w:val="auto"/>
        </w:rPr>
        <w:t>be inconsistent with any action taken by any of the proper officers, as hereinabove provided, in connection with such series), any of the proper officers may delegate any of its authority pursuant to these resolutions to any officer of the Company, including authority to fix the terms of such Securities;</w:t>
      </w:r>
    </w:p>
    <w:p>
      <w:pPr>
        <w:spacing w:after="0" w:line="34" w:lineRule="exact"/>
        <w:rPr>
          <w:sz w:val="20"/>
          <w:szCs w:val="20"/>
          <w:color w:val="auto"/>
        </w:rPr>
      </w:pPr>
    </w:p>
    <w:p>
      <w:pPr>
        <w:ind w:right="140" w:firstLine="225"/>
        <w:spacing w:after="0" w:line="314"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in connection with any such series of Securities, any of the proper officers is authorized to approve any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modification or supplement to the Company’s indentures and that any proper officer be, and each of them hereby is, authorized to execute and deliver, in the name and on behalf of the Company, any such amendment, modification or supplement, substantially in the form approved by any proper officer;</w:t>
      </w:r>
    </w:p>
    <w:p>
      <w:pPr>
        <w:spacing w:after="0" w:line="34" w:lineRule="exact"/>
        <w:rPr>
          <w:sz w:val="20"/>
          <w:szCs w:val="20"/>
          <w:color w:val="auto"/>
        </w:rPr>
      </w:pPr>
    </w:p>
    <w:p>
      <w:pPr>
        <w:ind w:right="140" w:firstLine="225"/>
        <w:spacing w:after="0" w:line="303"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proper officers and authorized employees be, and each of them hereby is, authorized, in the name and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363220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1" w:name="page62"/>
    <w:bookmarkEnd w:id="61"/>
    <w:p>
      <w:pPr>
        <w:ind w:right="60" w:firstLine="225"/>
        <w:spacing w:after="0" w:line="274"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proper officers be, and each of them hereby is, authorized, subject to and in accordance with the Company’s indentures</w:t>
      </w:r>
      <w:r>
        <w:rPr>
          <w:rFonts w:ascii="Arial" w:cs="Arial" w:eastAsia="Arial" w:hAnsi="Arial"/>
          <w:sz w:val="17"/>
          <w:szCs w:val="17"/>
          <w:b w:val="1"/>
          <w:bCs w:val="1"/>
          <w:color w:val="auto"/>
        </w:rPr>
        <w:t xml:space="preserve"> </w:t>
      </w:r>
      <w:r>
        <w:rPr>
          <w:rFonts w:ascii="Arial" w:cs="Arial" w:eastAsia="Arial" w:hAnsi="Arial"/>
          <w:sz w:val="17"/>
          <w:szCs w:val="17"/>
          <w:color w:val="auto"/>
        </w:rPr>
        <w:t>and any action taken by any of the proper officers in connection therewith, from time to time to appoint or designate on behalf of the Company one or more security registrars, paying agents and transfer agents for each series of Securities, to rescind on behalf of the Company any such appointment or designation and to approve on behalf of the Company any change in the location of any office through which any such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66"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proper officers and authorized employees be, and each of them hereby is, authorized, in the name and on behalf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 make application to such securities exchange or exchanges as the persons acting shall deem necessary or appropriate for the listing thereof of any of the Securities (including 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may deem necessary or desirable; that such officers, or such other person as any such officer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70" w:lineRule="exact"/>
        <w:rPr>
          <w:sz w:val="20"/>
          <w:szCs w:val="20"/>
          <w:color w:val="auto"/>
        </w:rPr>
      </w:pPr>
    </w:p>
    <w:p>
      <w:pPr>
        <w:ind w:right="60" w:firstLine="225"/>
        <w:spacing w:after="0" w:line="277"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proper officers be, and each of them hereby is, authorized, in the name and on behalf of the Company, to make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 to the SEC for registration of any series of the Securities under Section 12 or other applicable section of the Securities Exchange Act of 1934, and the proper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may deem necessary or desirable;</w:t>
      </w:r>
    </w:p>
    <w:p>
      <w:pPr>
        <w:spacing w:after="0" w:line="60" w:lineRule="exact"/>
        <w:rPr>
          <w:sz w:val="20"/>
          <w:szCs w:val="20"/>
          <w:color w:val="auto"/>
        </w:rPr>
      </w:pPr>
    </w:p>
    <w:p>
      <w:pPr>
        <w:ind w:firstLine="225"/>
        <w:spacing w:after="0" w:line="25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officers and authorized employees of the Company be, and each of them hereby is, authorized to take, or cause to be</w:t>
      </w:r>
      <w:r>
        <w:rPr>
          <w:rFonts w:ascii="Arial" w:cs="Arial" w:eastAsia="Arial" w:hAnsi="Arial"/>
          <w:sz w:val="18"/>
          <w:szCs w:val="18"/>
          <w:b w:val="1"/>
          <w:bCs w:val="1"/>
          <w:color w:val="auto"/>
        </w:rPr>
        <w:t xml:space="preserve"> </w:t>
      </w:r>
      <w:r>
        <w:rPr>
          <w:rFonts w:ascii="Arial" w:cs="Arial" w:eastAsia="Arial" w:hAnsi="Arial"/>
          <w:sz w:val="18"/>
          <w:szCs w:val="18"/>
          <w:color w:val="auto"/>
        </w:rPr>
        <w:t>taken, any and all action which any such officer may deem necessary or desirable in order to carry out the purpose and intent of the foregoing resolutions or in order to perform, or cause to be performed, the obligations of the Company under the Securities, the New Automatic Shelf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or authorized employee may deem necessary or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2" w:name="page63"/>
    <w:bookmarkEnd w:id="62"/>
    <w:p>
      <w:pPr>
        <w:ind w:right="80" w:firstLine="225"/>
        <w:spacing w:after="0" w:line="261"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for purposes of these resolutions, the term “proper officer” shall mean any or all of the Chief Executive Officer,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the General Counsel, the Chief Accounting Officer and the Treasurer of the Company and the term “authorized employees” shall mean either or both of the Vice President and Assistant General Counsel — Corporate and Securities and the Senior Counsel — Corporate &amp; Securities of the Company;</w:t>
      </w:r>
    </w:p>
    <w:p>
      <w:pPr>
        <w:spacing w:after="0" w:line="72" w:lineRule="exact"/>
        <w:rPr>
          <w:sz w:val="20"/>
          <w:szCs w:val="20"/>
          <w:color w:val="auto"/>
        </w:rPr>
      </w:pPr>
    </w:p>
    <w:p>
      <w:pPr>
        <w:ind w:firstLine="225"/>
        <w:spacing w:after="0" w:line="281"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form of any additional resolutions required in connection with the foregoing resolutions be and hereby is approved and</w:t>
      </w:r>
      <w:r>
        <w:rPr>
          <w:rFonts w:ascii="Arial" w:cs="Arial" w:eastAsia="Arial" w:hAnsi="Arial"/>
          <w:sz w:val="17"/>
          <w:szCs w:val="17"/>
          <w:b w:val="1"/>
          <w:bCs w:val="1"/>
          <w:color w:val="auto"/>
        </w:rPr>
        <w:t xml:space="preserve"> </w:t>
      </w:r>
      <w:r>
        <w:rPr>
          <w:rFonts w:ascii="Arial" w:cs="Arial" w:eastAsia="Arial" w:hAnsi="Arial"/>
          <w:sz w:val="17"/>
          <w:szCs w:val="17"/>
          <w:color w:val="auto"/>
        </w:rPr>
        <w:t>adopted, provided the proper officers of the Company, on the advice of counsel, consider the adoption thereof necessary or advisable, in which case the Secretary or any Assistant Secretary of the Company is hereby directed to insert as an appendix hereto a copy of such resolutions, which shall, upon execution, be deemed to have been adopted by this Board with the same force and effect as if set out verbatim herein; and</w:t>
      </w:r>
    </w:p>
    <w:p>
      <w:pPr>
        <w:spacing w:after="0" w:line="57" w:lineRule="exact"/>
        <w:rPr>
          <w:sz w:val="20"/>
          <w:szCs w:val="20"/>
          <w:color w:val="auto"/>
        </w:rPr>
      </w:pPr>
    </w:p>
    <w:p>
      <w:pPr>
        <w:ind w:right="140" w:firstLine="225"/>
        <w:spacing w:after="0" w:line="261"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officer of the Company is hereby authorized and directed to make, provide, execute, and deliver any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applications, certificates, representations, payments, notices, receipts, and other instruments and documents and take any and all other actions which in the opinion of such officer is or may be necessary or appropriate in connection with or to consummate any of the matters covered by the foregoing resolutions.</w:t>
      </w:r>
    </w:p>
    <w:p>
      <w:pPr>
        <w:sectPr>
          <w:pgSz w:w="11900" w:h="16838" w:orient="portrait"/>
          <w:cols w:equalWidth="0" w:num="1">
            <w:col w:w="11360"/>
          </w:cols>
          <w:pgMar w:left="240" w:top="931" w:right="29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4.4</w:t>
      </w:r>
    </w:p>
    <w:p>
      <w:pPr>
        <w:spacing w:after="0" w:line="33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GUARANTEE</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BY WASTE MANAGEMENT HOLDINGS, INC.</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(formerly known as Waste Management, Inc.)</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 Favor of The Bank of New York Mellon Trust Company, N.A., as Trustee for the Holders</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of Certain Debt Securities of</w:t>
      </w:r>
    </w:p>
    <w:p>
      <w:pPr>
        <w:spacing w:after="0" w:line="10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WASTE MANAGEMENT, INC.</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$500,000,000</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2.60% Senior Notes due 2016</w:t>
      </w:r>
    </w:p>
    <w:p>
      <w:pPr>
        <w:spacing w:after="0" w:line="10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August 29,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398780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4" w:name="page65"/>
    <w:bookmarkEnd w:id="64"/>
    <w:p>
      <w:pPr>
        <w:ind w:right="240" w:firstLine="225"/>
        <w:spacing w:after="0" w:line="259" w:lineRule="auto"/>
        <w:rPr>
          <w:sz w:val="20"/>
          <w:szCs w:val="20"/>
          <w:color w:val="auto"/>
        </w:rPr>
      </w:pPr>
      <w:r>
        <w:rPr>
          <w:rFonts w:ascii="Arial" w:cs="Arial" w:eastAsia="Arial" w:hAnsi="Arial"/>
          <w:sz w:val="18"/>
          <w:szCs w:val="18"/>
          <w:color w:val="auto"/>
        </w:rPr>
        <w:t>GUARANTEE, dated as of August 29, 2011 (as amended from time to time, this “Guarantee”), made by Waste Management Holdings, Inc. (formerly known as Waste Management, Inc.), a Delaware corporation (the “Guarantor”), in favor of The Bank of New York Mellon Trust Company, N.A., as trustee for the holders of the $500 million 2.60% Senior Notes due 2016 (the “Debt Securities”) of Waste Management, Inc. (formerly known as USA Waste Services, Inc.), a Delaware corporation (the “Issuer”).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p>
    <w:p>
      <w:pPr>
        <w:spacing w:after="0" w:line="117" w:lineRule="exact"/>
        <w:rPr>
          <w:sz w:val="20"/>
          <w:szCs w:val="20"/>
          <w:color w:val="auto"/>
        </w:rPr>
      </w:pPr>
    </w:p>
    <w:p>
      <w:pPr>
        <w:ind w:firstLine="458"/>
        <w:spacing w:after="0" w:line="257" w:lineRule="auto"/>
        <w:tabs>
          <w:tab w:leader="none" w:pos="69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Guarantor hereby unconditionally guarantees the punctual payment when due, whether at stated maturity, by acceleration or otherwise, of the principal of, premium, if any, and interest on the Debt Securities (the “Obligations”), according to the terms of the Debt Securities and as more fully described in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w:t>
      </w:r>
    </w:p>
    <w:p>
      <w:pPr>
        <w:spacing w:after="0" w:line="80" w:lineRule="exact"/>
        <w:rPr>
          <w:rFonts w:ascii="Arial" w:cs="Arial" w:eastAsia="Arial" w:hAnsi="Arial"/>
          <w:sz w:val="18"/>
          <w:szCs w:val="18"/>
          <w:color w:val="auto"/>
        </w:rPr>
      </w:pPr>
    </w:p>
    <w:p>
      <w:pPr>
        <w:ind w:right="60" w:firstLine="458"/>
        <w:spacing w:after="0" w:line="293" w:lineRule="auto"/>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57" w:lineRule="exact"/>
        <w:rPr>
          <w:sz w:val="20"/>
          <w:szCs w:val="20"/>
          <w:color w:val="auto"/>
        </w:rPr>
      </w:pPr>
    </w:p>
    <w:p>
      <w:pPr>
        <w:ind w:right="560" w:firstLine="225"/>
        <w:spacing w:after="0" w:line="31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Guarantee Absolute</w:t>
      </w:r>
      <w:r>
        <w:rPr>
          <w:rFonts w:ascii="Arial" w:cs="Arial" w:eastAsia="Arial" w:hAnsi="Arial"/>
          <w:sz w:val="16"/>
          <w:szCs w:val="16"/>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39" w:lineRule="exact"/>
        <w:rPr>
          <w:sz w:val="20"/>
          <w:szCs w:val="20"/>
          <w:color w:val="auto"/>
        </w:rPr>
      </w:pPr>
    </w:p>
    <w:p>
      <w:pPr>
        <w:ind w:left="680" w:hanging="219"/>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lack of validity or enforceability of the Indenture, the Debt Securities or any other agreement or instrument relating thereto;</w:t>
      </w:r>
    </w:p>
    <w:p>
      <w:pPr>
        <w:spacing w:after="0" w:line="117" w:lineRule="exact"/>
        <w:rPr>
          <w:rFonts w:ascii="Arial" w:cs="Arial" w:eastAsia="Arial" w:hAnsi="Arial"/>
          <w:sz w:val="18"/>
          <w:szCs w:val="18"/>
          <w:color w:val="auto"/>
        </w:rPr>
      </w:pPr>
    </w:p>
    <w:p>
      <w:pPr>
        <w:ind w:left="240" w:right="160" w:firstLine="221"/>
        <w:spacing w:after="0" w:line="277" w:lineRule="auto"/>
        <w:tabs>
          <w:tab w:leader="none" w:pos="7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pacing w:after="0" w:line="62" w:lineRule="exact"/>
        <w:rPr>
          <w:rFonts w:ascii="Arial" w:cs="Arial" w:eastAsia="Arial" w:hAnsi="Arial"/>
          <w:sz w:val="18"/>
          <w:szCs w:val="18"/>
          <w:color w:val="auto"/>
        </w:rPr>
      </w:pPr>
    </w:p>
    <w:p>
      <w:pPr>
        <w:ind w:left="240" w:right="640" w:firstLine="221"/>
        <w:spacing w:after="0" w:line="277"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5" w:name="page66"/>
    <w:bookmarkEnd w:id="65"/>
    <w:p>
      <w:pPr>
        <w:ind w:left="460"/>
        <w:spacing w:after="0"/>
        <w:rPr>
          <w:sz w:val="20"/>
          <w:szCs w:val="20"/>
          <w:color w:val="auto"/>
        </w:rPr>
      </w:pPr>
      <w:r>
        <w:rPr>
          <w:rFonts w:ascii="Arial" w:cs="Arial" w:eastAsia="Arial" w:hAnsi="Arial"/>
          <w:sz w:val="18"/>
          <w:szCs w:val="18"/>
          <w:color w:val="auto"/>
        </w:rPr>
        <w:t>(iv) any other circumstance which might otherwise constitute a defense available to, or a discharge of, the Issuer or a guarantor.</w:t>
      </w:r>
    </w:p>
    <w:p>
      <w:pPr>
        <w:spacing w:after="0" w:line="117" w:lineRule="exact"/>
        <w:rPr>
          <w:sz w:val="20"/>
          <w:szCs w:val="20"/>
          <w:color w:val="auto"/>
        </w:rPr>
      </w:pPr>
    </w:p>
    <w:p>
      <w:pPr>
        <w:ind w:right="540" w:firstLine="225"/>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p>
    <w:p>
      <w:pPr>
        <w:spacing w:after="0" w:line="117" w:lineRule="exact"/>
        <w:rPr>
          <w:sz w:val="20"/>
          <w:szCs w:val="20"/>
          <w:color w:val="auto"/>
        </w:rPr>
      </w:pPr>
    </w:p>
    <w:p>
      <w:pPr>
        <w:ind w:firstLine="458"/>
        <w:spacing w:after="0" w:line="264" w:lineRule="auto"/>
        <w:tabs>
          <w:tab w:leader="none" w:pos="69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73" w:lineRule="exact"/>
        <w:rPr>
          <w:rFonts w:ascii="Arial" w:cs="Arial" w:eastAsia="Arial" w:hAnsi="Arial"/>
          <w:sz w:val="18"/>
          <w:szCs w:val="18"/>
          <w:color w:val="auto"/>
        </w:rPr>
      </w:pPr>
    </w:p>
    <w:p>
      <w:pPr>
        <w:ind w:right="80" w:firstLine="458"/>
        <w:spacing w:after="0" w:line="312" w:lineRule="auto"/>
        <w:tabs>
          <w:tab w:leader="none" w:pos="702"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39" w:lineRule="exact"/>
        <w:rPr>
          <w:sz w:val="20"/>
          <w:szCs w:val="20"/>
          <w:color w:val="auto"/>
        </w:rPr>
      </w:pPr>
    </w:p>
    <w:p>
      <w:pPr>
        <w:jc w:val="both"/>
        <w:ind w:right="160" w:firstLine="225"/>
        <w:spacing w:after="0" w:line="31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39"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Continuing Guarantee; Transfer of Interest</w:t>
      </w:r>
      <w:r>
        <w:rPr>
          <w:rFonts w:ascii="Arial" w:cs="Arial" w:eastAsia="Arial" w:hAnsi="Arial"/>
          <w:sz w:val="18"/>
          <w:szCs w:val="18"/>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Amended and Restated Revolving Credit Agreement dated May 9, 2011, by and among the Issuer, the Guarantor (as guarantor), Bank of America, N.A., as administrative agent, J.P. Morgan Securities LLC, Merrill Lynch, Pierce, Fenner &amp; Smith Incorporated and Barclays Capital, as lead arrangers and joint book runners (or under any replacement or new principal credit facility of the Issuer) of the guarantee of the Guarantor thereunder, (ii) be binding upon the Guarantor, its successors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6" w:name="page67"/>
    <w:bookmarkEnd w:id="66"/>
    <w:p>
      <w:pPr>
        <w:ind w:right="60"/>
        <w:spacing w:after="0" w:line="277" w:lineRule="auto"/>
        <w:rPr>
          <w:sz w:val="20"/>
          <w:szCs w:val="20"/>
          <w:color w:val="auto"/>
        </w:rPr>
      </w:pPr>
      <w:r>
        <w:rPr>
          <w:rFonts w:ascii="Arial" w:cs="Arial" w:eastAsia="Arial" w:hAnsi="Arial"/>
          <w:sz w:val="18"/>
          <w:szCs w:val="18"/>
          <w:color w:val="auto"/>
        </w:rPr>
        <w:t>assigns, and (iii) inure to the benefit of and be enforceable by any holder of Debt Securities, the Trustee, and by their respective successors, transferees, and assigns.</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73"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73"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6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25298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Cherie C. Rice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 Finance and Treasurer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25298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Devina Rankin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Assistant Treasurer</w:t>
      </w:r>
    </w:p>
    <w:p>
      <w:pPr>
        <w:spacing w:after="0" w:line="31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Guarantee</w:t>
      </w:r>
    </w:p>
    <w:p>
      <w:pPr>
        <w:sectPr>
          <w:pgSz w:w="11900" w:h="16838" w:orient="portrait"/>
          <w:cols w:equalWidth="0" w:num="1">
            <w:col w:w="11280"/>
          </w:cols>
          <w:pgMar w:left="240" w:top="935" w:right="379" w:bottom="1440" w:gutter="0" w:footer="0" w:header="0"/>
        </w:sectPr>
      </w:pPr>
    </w:p>
    <w:bookmarkStart w:id="67" w:name="page68"/>
    <w:bookmarkEnd w:id="67"/>
    <w:p>
      <w:pPr>
        <w:ind w:left="10580"/>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1706880" cy="1974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06880" cy="19748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440"/>
        <w:spacing w:after="0"/>
        <w:rPr>
          <w:sz w:val="20"/>
          <w:szCs w:val="20"/>
          <w:color w:val="auto"/>
        </w:rPr>
      </w:pPr>
      <w:r>
        <w:rPr>
          <w:rFonts w:ascii="Arial" w:cs="Arial" w:eastAsia="Arial" w:hAnsi="Arial"/>
          <w:sz w:val="17"/>
          <w:szCs w:val="17"/>
          <w:color w:val="auto"/>
        </w:rPr>
        <w:t>ONE SHELL PLAZA</w:t>
      </w:r>
    </w:p>
    <w:p>
      <w:pPr>
        <w:spacing w:after="0" w:line="3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910 LOUISIANA</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77002-4995</w:t>
      </w:r>
    </w:p>
    <w:p>
      <w:pPr>
        <w:spacing w:after="0" w:line="211"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TEL +1 713.229.1234</w:t>
      </w:r>
    </w:p>
    <w:p>
      <w:pPr>
        <w:spacing w:after="0" w:line="46"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FAX +1 713.229.1522</w:t>
      </w:r>
    </w:p>
    <w:p>
      <w:pPr>
        <w:spacing w:after="0" w:line="32" w:lineRule="exact"/>
        <w:rPr>
          <w:sz w:val="20"/>
          <w:szCs w:val="20"/>
          <w:color w:val="auto"/>
        </w:rPr>
      </w:pPr>
    </w:p>
    <w:p>
      <w:pPr>
        <w:ind w:left="7440"/>
        <w:spacing w:after="0"/>
        <w:rPr>
          <w:sz w:val="20"/>
          <w:szCs w:val="20"/>
          <w:color w:val="auto"/>
        </w:rPr>
      </w:pPr>
      <w:r>
        <w:rPr>
          <w:rFonts w:ascii="Arial" w:cs="Arial" w:eastAsia="Arial" w:hAnsi="Arial"/>
          <w:sz w:val="17"/>
          <w:szCs w:val="17"/>
          <w:color w:val="auto"/>
        </w:rPr>
        <w:t>www.bakerbotts.com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AUSTIN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MOSCOW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RIYADH</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WASHINGTON</w:t>
      </w:r>
    </w:p>
    <w:p>
      <w:pPr>
        <w:spacing w:after="0" w:line="200" w:lineRule="exact"/>
        <w:rPr>
          <w:sz w:val="20"/>
          <w:szCs w:val="20"/>
          <w:color w:val="auto"/>
        </w:rPr>
      </w:pPr>
    </w:p>
    <w:p>
      <w:pPr>
        <w:sectPr>
          <w:pgSz w:w="11900" w:h="16838" w:orient="portrait"/>
          <w:cols w:equalWidth="0" w:num="2">
            <w:col w:w="9040" w:space="720"/>
            <w:col w:w="1660"/>
          </w:cols>
          <w:pgMar w:left="240" w:top="121" w:right="239" w:bottom="1440" w:gutter="0" w:footer="0" w:header="0"/>
          <w:type w:val="continuous"/>
        </w:sectPr>
      </w:pP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August 29,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60" w:firstLine="222"/>
        <w:spacing w:after="0" w:line="291" w:lineRule="auto"/>
        <w:rPr>
          <w:sz w:val="20"/>
          <w:szCs w:val="20"/>
          <w:color w:val="auto"/>
        </w:rPr>
      </w:pPr>
      <w:r>
        <w:rPr>
          <w:rFonts w:ascii="Arial" w:cs="Arial" w:eastAsia="Arial" w:hAnsi="Arial"/>
          <w:sz w:val="16"/>
          <w:szCs w:val="16"/>
          <w:color w:val="auto"/>
        </w:rPr>
        <w:t>Waste Management, Inc., a Delaware corporation (the “Company”), and Waste Management Holdings, Inc., a Delaware corporation (“Holdings”), have engaged us to render the opinions expressed below in connection with the Company’s proposed issuance of $500,000,000 aggregate principal amount of</w:t>
      </w:r>
    </w:p>
    <w:p>
      <w:pPr>
        <w:ind w:right="140"/>
        <w:spacing w:after="0" w:line="254" w:lineRule="auto"/>
        <w:rPr>
          <w:sz w:val="20"/>
          <w:szCs w:val="20"/>
          <w:color w:val="auto"/>
        </w:rPr>
      </w:pPr>
      <w:r>
        <w:rPr>
          <w:rFonts w:ascii="Arial" w:cs="Arial" w:eastAsia="Arial" w:hAnsi="Arial"/>
          <w:sz w:val="18"/>
          <w:szCs w:val="18"/>
          <w:color w:val="auto"/>
        </w:rPr>
        <w:t>2.60% Senior Notes due 2016 (the “Notes”) and the issuance of the related guarantee of the Notes by Holdings (the “Guarantee”), as contemplated by the Registration Statement on Form S-3 (Registration No. 333-162059) (the “Registration Statement”), filed with the Securities and Exchange Commission (the “Commission”) under the Securities Act of 1933, as amended (the “Act”), relating to the offering of securities of the Company and of Holdings from time to time pursuant to Rule 415 under the Act.</w:t>
      </w:r>
    </w:p>
    <w:p>
      <w:pPr>
        <w:spacing w:after="0" w:line="82"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Registration Statement has been filed with the Commission and became effective upon filing. The Company’s prospectus dated September 22, 2009 and prospectus supplement dated August 24, 2011 relating to the Notes (collectively, the “Prospectus”) have been filed with the Commission pursuant to Rule 424(b) under the Act.</w:t>
      </w:r>
    </w:p>
    <w:p>
      <w:pPr>
        <w:spacing w:after="0" w:line="73" w:lineRule="exact"/>
        <w:rPr>
          <w:sz w:val="20"/>
          <w:szCs w:val="20"/>
          <w:color w:val="auto"/>
        </w:rPr>
      </w:pPr>
    </w:p>
    <w:p>
      <w:pPr>
        <w:ind w:right="80" w:firstLine="222"/>
        <w:spacing w:after="0" w:line="276" w:lineRule="auto"/>
        <w:rPr>
          <w:sz w:val="20"/>
          <w:szCs w:val="20"/>
          <w:color w:val="auto"/>
        </w:rPr>
      </w:pPr>
      <w:r>
        <w:rPr>
          <w:rFonts w:ascii="Arial" w:cs="Arial" w:eastAsia="Arial" w:hAnsi="Arial"/>
          <w:sz w:val="17"/>
          <w:szCs w:val="17"/>
          <w:color w:val="auto"/>
        </w:rPr>
        <w:t>The Company and Holdings entered into an Underwriting Agreement (the “Underwriting Agreement”), dated August 24, 2011, with Credit Suisse Securities (USA) LLC, J.P. Morgan Securities LLC, and Wells Fargo Securities, LLC, as representatives of the underwriters named therein (the “Underwriters”), relating to the issuance and sale by the Company to the Underwriters of the Notes to be issued pursuant to an Indenture (the “Indenture”) dated as of September 10, 1997 between the Company, formerly known as USA Waste Services, Inc., and The Bank of New York Mellon Trust Company, N. A., as the current successor to Texas Commerce Bank National Association, as trustee (the “Trustee”).</w:t>
      </w:r>
    </w:p>
    <w:p>
      <w:pPr>
        <w:spacing w:after="0" w:line="64" w:lineRule="exact"/>
        <w:rPr>
          <w:sz w:val="20"/>
          <w:szCs w:val="20"/>
          <w:color w:val="auto"/>
        </w:rPr>
      </w:pPr>
    </w:p>
    <w:p>
      <w:pPr>
        <w:ind w:right="180" w:firstLine="225"/>
        <w:spacing w:after="0" w:line="297" w:lineRule="auto"/>
        <w:rPr>
          <w:sz w:val="20"/>
          <w:szCs w:val="20"/>
          <w:color w:val="auto"/>
        </w:rPr>
      </w:pPr>
      <w:r>
        <w:rPr>
          <w:rFonts w:ascii="Arial" w:cs="Arial" w:eastAsia="Arial" w:hAnsi="Arial"/>
          <w:sz w:val="16"/>
          <w:szCs w:val="16"/>
          <w:color w:val="auto"/>
        </w:rPr>
        <w:t>In our capacity as counsel to the Company and Holdings in connection with the matters referred to above, we have examined the following: (i) the Third Restated Certificate of Incorporation and the Amended and Restated Bylaws of the Company, each as amended to date; (ii) the Third Restated Certificate of Incorporation and Bylaws of Holdings, each as amended to date; (iii) the Indenture; (iv) the Officers’ Certificate delivered pursuant to Section 301 of the Indenture; (v) the Guarantee to be entered into by Holdings in favor of the holders of the Notes concurrently with the issuance of the Notes under the Indenture (the “Guarantee Agreement”); (vi) the Underwriting Agreement; (vii) the Registration Statement and the Prospectus; and (viii) originals,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356235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8" w:name="page69"/>
    <w:bookmarkEnd w:id="68"/>
    <w:p>
      <w:pPr>
        <w:spacing w:after="0"/>
        <w:tabs>
          <w:tab w:leader="none" w:pos="5560" w:val="left"/>
          <w:tab w:leader="none" w:pos="102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14046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137160"/>
                    </a:xfrm>
                    <a:prstGeom prst="rect">
                      <a:avLst/>
                    </a:prstGeom>
                    <a:noFill/>
                  </pic:spPr>
                </pic:pic>
              </a:graphicData>
            </a:graphic>
          </wp:anchor>
        </w:drawing>
        <w:t>Waste Management, Inc.</w:t>
      </w:r>
      <w:r>
        <w:rPr>
          <w:sz w:val="20"/>
          <w:szCs w:val="20"/>
          <w:color w:val="auto"/>
        </w:rPr>
        <w:tab/>
      </w:r>
      <w:r>
        <w:rPr>
          <w:rFonts w:ascii="Arial" w:cs="Arial" w:eastAsia="Arial" w:hAnsi="Arial"/>
          <w:sz w:val="18"/>
          <w:szCs w:val="18"/>
          <w:color w:val="auto"/>
        </w:rPr>
        <w:t>- 2 -</w:t>
      </w:r>
      <w:r>
        <w:rPr>
          <w:sz w:val="20"/>
          <w:szCs w:val="20"/>
          <w:color w:val="auto"/>
        </w:rPr>
        <w:tab/>
      </w:r>
      <w:r>
        <w:rPr>
          <w:rFonts w:ascii="Arial" w:cs="Arial" w:eastAsia="Arial" w:hAnsi="Arial"/>
          <w:sz w:val="16"/>
          <w:szCs w:val="16"/>
          <w:color w:val="auto"/>
        </w:rPr>
        <w:t>August 29, 2011</w:t>
      </w:r>
    </w:p>
    <w:p>
      <w:pPr>
        <w:spacing w:after="0" w:line="117"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copies certified or otherwise identified, of corporate records of the Company and Holdings, certificates of public officials and of representatives of the Company and Holdings, statutes and other instruments and documents as a basis for the opinions hereinafter expressed. We have relied upon certificates of officers of the Company and Holdings and of public officials with respect to the accuracy of the material factual matters contained in such certificates. In making our examination, we have assumed that all signatures on documents examined by us are genuine, all documents submitted to us as originals are authentic and all documents submitted to us as certified or photostatic copies conformed with the originals of such documents.</w:t>
      </w:r>
    </w:p>
    <w:p>
      <w:pPr>
        <w:spacing w:after="0" w:line="50"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In connection with this opinion, we have assumed that the Notes will be issued and sold in compliance with applicable federal and state securities laws and in the manner stated in the Registration Statement and the Prospectus.</w:t>
      </w:r>
    </w:p>
    <w:p>
      <w:pPr>
        <w:spacing w:after="0" w:line="62"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On the basis of the foregoing, and subject to the assumptions, limitations and qualifications set forth herein, we are of the opinion that (i) the Notes will, when they have been duly authorized, executed, authenticated, issued and delivered in accordance with the provisions of the Indenture and duly purchased and paid for in accordance with the terms of the Underwriting Agreement, constitute legal, valid and binding obligations of the Company, enforceable against it in accordance with their terms, except to the extent that the enforceability thereof may be limited by bankruptcy, fraudulent conveyance, insolvency, reorganization, moratorium or other laws relating to or affecting creditors’ rights generally and by general principles of equity (regardless of whether such enforcement is considered in a proceeding in equity or at law), which principles may include implied duties of good faith and fair dealing; and (ii) the Guarantee will, when Holdings has duly authorized, executed and delivered the Guarantee Agreement and the Notes have been duly authorized, executed, authenticated, issued and delivered in accordance with the provisions of the Indenture and duly purchased and paid for in accordance with the terms of the Underwriting Agreement, constitute a legal, valid and binding obligation of Holdings, enforceable against it in accordance with its terms, except to the extent that the enforceability thereof may be limited by bankruptcy, fraudulent conveyance, insolvency, reorganization, moratorium or other laws relating to or affecting creditors’ rights generally and by general principles of equity (regardless of whether such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67"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opinions set forth above are limited in all respects to matters of the General Corporation Law of the State of Delaware, the contract law of the State of New York, and applicable federal laws of the United States, each as currently in effect.</w:t>
      </w:r>
    </w:p>
    <w:p>
      <w:pPr>
        <w:spacing w:after="0" w:line="62"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We hereby consent to the filing of this opinion of counsel as Exhibit 5.1 to the Current Report on Form 8-K and to the incorporation by reference of this opinion of counsel into the Registration Statement. We also consent to the reference to our Firm under the heading “Legal Matters” in the Prospectus. In giving this consent, we do not thereby admit that we are in the category of persons whose consent is required under Section 7 of the Act and the rules and regulations of the Commission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69" w:name="page70"/>
    <w:bookmarkEnd w:id="69"/>
    <w:p>
      <w:pPr>
        <w:spacing w:after="0"/>
        <w:tabs>
          <w:tab w:leader="none" w:pos="5560" w:val="left"/>
          <w:tab w:leader="none" w:pos="102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14046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140460" cy="137160"/>
                    </a:xfrm>
                    <a:prstGeom prst="rect">
                      <a:avLst/>
                    </a:prstGeom>
                    <a:noFill/>
                  </pic:spPr>
                </pic:pic>
              </a:graphicData>
            </a:graphic>
          </wp:anchor>
        </w:drawing>
        <w:t>Waste Management, Inc.</w:t>
      </w:r>
      <w:r>
        <w:rPr>
          <w:sz w:val="20"/>
          <w:szCs w:val="20"/>
          <w:color w:val="auto"/>
        </w:rPr>
        <w:tab/>
      </w:r>
      <w:r>
        <w:rPr>
          <w:rFonts w:ascii="Arial" w:cs="Arial" w:eastAsia="Arial" w:hAnsi="Arial"/>
          <w:sz w:val="18"/>
          <w:szCs w:val="18"/>
          <w:color w:val="auto"/>
        </w:rPr>
        <w:t>- 3 -</w:t>
      </w:r>
      <w:r>
        <w:rPr>
          <w:sz w:val="20"/>
          <w:szCs w:val="20"/>
          <w:color w:val="auto"/>
        </w:rPr>
        <w:tab/>
      </w:r>
      <w:r>
        <w:rPr>
          <w:rFonts w:ascii="Arial" w:cs="Arial" w:eastAsia="Arial" w:hAnsi="Arial"/>
          <w:sz w:val="16"/>
          <w:szCs w:val="16"/>
          <w:color w:val="auto"/>
        </w:rPr>
        <w:t>August 29, 2011</w:t>
      </w: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Baker Botts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KBR/JAR/JAA/SEB</w:t>
      </w:r>
    </w:p>
    <w:sectPr>
      <w:pgSz w:w="11900" w:h="16838" w:orient="portrait"/>
      <w:cols w:equalWidth="0" w:num="1">
        <w:col w:w="11420"/>
      </w:cols>
      <w:pgMar w:left="240" w:top="11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o"/>
      <w:numFmt w:val="bullet"/>
      <w:start w:val="1"/>
    </w:lvl>
  </w:abstractNum>
  <w:abstractNum w:abstractNumId="1">
    <w:nsid w:val="614FD4A1"/>
    <w:multiLevelType w:val="hybridMultilevel"/>
    <w:lvl w:ilvl="0">
      <w:lvlJc w:val="left"/>
      <w:lvlText w:val="%1."/>
      <w:numFmt w:val="decimal"/>
      <w:start w:val="1"/>
    </w:lvl>
    <w:lvl w:ilvl="1">
      <w:lvlJc w:val="left"/>
      <w:lvlText w:val="(%2)"/>
      <w:numFmt w:val="lowerLetter"/>
      <w:start w:val="1"/>
    </w:lvl>
  </w:abstractNum>
  <w:abstractNum w:abstractNumId="2">
    <w:nsid w:val="419AC241"/>
    <w:multiLevelType w:val="hybridMultilevel"/>
    <w:lvl w:ilvl="0">
      <w:lvlJc w:val="left"/>
      <w:lvlText w:val="(%1)"/>
      <w:numFmt w:val="lowerLetter"/>
      <w:start w:val="3"/>
    </w:lvl>
  </w:abstractNum>
  <w:abstractNum w:abstractNumId="3">
    <w:nsid w:val="5577F8E1"/>
    <w:multiLevelType w:val="hybridMultilevel"/>
    <w:lvl w:ilvl="0">
      <w:lvlJc w:val="left"/>
      <w:lvlText w:val="(%1)"/>
      <w:numFmt w:val="lowerLetter"/>
      <w:start w:val="5"/>
    </w:lvl>
  </w:abstractNum>
  <w:abstractNum w:abstractNumId="4">
    <w:nsid w:val="440BADFC"/>
    <w:multiLevelType w:val="hybridMultilevel"/>
    <w:lvl w:ilvl="0">
      <w:lvlJc w:val="left"/>
      <w:lvlText w:val="(%1)"/>
      <w:numFmt w:val="lowerLetter"/>
      <w:start w:val="9"/>
    </w:lvl>
  </w:abstractNum>
  <w:abstractNum w:abstractNumId="5">
    <w:nsid w:val="5072367"/>
    <w:multiLevelType w:val="hybridMultilevel"/>
    <w:lvl w:ilvl="0">
      <w:lvlJc w:val="left"/>
      <w:lvlText w:val="(%1)"/>
      <w:numFmt w:val="lowerLetter"/>
      <w:start w:val="13"/>
    </w:lvl>
  </w:abstractNum>
  <w:abstractNum w:abstractNumId="6">
    <w:nsid w:val="3804823E"/>
    <w:multiLevelType w:val="hybridMultilevel"/>
    <w:lvl w:ilvl="0">
      <w:lvlJc w:val="left"/>
      <w:lvlText w:val="(%1)"/>
      <w:numFmt w:val="lowerLetter"/>
      <w:start w:val="17"/>
    </w:lvl>
  </w:abstractNum>
  <w:abstractNum w:abstractNumId="7">
    <w:nsid w:val="77465F01"/>
    <w:multiLevelType w:val="hybridMultilevel"/>
    <w:lvl w:ilvl="0">
      <w:lvlJc w:val="left"/>
      <w:lvlText w:val="(%1)"/>
      <w:numFmt w:val="lowerLetter"/>
      <w:start w:val="23"/>
    </w:lvl>
  </w:abstractNum>
  <w:abstractNum w:abstractNumId="8">
    <w:nsid w:val="7724C67E"/>
    <w:multiLevelType w:val="hybridMultilevel"/>
    <w:lvl w:ilvl="0">
      <w:lvlJc w:val="left"/>
      <w:lvlText w:val="(%1)"/>
      <w:numFmt w:val="lowerLetter"/>
      <w:start w:val="27"/>
    </w:lvl>
  </w:abstractNum>
  <w:abstractNum w:abstractNumId="9">
    <w:nsid w:val="5C482A97"/>
    <w:multiLevelType w:val="hybridMultilevel"/>
    <w:lvl w:ilvl="0">
      <w:lvlJc w:val="left"/>
      <w:lvlText w:val="%1"/>
      <w:numFmt w:val="lowerLetter"/>
      <w:start w:val="1"/>
    </w:lvl>
    <w:lvl w:ilvl="1">
      <w:lvlJc w:val="left"/>
      <w:lvlText w:val="(%2)"/>
      <w:numFmt w:val="lowerLetter"/>
      <w:start w:val="28"/>
    </w:lvl>
  </w:abstractNum>
  <w:abstractNum w:abstractNumId="10">
    <w:nsid w:val="2463B9EA"/>
    <w:multiLevelType w:val="hybridMultilevel"/>
    <w:lvl w:ilvl="0">
      <w:lvlJc w:val="left"/>
      <w:lvlText w:val="(%1)"/>
      <w:numFmt w:val="lowerLetter"/>
      <w:start w:val="9"/>
    </w:lvl>
    <w:lvl w:ilvl="1">
      <w:lvlJc w:val="left"/>
      <w:lvlText w:val="%2"/>
      <w:numFmt w:val="lowerLetter"/>
      <w:start w:val="1"/>
    </w:lvl>
  </w:abstractNum>
  <w:abstractNum w:abstractNumId="11">
    <w:nsid w:val="5E884ADC"/>
    <w:multiLevelType w:val="hybridMultilevel"/>
    <w:lvl w:ilvl="0">
      <w:lvlJc w:val="left"/>
      <w:lvlText w:val="(%1)"/>
      <w:numFmt w:val="lowerLetter"/>
      <w:start w:val="61"/>
    </w:lvl>
    <w:lvl w:ilvl="1">
      <w:lvlJc w:val="left"/>
      <w:lvlText w:val="(%2)"/>
      <w:numFmt w:val="lowerLetter"/>
      <w:start w:val="31"/>
    </w:lvl>
  </w:abstractNum>
  <w:abstractNum w:abstractNumId="12">
    <w:nsid w:val="51EAD36B"/>
    <w:multiLevelType w:val="hybridMultilevel"/>
    <w:lvl w:ilvl="0">
      <w:lvlJc w:val="left"/>
      <w:lvlText w:val="(%1)"/>
      <w:numFmt w:val="lowerLetter"/>
      <w:start w:val="32"/>
    </w:lvl>
  </w:abstractNum>
  <w:abstractNum w:abstractNumId="13">
    <w:nsid w:val="2D517796"/>
    <w:multiLevelType w:val="hybridMultilevel"/>
    <w:lvl w:ilvl="0">
      <w:lvlJc w:val="left"/>
      <w:lvlText w:val="(%1)"/>
      <w:numFmt w:val="lowerLetter"/>
      <w:start w:val="35"/>
    </w:lvl>
  </w:abstractNum>
  <w:abstractNum w:abstractNumId="14">
    <w:nsid w:val="580BD78F"/>
    <w:multiLevelType w:val="hybridMultilevel"/>
    <w:lvl w:ilvl="0">
      <w:lvlJc w:val="left"/>
      <w:lvlText w:val="(%1)"/>
      <w:numFmt w:val="lowerLetter"/>
      <w:start w:val="40"/>
    </w:lvl>
  </w:abstractNum>
  <w:abstractNum w:abstractNumId="15">
    <w:nsid w:val="153EA438"/>
    <w:multiLevelType w:val="hybridMultilevel"/>
    <w:lvl w:ilvl="0">
      <w:lvlJc w:val="left"/>
      <w:lvlText w:val="%1."/>
      <w:numFmt w:val="decimal"/>
      <w:start w:val="2"/>
    </w:lvl>
  </w:abstractNum>
  <w:abstractNum w:abstractNumId="16">
    <w:nsid w:val="3855585C"/>
    <w:multiLevelType w:val="hybridMultilevel"/>
    <w:lvl w:ilvl="0">
      <w:lvlJc w:val="left"/>
      <w:lvlText w:val="%1."/>
      <w:numFmt w:val="decimal"/>
      <w:start w:val="3"/>
    </w:lvl>
  </w:abstractNum>
  <w:abstractNum w:abstractNumId="17">
    <w:nsid w:val="70A64E2A"/>
    <w:multiLevelType w:val="hybridMultilevel"/>
    <w:lvl w:ilvl="0">
      <w:lvlJc w:val="left"/>
      <w:lvlText w:val="%1."/>
      <w:numFmt w:val="decimal"/>
      <w:start w:val="5"/>
    </w:lvl>
    <w:lvl w:ilvl="1">
      <w:lvlJc w:val="left"/>
      <w:lvlText w:val="(%2)"/>
      <w:numFmt w:val="lowerLetter"/>
      <w:start w:val="1"/>
    </w:lvl>
  </w:abstractNum>
  <w:abstractNum w:abstractNumId="18">
    <w:nsid w:val="6A2342EC"/>
    <w:multiLevelType w:val="hybridMultilevel"/>
    <w:lvl w:ilvl="0">
      <w:lvlJc w:val="left"/>
      <w:lvlText w:val="(%1)"/>
      <w:numFmt w:val="lowerLetter"/>
      <w:start w:val="4"/>
    </w:lvl>
  </w:abstractNum>
  <w:abstractNum w:abstractNumId="19">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8"/>
    </w:lvl>
  </w:abstractNum>
  <w:abstractNum w:abstractNumId="20">
    <w:nsid w:val="1D4ED43B"/>
    <w:multiLevelType w:val="hybridMultilevel"/>
    <w:lvl w:ilvl="0">
      <w:lvlJc w:val="left"/>
      <w:lvlText w:val="%1."/>
      <w:numFmt w:val="decimal"/>
      <w:start w:val="6"/>
    </w:lvl>
    <w:lvl w:ilvl="1">
      <w:lvlJc w:val="left"/>
      <w:lvlText w:val="(%2)"/>
      <w:numFmt w:val="lowerLetter"/>
      <w:start w:val="8"/>
    </w:lvl>
    <w:lvl w:ilvl="2">
      <w:lvlJc w:val="left"/>
      <w:lvlText w:val="(%3)"/>
      <w:numFmt w:val="lowerLetter"/>
      <w:start w:val="1"/>
    </w:lvl>
  </w:abstractNum>
  <w:abstractNum w:abstractNumId="21">
    <w:nsid w:val="725A06F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2">
    <w:nsid w:val="2CD89A3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3">
    <w:nsid w:val="57E4CCAF"/>
    <w:multiLevelType w:val="hybridMultilevel"/>
    <w:lvl w:ilvl="0">
      <w:lvlJc w:val="left"/>
      <w:lvlText w:val="(%1)"/>
      <w:numFmt w:val="lowerRoman"/>
      <w:start w:val="4"/>
    </w:lvl>
  </w:abstractNum>
  <w:abstractNum w:abstractNumId="24">
    <w:nsid w:val="7A6D8D3C"/>
    <w:multiLevelType w:val="hybridMultilevel"/>
    <w:lvl w:ilvl="0">
      <w:lvlJc w:val="left"/>
      <w:lvlText w:val="(%1)"/>
      <w:numFmt w:val="lowerRoman"/>
      <w:start w:val="9"/>
    </w:lvl>
  </w:abstractNum>
  <w:abstractNum w:abstractNumId="25">
    <w:nsid w:val="4B588F54"/>
    <w:multiLevelType w:val="hybridMultilevel"/>
    <w:lvl w:ilvl="0">
      <w:lvlJc w:val="left"/>
      <w:lvlText w:val="(%1)"/>
      <w:numFmt w:val="decimal"/>
      <w:start w:val="2"/>
    </w:lvl>
  </w:abstractNum>
  <w:abstractNum w:abstractNumId="26">
    <w:nsid w:val="542289EC"/>
    <w:multiLevelType w:val="hybridMultilevel"/>
    <w:lvl w:ilvl="0">
      <w:lvlJc w:val="left"/>
      <w:lvlText w:val="(%1)"/>
      <w:numFmt w:val="lowerLetter"/>
      <w:start w:val="2"/>
    </w:lvl>
    <w:lvl w:ilvl="1">
      <w:lvlJc w:val="left"/>
      <w:lvlText w:val="(%2)"/>
      <w:numFmt w:val="lowerLetter"/>
      <w:start w:val="3"/>
    </w:lvl>
    <w:lvl w:ilvl="2">
      <w:lvlJc w:val="left"/>
      <w:lvlText w:val="(%3)"/>
      <w:numFmt w:val="lowerRoman"/>
      <w:start w:val="1"/>
    </w:lvl>
  </w:abstractNum>
  <w:abstractNum w:abstractNumId="27">
    <w:nsid w:val="6DE91B18"/>
    <w:multiLevelType w:val="hybridMultilevel"/>
    <w:lvl w:ilvl="0">
      <w:lvlJc w:val="left"/>
      <w:lvlText w:val="(%1)"/>
      <w:numFmt w:val="lowerRoman"/>
      <w:start w:val="3"/>
    </w:lvl>
  </w:abstractNum>
  <w:abstractNum w:abstractNumId="28">
    <w:nsid w:val="38437FDB"/>
    <w:multiLevelType w:val="hybridMultilevel"/>
    <w:lvl w:ilvl="0">
      <w:lvlJc w:val="left"/>
      <w:lvlText w:val="(%1)"/>
      <w:numFmt w:val="lowerLetter"/>
      <w:start w:val="4"/>
    </w:lvl>
  </w:abstractNum>
  <w:abstractNum w:abstractNumId="29">
    <w:nsid w:val="7644A45C"/>
    <w:multiLevelType w:val="hybridMultilevel"/>
    <w:lvl w:ilvl="0">
      <w:lvlJc w:val="left"/>
      <w:lvlText w:val="(%1)"/>
      <w:numFmt w:val="lowerLetter"/>
      <w:start w:val="5"/>
    </w:lvl>
    <w:lvl w:ilvl="1">
      <w:lvlJc w:val="left"/>
      <w:lvlText w:val="(%2)"/>
      <w:numFmt w:val="lowerRoman"/>
      <w:start w:val="1"/>
    </w:lvl>
  </w:abstractNum>
  <w:abstractNum w:abstractNumId="30">
    <w:nsid w:val="32FFF902"/>
    <w:multiLevelType w:val="hybridMultilevel"/>
    <w:lvl w:ilvl="0">
      <w:lvlJc w:val="left"/>
      <w:lvlText w:val="(%1)"/>
      <w:numFmt w:val="lowerRoman"/>
      <w:start w:val="2"/>
    </w:lvl>
  </w:abstractNum>
  <w:abstractNum w:abstractNumId="31">
    <w:nsid w:val="684A481A"/>
    <w:multiLevelType w:val="hybridMultilevel"/>
    <w:lvl w:ilvl="0">
      <w:lvlJc w:val="left"/>
      <w:lvlText w:val="(%1)"/>
      <w:numFmt w:val="lowerLetter"/>
      <w:start w:val="7"/>
    </w:lvl>
  </w:abstractNum>
  <w:abstractNum w:abstractNumId="32">
    <w:nsid w:val="579478FE"/>
    <w:multiLevelType w:val="hybridMultilevel"/>
    <w:lvl w:ilvl="0">
      <w:lvlJc w:val="left"/>
      <w:lvlText w:val="(%1)"/>
      <w:numFmt w:val="lowerLetter"/>
      <w:start w:val="9"/>
    </w:lvl>
    <w:lvl w:ilvl="1">
      <w:lvlJc w:val="left"/>
      <w:lvlText w:val="(%2)"/>
      <w:numFmt w:val="lowerLetter"/>
      <w:start w:val="8"/>
    </w:lvl>
  </w:abstractNum>
  <w:abstractNum w:abstractNumId="33">
    <w:nsid w:val="749ABB43"/>
    <w:multiLevelType w:val="hybridMultilevel"/>
    <w:lvl w:ilvl="0">
      <w:lvlJc w:val="left"/>
      <w:lvlText w:val="%1."/>
      <w:numFmt w:val="decimal"/>
      <w:start w:val="8"/>
    </w:lvl>
  </w:abstractNum>
  <w:abstractNum w:abstractNumId="34">
    <w:nsid w:val="3DC240FB"/>
    <w:multiLevelType w:val="hybridMultilevel"/>
    <w:lvl w:ilvl="0">
      <w:lvlJc w:val="left"/>
      <w:lvlText w:val="(%1)"/>
      <w:numFmt w:val="lowerLetter"/>
      <w:start w:val="2"/>
    </w:lvl>
  </w:abstractNum>
  <w:abstractNum w:abstractNumId="35">
    <w:nsid w:val="1BA026FA"/>
    <w:multiLevelType w:val="hybridMultilevel"/>
    <w:lvl w:ilvl="0">
      <w:lvlJc w:val="left"/>
      <w:lvlText w:val="(%1)"/>
      <w:numFmt w:val="lowerLetter"/>
      <w:start w:val="4"/>
    </w:lvl>
  </w:abstractNum>
  <w:abstractNum w:abstractNumId="36">
    <w:nsid w:val="79A1DEAA"/>
    <w:multiLevelType w:val="hybridMultilevel"/>
    <w:lvl w:ilvl="0">
      <w:lvlJc w:val="left"/>
      <w:lvlText w:val="%1."/>
      <w:numFmt w:val="decimal"/>
      <w:start w:val="10"/>
    </w:lvl>
  </w:abstractNum>
  <w:abstractNum w:abstractNumId="37">
    <w:nsid w:val="75C6C33A"/>
    <w:multiLevelType w:val="hybridMultilevel"/>
    <w:lvl w:ilvl="0">
      <w:lvlJc w:val="left"/>
      <w:lvlText w:val="%1."/>
      <w:numFmt w:val="decimal"/>
      <w:start w:val="11"/>
    </w:lvl>
  </w:abstractNum>
  <w:abstractNum w:abstractNumId="38">
    <w:nsid w:val="12E685FB"/>
    <w:multiLevelType w:val="hybridMultilevel"/>
    <w:lvl w:ilvl="0">
      <w:lvlJc w:val="left"/>
      <w:lvlText w:val="%1."/>
      <w:numFmt w:val="decimal"/>
      <w:start w:val="16"/>
    </w:lvl>
  </w:abstractNum>
  <w:abstractNum w:abstractNumId="39">
    <w:nsid w:val="70C6A529"/>
    <w:multiLevelType w:val="hybridMultilevel"/>
    <w:lvl w:ilvl="0">
      <w:lvlJc w:val="left"/>
      <w:lvlText w:val="%1."/>
      <w:numFmt w:val="decimal"/>
      <w:start w:val="19"/>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decimal"/>
      <w:start w:val="8"/>
    </w:lvl>
  </w:abstractNum>
  <w:abstractNum w:abstractNumId="43">
    <w:nsid w:val="23F9C13C"/>
    <w:multiLevelType w:val="hybridMultilevel"/>
    <w:lvl w:ilvl="0">
      <w:lvlJc w:val="left"/>
      <w:lvlText w:val="%1."/>
      <w:numFmt w:val="decimal"/>
      <w:start w:val="1"/>
    </w:lvl>
  </w:abstractNum>
  <w:abstractNum w:abstractNumId="44">
    <w:nsid w:val="649BB77C"/>
    <w:multiLevelType w:val="hybridMultilevel"/>
    <w:lvl w:ilvl="0">
      <w:lvlJc w:val="left"/>
      <w:lvlText w:val="%1."/>
      <w:numFmt w:val="decimal"/>
      <w:start w:val="2"/>
    </w:lvl>
  </w:abstractNum>
  <w:abstractNum w:abstractNumId="45">
    <w:nsid w:val="275AC794"/>
    <w:multiLevelType w:val="hybridMultilevel"/>
    <w:lvl w:ilvl="0">
      <w:lvlJc w:val="left"/>
      <w:lvlText w:val="%1."/>
      <w:numFmt w:val="decimal"/>
      <w:start w:val="3"/>
    </w:lvl>
  </w:abstractNum>
  <w:abstractNum w:abstractNumId="46">
    <w:nsid w:val="39386575"/>
    <w:multiLevelType w:val="hybridMultilevel"/>
    <w:lvl w:ilvl="0">
      <w:lvlJc w:val="left"/>
      <w:lvlText w:val="%1."/>
      <w:numFmt w:val="decimal"/>
      <w:start w:val="4"/>
    </w:lvl>
  </w:abstractNum>
  <w:abstractNum w:abstractNumId="47">
    <w:nsid w:val="1CF10FD8"/>
    <w:multiLevelType w:val="hybridMultilevel"/>
    <w:lvl w:ilvl="0">
      <w:lvlJc w:val="left"/>
      <w:lvlText w:val="%1."/>
      <w:numFmt w:val="decimal"/>
      <w:start w:val="5"/>
    </w:lvl>
  </w:abstractNum>
  <w:abstractNum w:abstractNumId="48">
    <w:nsid w:val="180115BE"/>
    <w:multiLevelType w:val="hybridMultilevel"/>
    <w:lvl w:ilvl="0">
      <w:lvlJc w:val="left"/>
      <w:lvlText w:val="%1."/>
      <w:numFmt w:val="decimal"/>
      <w:start w:val="6"/>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1."/>
      <w:numFmt w:val="decimal"/>
      <w:start w:val="7"/>
    </w:lvl>
  </w:abstractNum>
  <w:abstractNum w:abstractNumId="51">
    <w:nsid w:val="354FE9F9"/>
    <w:multiLevelType w:val="hybridMultilevel"/>
    <w:lvl w:ilvl="0">
      <w:lvlJc w:val="left"/>
      <w:lvlText w:val="%1."/>
      <w:numFmt w:val="decimal"/>
      <w:start w:val="8"/>
    </w:lvl>
  </w:abstractNum>
  <w:abstractNum w:abstractNumId="52">
    <w:nsid w:val="15B5AF5C"/>
    <w:multiLevelType w:val="hybridMultilevel"/>
    <w:lvl w:ilvl="0">
      <w:lvlJc w:val="left"/>
      <w:lvlText w:val="%1."/>
      <w:numFmt w:val="decimal"/>
      <w:start w:val="9"/>
    </w:lvl>
  </w:abstractNum>
  <w:abstractNum w:abstractNumId="53">
    <w:nsid w:val="741226BB"/>
    <w:multiLevelType w:val="hybridMultilevel"/>
    <w:lvl w:ilvl="0">
      <w:lvlJc w:val="left"/>
      <w:lvlText w:val="%1."/>
      <w:numFmt w:val="decimal"/>
      <w:start w:val="10"/>
    </w:lvl>
  </w:abstractNum>
  <w:abstractNum w:abstractNumId="54">
    <w:nsid w:val="D34B6A8"/>
    <w:multiLevelType w:val="hybridMultilevel"/>
    <w:lvl w:ilvl="0">
      <w:lvlJc w:val="left"/>
      <w:lvlText w:val="(%1)"/>
      <w:numFmt w:val="upperLetter"/>
      <w:start w:val="4"/>
    </w:lvl>
  </w:abstractNum>
  <w:abstractNum w:abstractNumId="55">
    <w:nsid w:val="10233C99"/>
    <w:multiLevelType w:val="hybridMultilevel"/>
    <w:lvl w:ilvl="0">
      <w:lvlJc w:val="left"/>
      <w:lvlText w:val="%1."/>
      <w:numFmt w:val="decimal"/>
      <w:start w:val="11"/>
    </w:lvl>
  </w:abstractNum>
  <w:abstractNum w:abstractNumId="56">
    <w:nsid w:val="3F6AB60F"/>
    <w:multiLevelType w:val="hybridMultilevel"/>
    <w:lvl w:ilvl="0">
      <w:lvlJc w:val="left"/>
      <w:lvlText w:val="%1."/>
      <w:numFmt w:val="decimal"/>
      <w:start w:val="12"/>
    </w:lvl>
  </w:abstractNum>
  <w:abstractNum w:abstractNumId="57">
    <w:nsid w:val="61574095"/>
    <w:multiLevelType w:val="hybridMultilevel"/>
    <w:lvl w:ilvl="0">
      <w:lvlJc w:val="left"/>
      <w:lvlText w:val="%1."/>
      <w:numFmt w:val="decimal"/>
      <w:start w:val="13"/>
    </w:lvl>
  </w:abstractNum>
  <w:abstractNum w:abstractNumId="58">
    <w:nsid w:val="7E0C57B1"/>
    <w:multiLevelType w:val="hybridMultilevel"/>
    <w:lvl w:ilvl="0">
      <w:lvlJc w:val="left"/>
      <w:lvlText w:val="%1."/>
      <w:numFmt w:val="decimal"/>
      <w:start w:val="14"/>
    </w:lvl>
  </w:abstractNum>
  <w:abstractNum w:abstractNumId="59">
    <w:nsid w:val="77AE35EB"/>
    <w:multiLevelType w:val="hybridMultilevel"/>
    <w:lvl w:ilvl="0">
      <w:lvlJc w:val="left"/>
      <w:lvlText w:val="%1."/>
      <w:numFmt w:val="decimal"/>
      <w:start w:val="15"/>
    </w:lvl>
  </w:abstractNum>
  <w:abstractNum w:abstractNumId="60">
    <w:nsid w:val="579BE4F1"/>
    <w:multiLevelType w:val="hybridMultilevel"/>
    <w:lvl w:ilvl="0">
      <w:lvlJc w:val="left"/>
      <w:lvlText w:val="%1."/>
      <w:numFmt w:val="decimal"/>
      <w:start w:val="16"/>
    </w:lvl>
  </w:abstractNum>
  <w:abstractNum w:abstractNumId="61">
    <w:nsid w:val="310C50B3"/>
    <w:multiLevelType w:val="hybridMultilevel"/>
    <w:lvl w:ilvl="0">
      <w:lvlJc w:val="left"/>
      <w:lvlText w:val="%1."/>
      <w:numFmt w:val="decimal"/>
      <w:start w:val="17"/>
    </w:lvl>
  </w:abstractNum>
  <w:abstractNum w:abstractNumId="62">
    <w:nsid w:val="5FF87E05"/>
    <w:multiLevelType w:val="hybridMultilevel"/>
    <w:lvl w:ilvl="0">
      <w:lvlJc w:val="left"/>
      <w:lvlText w:val="%1."/>
      <w:numFmt w:val="decimal"/>
      <w:start w:val="18"/>
    </w:lvl>
  </w:abstractNum>
  <w:abstractNum w:abstractNumId="63">
    <w:nsid w:val="2F305DEF"/>
    <w:multiLevelType w:val="hybridMultilevel"/>
    <w:lvl w:ilvl="0">
      <w:lvlJc w:val="left"/>
      <w:lvlText w:val="(%1)"/>
      <w:numFmt w:val="lowerLetter"/>
      <w:start w:val="1"/>
    </w:lvl>
  </w:abstractNum>
  <w:abstractNum w:abstractNumId="64">
    <w:nsid w:val="25A70BF7"/>
    <w:multiLevelType w:val="hybridMultilevel"/>
    <w:lvl w:ilvl="0">
      <w:lvlJc w:val="left"/>
      <w:lvlText w:val="(%1)"/>
      <w:numFmt w:val="lowerRoman"/>
      <w:start w:val="1"/>
    </w:lvl>
  </w:abstractNum>
  <w:abstractNum w:abstractNumId="65">
    <w:nsid w:val="1DBABF0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2019-12-10T07:52:50Z</dcterms:created>
  <dcterms:modified xsi:type="dcterms:W3CDTF">2019-12-10T07:52:50Z</dcterms:modified>
</cp:coreProperties>
</file>