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16, 2005</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ectPr>
          <w:pgSz w:w="11900" w:h="16838" w:orient="portrait"/>
          <w:cols w:equalWidth="0" w:num="1">
            <w:col w:w="11300"/>
          </w:cols>
          <w:pgMar w:left="240" w:top="9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Charter)</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1" w:lineRule="exact"/>
        <w:rPr>
          <w:sz w:val="20"/>
          <w:szCs w:val="20"/>
          <w:color w:val="auto"/>
        </w:rPr>
      </w:pPr>
    </w:p>
    <w:p>
      <w:pPr>
        <w:sectPr>
          <w:pgSz w:w="11900" w:h="16838" w:orient="portrait"/>
          <w:cols w:equalWidth="0" w:num="3">
            <w:col w:w="3400" w:space="360"/>
            <w:col w:w="3920" w:space="700"/>
            <w:col w:w="2920"/>
          </w:cols>
          <w:pgMar w:left="240" w:top="967" w:right="359" w:bottom="1440" w:gutter="0" w:footer="0" w:header="0"/>
          <w:type w:val="continuous"/>
        </w:sectPr>
      </w:pPr>
    </w:p>
    <w:p>
      <w:pPr>
        <w:spacing w:after="0" w:line="7" w:lineRule="exact"/>
        <w:rPr>
          <w:sz w:val="20"/>
          <w:szCs w:val="20"/>
          <w:color w:val="auto"/>
        </w:rPr>
      </w:pPr>
    </w:p>
    <w:p>
      <w:pPr>
        <w:ind w:left="1240" w:right="2200" w:hanging="61"/>
        <w:spacing w:after="0" w:line="261" w:lineRule="auto"/>
        <w:rPr>
          <w:sz w:val="20"/>
          <w:szCs w:val="20"/>
          <w:color w:val="auto"/>
        </w:rPr>
      </w:pPr>
      <w:r>
        <w:rPr>
          <w:rFonts w:ascii="Arial" w:cs="Arial" w:eastAsia="Arial" w:hAnsi="Arial"/>
          <w:sz w:val="18"/>
          <w:szCs w:val="18"/>
          <w:b w:val="1"/>
          <w:bCs w:val="1"/>
          <w:color w:val="auto"/>
        </w:rPr>
        <w:t>1001 Fannin, Suite 4000 Houston, Texas</w:t>
      </w:r>
      <w:r>
        <w:rPr>
          <w:sz w:val="20"/>
          <w:szCs w:val="20"/>
          <w:color w:val="auto"/>
        </w:rPr>
        <w:t xml:space="preserve"> </w:t>
      </w:r>
      <w:r>
        <w:rPr>
          <w:rFonts w:ascii="Arial" w:cs="Arial" w:eastAsia="Arial" w:hAnsi="Arial"/>
          <w:sz w:val="18"/>
          <w:szCs w:val="18"/>
          <w:b w:val="1"/>
          <w:bCs w:val="1"/>
          <w:color w:val="auto"/>
        </w:rPr>
        <w:t xml:space="preserve">77002 </w:t>
      </w:r>
      <w:r>
        <w:rPr>
          <w:rFonts w:ascii="Arial" w:cs="Arial" w:eastAsia="Arial" w:hAnsi="Arial"/>
          <w:sz w:val="18"/>
          <w:szCs w:val="18"/>
          <w:color w:val="auto"/>
        </w:rPr>
        <w:t>(Address of Principal Executive Offices) (Zip Code)</w:t>
      </w:r>
    </w:p>
    <w:p>
      <w:pPr>
        <w:sectPr>
          <w:pgSz w:w="11900" w:h="16838" w:orient="portrait"/>
          <w:cols w:equalWidth="0" w:num="1">
            <w:col w:w="11300"/>
          </w:cols>
          <w:pgMar w:left="240" w:top="967" w:right="359" w:bottom="1440" w:gutter="0" w:footer="0" w:header="0"/>
          <w:type w:val="continuous"/>
        </w:sect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403225</wp:posOffset>
            </wp:positionV>
            <wp:extent cx="391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2"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On June 16, 2005, Waste Management, Inc. (the “Company”) entered into an employment agreement with David A. Aardsma, Senior Vice President — Sales &amp; Marketing, effective as of January 17, 2005. The Company announced in January that Mr. Aardsma had been named Senior Vice President — Sales &amp; Marketing after serving as Vice President of Sales for four years and 28 years of service with the Company or one of its predecessors.</w:t>
      </w:r>
    </w:p>
    <w:p>
      <w:pPr>
        <w:spacing w:after="0" w:line="106" w:lineRule="exact"/>
        <w:rPr>
          <w:sz w:val="20"/>
          <w:szCs w:val="20"/>
          <w:color w:val="auto"/>
        </w:rPr>
      </w:pPr>
    </w:p>
    <w:p>
      <w:pPr>
        <w:ind w:right="40" w:firstLine="222"/>
        <w:spacing w:after="0" w:line="285" w:lineRule="auto"/>
        <w:rPr>
          <w:sz w:val="20"/>
          <w:szCs w:val="20"/>
          <w:color w:val="auto"/>
        </w:rPr>
      </w:pPr>
      <w:r>
        <w:rPr>
          <w:rFonts w:ascii="Arial" w:cs="Arial" w:eastAsia="Arial" w:hAnsi="Arial"/>
          <w:sz w:val="16"/>
          <w:szCs w:val="16"/>
          <w:color w:val="auto"/>
        </w:rPr>
        <w:t>The agreement is for a term of two years, and automatically renews for successive one-year periods thereafter. During the employment period, Mr. Aardsma shall be paid a minimum base salary of $300,000 per year and shall be entitled to a bonus in accordance with the Company’s incentive compensation plan. Mr. Aardsma shall have a target annual bonus of 75% of his base salary, although his actual bonus may range from 0 — 150% of his base salary, depending on the achievement of certain personal and corporate performance goals. Additionally, Mr. Aardsma shall be entitled to certain perquisites, including an annual automobile allowance, financial planning services, social organization initiation fees and dues and an annual physical examination.</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Mr. Aardsma shall also be entitled to participate in or receive benefits under any and all plans and programs made available to executive employees of the Company generally.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event of the termination of Mr. Aardsma’s employment by the Company, he will be entitled to certain severance payments. Specifically, if</w:t>
      </w:r>
    </w:p>
    <w:p>
      <w:pPr>
        <w:spacing w:after="0" w:line="3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Mr. Aardsma is terminated without cause, in addition to the benefits all employees receive, including all accrued but unpaid base salary and payments under applicable Company plans, policies and arrangements, Mr. Aardsma generally is entitled to a cash payment equal to two times his base salary and target bonus; continuation of all health and welfare plan benefits for him and his family for the lesser of two years, his death or until he becomes covered by a subsequent employer; and a pro-rated bonus payment for the year in which he is terminated. In the event Mr. Aardsma is terminated without cause, or leaves the Company for good reason in connection with a change in control, he generally is entitled to the same benefits that he would receive as described for a termination without cause, except that his cash payment will be three times his base salary and target bonus, benefits will continue for a period of three years and he will receive 100% of the maximum bonus available, pro rated to the date of termination. In the event Mr. Aardsma’s employment is terminated by reason of death or total disability, he generally will receive all amounts accrued but unpaid at the date of termination, a pro rated bonus payment and any benefits to which he is entitled pursuant to the plans, policies and arrangements of the Company in accordance with their terms.</w:t>
      </w:r>
    </w:p>
    <w:p>
      <w:pPr>
        <w:spacing w:after="0" w:line="13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Mr. Aardsma’s agreement also contains certain restrictive covenants, including covenants not to compete or solicit Company customers or employees for a period of two years after the termination of his employment, and a covenant not to disparage the Company.</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terms “cause,” “good reason,” and “total disability” are all defined in Mr. Aardsma’s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8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Employment Agreement between Waste Management, Inc. and David Aardsma, dated June 16,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22, 2005</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Linda J. Smith</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Corporate Secretary</w:t>
            </w:r>
          </w:p>
        </w:tc>
        <w:tc>
          <w:tcPr>
            <w:tcW w:w="1680" w:type="dxa"/>
            <w:vAlign w:val="bottom"/>
          </w:tcPr>
          <w:p>
            <w:pPr>
              <w:spacing w:after="0"/>
              <w:rPr>
                <w:sz w:val="20"/>
                <w:szCs w:val="20"/>
                <w:color w:val="auto"/>
              </w:rPr>
            </w:pPr>
          </w:p>
        </w:tc>
      </w:tr>
      <w:tr>
        <w:trPr>
          <w:trHeight w:val="834"/>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tbl>
      <w:tblPr>
        <w:tblLayout w:type="fixed"/>
        <w:tblInd w:w="32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360" w:type="dxa"/>
            <w:vAlign w:val="bottom"/>
            <w:gridSpan w:val="3"/>
          </w:tcPr>
          <w:p>
            <w:pPr>
              <w:ind w:left="1660"/>
              <w:spacing w:after="0"/>
              <w:rPr>
                <w:sz w:val="20"/>
                <w:szCs w:val="20"/>
                <w:color w:val="auto"/>
              </w:rPr>
            </w:pPr>
            <w:r>
              <w:rPr>
                <w:rFonts w:ascii="Arial" w:cs="Arial" w:eastAsia="Arial" w:hAnsi="Arial"/>
                <w:sz w:val="18"/>
                <w:szCs w:val="18"/>
                <w:b w:val="1"/>
                <w:bCs w:val="1"/>
                <w:color w:val="auto"/>
              </w:rPr>
              <w:t>Exhibit Index</w:t>
            </w:r>
          </w:p>
        </w:tc>
      </w:tr>
      <w:tr>
        <w:trPr>
          <w:trHeight w:val="623"/>
        </w:trPr>
        <w:tc>
          <w:tcPr>
            <w:tcW w:w="11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Exhibit</w:t>
            </w: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r>
      <w:tr>
        <w:trPr>
          <w:trHeight w:val="194"/>
        </w:trPr>
        <w:tc>
          <w:tcPr>
            <w:tcW w:w="6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4"/>
              </w:rPr>
              <w:t>Number</w:t>
            </w: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8"/>
              </w:rPr>
              <w:t>Description</w:t>
            </w:r>
          </w:p>
        </w:tc>
        <w:tc>
          <w:tcPr>
            <w:tcW w:w="6360" w:type="dxa"/>
            <w:vAlign w:val="bottom"/>
            <w:gridSpan w:val="3"/>
          </w:tcPr>
          <w:p>
            <w:pPr>
              <w:spacing w:after="0"/>
              <w:rPr>
                <w:sz w:val="16"/>
                <w:szCs w:val="16"/>
                <w:color w:val="auto"/>
              </w:rPr>
            </w:pPr>
          </w:p>
        </w:tc>
      </w:tr>
      <w:tr>
        <w:trPr>
          <w:trHeight w:val="237"/>
        </w:trPr>
        <w:tc>
          <w:tcPr>
            <w:tcW w:w="6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60" w:type="dxa"/>
            <w:vAlign w:val="bottom"/>
          </w:tcPr>
          <w:p>
            <w:pPr>
              <w:spacing w:after="0"/>
              <w:rPr>
                <w:sz w:val="20"/>
                <w:szCs w:val="20"/>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w w:val="89"/>
              </w:rPr>
              <w:t>Employment Agreement between Waste Management, Inc, and David Aardsma, dated June 16, 2005</w:t>
            </w:r>
          </w:p>
        </w:tc>
      </w:tr>
    </w:tbl>
    <w:p>
      <w:pPr>
        <w:sectPr>
          <w:pgSz w:w="11900" w:h="16838" w:orient="portrait"/>
          <w:cols w:equalWidth="0" w:num="1">
            <w:col w:w="9019"/>
          </w:cols>
          <w:pgMar w:left="1440" w:top="918" w:right="1440"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EMPLOYMENT AGREEMENT</w:t>
      </w:r>
    </w:p>
    <w:p>
      <w:pPr>
        <w:spacing w:after="0" w:line="202"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This EMPLOYMENT AGREEMENT (the “Agreement”) is made and entered into on this 16th day of June, 2005, but as effective as of the date set forth herein, by and between Waste Management, Inc. (the “Company”), and David Aardsma (the “Executive”).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Employment.</w:t>
      </w:r>
    </w:p>
    <w:p>
      <w:pPr>
        <w:spacing w:after="0" w:line="18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14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Executive acknowledges and represents that, any and all prior employment agreements, are terminated, and that any and all obligation of the Company created thereunder, whether express or implied, are null and void and of no further force or effect, and that the only rights, obligations and duties between the Company and Executive are those expressly set forth in this Agreement.</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Term of Employment.</w:t>
      </w:r>
    </w:p>
    <w:p>
      <w:pPr>
        <w:spacing w:after="0" w:line="189"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period of Executive’s employment under this Agreement shall commence on January 17, 2005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Duties and Responsibilities.</w:t>
      </w:r>
    </w:p>
    <w:p>
      <w:pPr>
        <w:spacing w:after="0" w:line="189" w:lineRule="exact"/>
        <w:rPr>
          <w:sz w:val="20"/>
          <w:szCs w:val="20"/>
          <w:color w:val="auto"/>
        </w:rPr>
      </w:pPr>
    </w:p>
    <w:p>
      <w:pPr>
        <w:jc w:val="both"/>
        <w:ind w:right="280" w:firstLine="233"/>
        <w:spacing w:after="0" w:line="259" w:lineRule="auto"/>
        <w:tabs>
          <w:tab w:leader="none" w:pos="4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Executive shall serve as the Senior Vice President Sales &amp; Marketing.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Operating Officer or the Board of Directors (the “Board”) of the Company.</w:t>
      </w:r>
    </w:p>
    <w:p>
      <w:pPr>
        <w:spacing w:after="0" w:line="146" w:lineRule="exact"/>
        <w:rPr>
          <w:rFonts w:ascii="Arial" w:cs="Arial" w:eastAsia="Arial" w:hAnsi="Arial"/>
          <w:sz w:val="18"/>
          <w:szCs w:val="18"/>
          <w:b w:val="1"/>
          <w:bCs w:val="1"/>
          <w:color w:val="auto"/>
        </w:rPr>
      </w:pPr>
    </w:p>
    <w:p>
      <w:pPr>
        <w:ind w:firstLine="233"/>
        <w:spacing w:after="0" w:line="276" w:lineRule="auto"/>
        <w:tabs>
          <w:tab w:leader="none" w:pos="49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Board, serve on boards of other for profit entities, provided such activities do not materially interfere with the performance of his duties hereunder (however, the Board does not typically allow officers to serve on more than one public company board at 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b w:val="1"/>
          <w:bCs w:val="1"/>
          <w:color w:val="auto"/>
        </w:rPr>
        <w:t>4. Compensation and Benefits.</w:t>
      </w:r>
    </w:p>
    <w:p>
      <w:pPr>
        <w:spacing w:after="0" w:line="198" w:lineRule="exact"/>
        <w:rPr>
          <w:sz w:val="20"/>
          <w:szCs w:val="20"/>
          <w:color w:val="auto"/>
        </w:rPr>
      </w:pPr>
    </w:p>
    <w:p>
      <w:pPr>
        <w:ind w:right="220" w:firstLine="233"/>
        <w:spacing w:after="0" w:line="314" w:lineRule="auto"/>
        <w:tabs>
          <w:tab w:leader="none" w:pos="4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During the Employment Period, the Company shall pay Executive a base salary at the annual rate of Three Hundred Thousand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($300,000.00)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101" w:lineRule="exact"/>
        <w:rPr>
          <w:rFonts w:ascii="Arial" w:cs="Arial" w:eastAsia="Arial" w:hAnsi="Arial"/>
          <w:sz w:val="16"/>
          <w:szCs w:val="16"/>
          <w:b w:val="1"/>
          <w:bCs w:val="1"/>
          <w:color w:val="auto"/>
        </w:rPr>
      </w:pPr>
    </w:p>
    <w:p>
      <w:pPr>
        <w:ind w:right="60" w:firstLine="233"/>
        <w:spacing w:after="0" w:line="255" w:lineRule="auto"/>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During the Employment Period, Executive will be entitled to participate in an annual incentive compensation plan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Compensation Committee of the Board from time to time. The Executive’s target annual bonus will be seventy-five percent (75%) of his Base Salary in effect for such year (the “Target Bonus”), and his actual annual bonus may range from 0% to 150% of Base Salary (</w:t>
      </w:r>
      <w:r>
        <w:rPr>
          <w:rFonts w:ascii="Arial" w:cs="Arial" w:eastAsia="Arial" w:hAnsi="Arial"/>
          <w:sz w:val="18"/>
          <w:szCs w:val="18"/>
          <w:i w:val="1"/>
          <w:iCs w:val="1"/>
          <w:color w:val="auto"/>
        </w:rPr>
        <w:t>i.e</w:t>
      </w:r>
      <w:r>
        <w:rPr>
          <w:rFonts w:ascii="Arial" w:cs="Arial" w:eastAsia="Arial" w:hAnsi="Arial"/>
          <w:sz w:val="18"/>
          <w:szCs w:val="18"/>
          <w:color w:val="auto"/>
        </w:rPr>
        <w:t>., a maximum possible bonus of two times the Target Bonus), and will be determined based upon (i) the achievement of certain corporate performance goals, as may be established and approved by from time to time by the Compensation Committee of the Board, and (ii) the achievement of personal performance goals as may be established by Executive’s immediate supervisor. The annual bonus for calendar year 2005 will be paid in 2006, if earned, at the same time as similarly situated executive employees receive or would otherwise receive their bonuses, provided that Executive remains employed through the end of the 2005 calendar year.</w:t>
      </w:r>
    </w:p>
    <w:p>
      <w:pPr>
        <w:spacing w:after="0" w:line="144" w:lineRule="exact"/>
        <w:rPr>
          <w:rFonts w:ascii="Arial" w:cs="Arial" w:eastAsia="Arial" w:hAnsi="Arial"/>
          <w:sz w:val="18"/>
          <w:szCs w:val="18"/>
          <w:b w:val="1"/>
          <w:bCs w:val="1"/>
          <w:color w:val="auto"/>
        </w:rPr>
      </w:pPr>
    </w:p>
    <w:p>
      <w:pPr>
        <w:ind w:firstLine="233"/>
        <w:spacing w:after="0" w:line="258" w:lineRule="auto"/>
        <w:tabs>
          <w:tab w:leader="none" w:pos="4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16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126" w:lineRule="exact"/>
        <w:rPr>
          <w:sz w:val="20"/>
          <w:szCs w:val="20"/>
          <w:color w:val="auto"/>
        </w:rPr>
      </w:pPr>
    </w:p>
    <w:p>
      <w:pPr>
        <w:ind w:right="20" w:firstLine="233"/>
        <w:spacing w:after="0" w:line="313" w:lineRule="auto"/>
        <w:tabs>
          <w:tab w:leader="none" w:pos="49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Reimbursement. </w:t>
      </w:r>
      <w:r>
        <w:rPr>
          <w:rFonts w:ascii="Arial" w:cs="Arial" w:eastAsia="Arial" w:hAnsi="Arial"/>
          <w:sz w:val="17"/>
          <w:szCs w:val="17"/>
          <w:color w:val="auto"/>
        </w:rPr>
        <w:t>The Company shall promptly reimburse Executive for the ordinary and necessary business expenses incurred by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performance of the duties hereunder in accordance with the Company’s customary practices applicable to its executive officers.</w:t>
      </w:r>
    </w:p>
    <w:p>
      <w:pPr>
        <w:spacing w:after="0" w:line="97" w:lineRule="exact"/>
        <w:rPr>
          <w:rFonts w:ascii="Arial" w:cs="Arial" w:eastAsia="Arial" w:hAnsi="Arial"/>
          <w:sz w:val="17"/>
          <w:szCs w:val="17"/>
          <w:b w:val="1"/>
          <w:bCs w:val="1"/>
          <w:color w:val="auto"/>
        </w:rPr>
      </w:pPr>
    </w:p>
    <w:p>
      <w:pPr>
        <w:ind w:right="80" w:firstLine="233"/>
        <w:spacing w:after="0" w:line="282" w:lineRule="auto"/>
        <w:tabs>
          <w:tab w:leader="none" w:pos="4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the Company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and as they may exist from time to time, including the following:</w:t>
      </w:r>
    </w:p>
    <w:p>
      <w:pPr>
        <w:spacing w:after="0" w:line="166" w:lineRule="exact"/>
        <w:rPr>
          <w:sz w:val="20"/>
          <w:szCs w:val="20"/>
          <w:color w:val="auto"/>
        </w:rPr>
      </w:pPr>
    </w:p>
    <w:p>
      <w:pPr>
        <w:ind w:left="660" w:right="34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ind w:left="600" w:hanging="43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planning services at actual cost, and not to exceed Fifteen Thousand Dollars ($15,000.00) annually;</w:t>
      </w:r>
    </w:p>
    <w:p>
      <w:pPr>
        <w:spacing w:after="0" w:line="225" w:lineRule="exact"/>
        <w:rPr>
          <w:rFonts w:ascii="Arial" w:cs="Arial" w:eastAsia="Arial" w:hAnsi="Arial"/>
          <w:sz w:val="18"/>
          <w:szCs w:val="18"/>
          <w:color w:val="auto"/>
        </w:rPr>
      </w:pPr>
    </w:p>
    <w:p>
      <w:pPr>
        <w:ind w:left="600" w:right="20" w:hanging="436"/>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one-time financial planning services at actual cost, not to exceed $20,000, for services in preparation for voluntary retirement (for such purposes voluntary retirement means retirement from the Company after attainment of both (x) the age of 55 and (y) a sum of years of services with the Company plus age equal to 65 or greater);</w:t>
      </w:r>
    </w:p>
    <w:p>
      <w:pPr>
        <w:spacing w:after="0" w:line="181" w:lineRule="exact"/>
        <w:rPr>
          <w:rFonts w:ascii="Arial" w:cs="Arial" w:eastAsia="Arial" w:hAnsi="Arial"/>
          <w:sz w:val="18"/>
          <w:szCs w:val="18"/>
          <w:color w:val="auto"/>
        </w:rPr>
      </w:pPr>
    </w:p>
    <w:p>
      <w:pPr>
        <w:ind w:left="600" w:right="120" w:hanging="436"/>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170" w:lineRule="exact"/>
        <w:rPr>
          <w:rFonts w:ascii="Arial" w:cs="Arial" w:eastAsia="Arial" w:hAnsi="Arial"/>
          <w:sz w:val="18"/>
          <w:szCs w:val="18"/>
          <w:color w:val="auto"/>
        </w:rPr>
      </w:pPr>
    </w:p>
    <w:p>
      <w:pPr>
        <w:ind w:left="600" w:hanging="436"/>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annual physical examination on a program designated by the Company.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5. Termination of Employment.</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81" w:lineRule="exact"/>
        <w:rPr>
          <w:sz w:val="20"/>
          <w:szCs w:val="20"/>
          <w:color w:val="auto"/>
        </w:rPr>
      </w:pPr>
    </w:p>
    <w:p>
      <w:pPr>
        <w:ind w:left="420" w:hanging="247"/>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84" w:lineRule="exact"/>
        <w:rPr>
          <w:rFonts w:ascii="Arial" w:cs="Arial" w:eastAsia="Arial" w:hAnsi="Arial"/>
          <w:sz w:val="18"/>
          <w:szCs w:val="18"/>
          <w:b w:val="1"/>
          <w:bCs w:val="1"/>
          <w:color w:val="auto"/>
        </w:rPr>
      </w:pPr>
    </w:p>
    <w:p>
      <w:pPr>
        <w:ind w:left="-60" w:firstLine="233"/>
        <w:spacing w:after="0" w:line="295" w:lineRule="auto"/>
        <w:tabs>
          <w:tab w:leader="none" w:pos="42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Total Disability. </w:t>
      </w:r>
      <w:r>
        <w:rPr>
          <w:rFonts w:ascii="Arial" w:cs="Arial" w:eastAsia="Arial" w:hAnsi="Arial"/>
          <w:sz w:val="16"/>
          <w:szCs w:val="16"/>
          <w:color w:val="auto"/>
        </w:rPr>
        <w:t>The Company may terminate Executive’s employment hereunder upon Executive becoming “Totally Disabled.”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may, in their reasonable discretion (but based upon appropriate medical evidence), determine that Executive is Totally Disabled.</w:t>
      </w:r>
    </w:p>
    <w:p>
      <w:pPr>
        <w:spacing w:after="0" w:line="128" w:lineRule="exact"/>
        <w:rPr>
          <w:rFonts w:ascii="Arial" w:cs="Arial" w:eastAsia="Arial" w:hAnsi="Arial"/>
          <w:sz w:val="16"/>
          <w:szCs w:val="16"/>
          <w:b w:val="1"/>
          <w:bCs w:val="1"/>
          <w:color w:val="auto"/>
        </w:rPr>
      </w:pPr>
    </w:p>
    <w:p>
      <w:pPr>
        <w:ind w:left="-60" w:right="40" w:firstLine="233"/>
        <w:spacing w:after="0" w:line="282" w:lineRule="auto"/>
        <w:tabs>
          <w:tab w:leader="none" w:pos="40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165" w:lineRule="exact"/>
        <w:rPr>
          <w:rFonts w:ascii="Arial" w:cs="Arial" w:eastAsia="Arial" w:hAnsi="Arial"/>
          <w:sz w:val="18"/>
          <w:szCs w:val="18"/>
          <w:b w:val="1"/>
          <w:bCs w:val="1"/>
          <w:color w:val="auto"/>
        </w:rPr>
      </w:pPr>
    </w:p>
    <w:p>
      <w:pPr>
        <w:ind w:left="600" w:hanging="436"/>
        <w:spacing w:after="0" w:line="279"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152" w:right="299" w:bottom="1440" w:gutter="0" w:footer="0" w:header="0"/>
        </w:sectPr>
      </w:pPr>
    </w:p>
    <w:bookmarkStart w:id="9" w:name="page10"/>
    <w:bookmarkEnd w:id="9"/>
    <w:p>
      <w:pPr>
        <w:ind w:left="640" w:right="140"/>
        <w:spacing w:after="0" w:line="259" w:lineRule="auto"/>
        <w:rPr>
          <w:sz w:val="20"/>
          <w:szCs w:val="20"/>
          <w:color w:val="auto"/>
        </w:rPr>
      </w:pPr>
      <w:r>
        <w:rPr>
          <w:rFonts w:ascii="Arial" w:cs="Arial" w:eastAsia="Arial" w:hAnsi="Arial"/>
          <w:sz w:val="18"/>
          <w:szCs w:val="18"/>
          <w:color w:val="auto"/>
        </w:rPr>
        <w:t xml:space="preserve">convicted of, or pleaded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any felony; (D) willfully or intentionally caused material injury to the Company, its property, or its assets; (E) disclosed to 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187" w:lineRule="exact"/>
        <w:rPr>
          <w:sz w:val="20"/>
          <w:szCs w:val="20"/>
          <w:color w:val="auto"/>
        </w:rPr>
      </w:pPr>
    </w:p>
    <w:p>
      <w:pPr>
        <w:ind w:left="640" w:hanging="436"/>
        <w:spacing w:after="0" w:line="270"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177" w:lineRule="exact"/>
        <w:rPr>
          <w:rFonts w:ascii="Arial" w:cs="Arial" w:eastAsia="Arial" w:hAnsi="Arial"/>
          <w:sz w:val="17"/>
          <w:szCs w:val="17"/>
          <w:color w:val="auto"/>
        </w:rPr>
      </w:pPr>
    </w:p>
    <w:p>
      <w:pPr>
        <w:ind w:left="-20" w:right="300" w:firstLine="233"/>
        <w:spacing w:after="0" w:line="282" w:lineRule="auto"/>
        <w:tabs>
          <w:tab w:leader="none" w:pos="46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166" w:lineRule="exact"/>
        <w:rPr>
          <w:sz w:val="20"/>
          <w:szCs w:val="20"/>
          <w:color w:val="auto"/>
        </w:rPr>
      </w:pPr>
    </w:p>
    <w:p>
      <w:pPr>
        <w:ind w:left="640" w:right="100" w:hanging="436"/>
        <w:spacing w:after="0" w:line="288"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his position unless he is also the equivalent of a Senior Vice-President of the Company or such other successor entity of the ultimate parent entity; (B) removal or the non-reelection of the Executive from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0" w:name="page11"/>
    <w:bookmarkEnd w:id="10"/>
    <w:p>
      <w:pPr>
        <w:ind w:left="660" w:right="220"/>
        <w:spacing w:after="0" w:line="286" w:lineRule="auto"/>
        <w:rPr>
          <w:sz w:val="20"/>
          <w:szCs w:val="20"/>
          <w:color w:val="auto"/>
        </w:rPr>
      </w:pPr>
      <w:r>
        <w:rPr>
          <w:rFonts w:ascii="Arial" w:cs="Arial" w:eastAsia="Arial" w:hAnsi="Arial"/>
          <w:sz w:val="16"/>
          <w:szCs w:val="16"/>
          <w:color w:val="auto"/>
        </w:rPr>
        <w:t>officer position with the Company specified herein, or removal of the Executive from 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 miles from his then business office location.</w:t>
      </w:r>
    </w:p>
    <w:p>
      <w:pPr>
        <w:spacing w:after="0" w:line="210" w:lineRule="exact"/>
        <w:rPr>
          <w:sz w:val="20"/>
          <w:szCs w:val="20"/>
          <w:color w:val="auto"/>
        </w:rPr>
      </w:pPr>
    </w:p>
    <w:p>
      <w:pPr>
        <w:ind w:left="660" w:hanging="436"/>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 The Company, at its sole discretion, may waive this requirement.</w:t>
      </w:r>
    </w:p>
    <w:p>
      <w:pPr>
        <w:spacing w:after="0" w:line="174" w:lineRule="exact"/>
        <w:rPr>
          <w:sz w:val="20"/>
          <w:szCs w:val="20"/>
          <w:color w:val="auto"/>
        </w:rPr>
      </w:pPr>
    </w:p>
    <w:p>
      <w:pPr>
        <w:ind w:right="380" w:firstLine="233"/>
        <w:spacing w:after="0" w:line="282" w:lineRule="auto"/>
        <w:tabs>
          <w:tab w:leader="none" w:pos="46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134" w:lineRule="exact"/>
        <w:rPr>
          <w:rFonts w:ascii="Arial" w:cs="Arial" w:eastAsia="Arial" w:hAnsi="Arial"/>
          <w:sz w:val="18"/>
          <w:szCs w:val="18"/>
          <w:b w:val="1"/>
          <w:bCs w:val="1"/>
          <w:color w:val="auto"/>
        </w:rPr>
      </w:pPr>
    </w:p>
    <w:p>
      <w:pPr>
        <w:ind w:right="360" w:firstLine="233"/>
        <w:spacing w:after="0" w:line="282" w:lineRule="auto"/>
        <w:tabs>
          <w:tab w:leader="none" w:pos="45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him at such time.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189"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as applicable to the form of termination:</w:t>
      </w:r>
    </w:p>
    <w:p>
      <w:pPr>
        <w:spacing w:after="0" w:line="139" w:lineRule="exact"/>
        <w:rPr>
          <w:sz w:val="20"/>
          <w:szCs w:val="20"/>
          <w:color w:val="auto"/>
        </w:rPr>
      </w:pPr>
    </w:p>
    <w:p>
      <w:pPr>
        <w:ind w:right="100" w:firstLine="233"/>
        <w:spacing w:after="0" w:line="282" w:lineRule="auto"/>
        <w:tabs>
          <w:tab w:leader="none" w:pos="47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165" w:lineRule="exact"/>
        <w:rPr>
          <w:rFonts w:ascii="Arial" w:cs="Arial" w:eastAsia="Arial" w:hAnsi="Arial"/>
          <w:sz w:val="18"/>
          <w:szCs w:val="18"/>
          <w:b w:val="1"/>
          <w:bCs w:val="1"/>
          <w:color w:val="auto"/>
        </w:rPr>
      </w:pPr>
    </w:p>
    <w:p>
      <w:pPr>
        <w:ind w:left="660" w:hanging="436"/>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left="620" w:right="560" w:hanging="436"/>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166" w:lineRule="exact"/>
        <w:rPr>
          <w:rFonts w:ascii="Arial" w:cs="Arial" w:eastAsia="Arial" w:hAnsi="Arial"/>
          <w:sz w:val="18"/>
          <w:szCs w:val="18"/>
          <w:color w:val="auto"/>
        </w:rPr>
      </w:pPr>
    </w:p>
    <w:p>
      <w:pPr>
        <w:ind w:left="-40" w:right="160" w:firstLine="233"/>
        <w:spacing w:after="0" w:line="282" w:lineRule="auto"/>
        <w:tabs>
          <w:tab w:leader="none" w:pos="447"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166" w:lineRule="exact"/>
        <w:rPr>
          <w:sz w:val="20"/>
          <w:szCs w:val="20"/>
          <w:color w:val="auto"/>
        </w:rPr>
      </w:pPr>
    </w:p>
    <w:p>
      <w:pPr>
        <w:jc w:val="both"/>
        <w:ind w:left="620" w:right="300" w:hanging="436"/>
        <w:spacing w:after="0" w:line="302"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the Company for the year in which Executive is terminated, and to the extent not otherwise paid to the Executive.</w:t>
      </w:r>
    </w:p>
    <w:p>
      <w:pPr>
        <w:spacing w:after="0" w:line="154" w:lineRule="exact"/>
        <w:rPr>
          <w:rFonts w:ascii="Arial" w:cs="Arial" w:eastAsia="Arial" w:hAnsi="Arial"/>
          <w:sz w:val="16"/>
          <w:szCs w:val="16"/>
          <w:color w:val="auto"/>
        </w:rPr>
      </w:pPr>
    </w:p>
    <w:p>
      <w:pPr>
        <w:ind w:left="620" w:hanging="436"/>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66" w:lineRule="exact"/>
        <w:rPr>
          <w:sz w:val="20"/>
          <w:szCs w:val="20"/>
          <w:color w:val="auto"/>
        </w:rPr>
      </w:pPr>
    </w:p>
    <w:p>
      <w:pPr>
        <w:ind w:left="-40" w:right="360" w:firstLine="233"/>
        <w:spacing w:after="0" w:line="282" w:lineRule="auto"/>
        <w:tabs>
          <w:tab w:leader="none" w:pos="427"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165" w:lineRule="exact"/>
        <w:rPr>
          <w:rFonts w:ascii="Arial" w:cs="Arial" w:eastAsia="Arial" w:hAnsi="Arial"/>
          <w:sz w:val="18"/>
          <w:szCs w:val="18"/>
          <w:b w:val="1"/>
          <w:bCs w:val="1"/>
          <w:color w:val="auto"/>
        </w:rPr>
      </w:pPr>
    </w:p>
    <w:p>
      <w:pPr>
        <w:ind w:left="620" w:right="300" w:hanging="436"/>
        <w:spacing w:after="0" w:line="342" w:lineRule="auto"/>
        <w:tabs>
          <w:tab w:leader="none" w:pos="6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23" w:lineRule="exact"/>
        <w:rPr>
          <w:rFonts w:ascii="Arial" w:cs="Arial" w:eastAsia="Arial" w:hAnsi="Arial"/>
          <w:sz w:val="16"/>
          <w:szCs w:val="16"/>
          <w:color w:val="auto"/>
        </w:rPr>
      </w:pPr>
    </w:p>
    <w:p>
      <w:pPr>
        <w:ind w:left="620" w:right="60" w:hanging="436"/>
        <w:spacing w:after="0" w:line="308" w:lineRule="auto"/>
        <w:tabs>
          <w:tab w:leader="none" w:pos="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42" w:lineRule="exact"/>
        <w:rPr>
          <w:rFonts w:ascii="Arial" w:cs="Arial" w:eastAsia="Arial" w:hAnsi="Arial"/>
          <w:sz w:val="17"/>
          <w:szCs w:val="17"/>
          <w:color w:val="auto"/>
        </w:rPr>
      </w:pPr>
    </w:p>
    <w:p>
      <w:pPr>
        <w:ind w:left="-40" w:firstLine="233"/>
        <w:spacing w:after="0" w:line="282" w:lineRule="auto"/>
        <w:tabs>
          <w:tab w:leader="none" w:pos="447"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166" w:lineRule="exact"/>
        <w:rPr>
          <w:sz w:val="20"/>
          <w:szCs w:val="20"/>
          <w:color w:val="auto"/>
        </w:rPr>
      </w:pPr>
    </w:p>
    <w:p>
      <w:pPr>
        <w:ind w:left="620" w:right="300" w:hanging="436"/>
        <w:spacing w:after="0" w:line="342"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152" w:right="279" w:bottom="1440" w:gutter="0" w:footer="0" w:header="0"/>
        </w:sectPr>
      </w:pPr>
    </w:p>
    <w:bookmarkStart w:id="12" w:name="page13"/>
    <w:bookmarkEnd w:id="12"/>
    <w:p>
      <w:pPr>
        <w:ind w:left="640" w:right="80" w:hanging="436"/>
        <w:spacing w:after="0" w:line="308"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43" w:lineRule="exact"/>
        <w:rPr>
          <w:sz w:val="20"/>
          <w:szCs w:val="20"/>
          <w:color w:val="auto"/>
        </w:rPr>
      </w:pPr>
    </w:p>
    <w:p>
      <w:pPr>
        <w:ind w:left="-20" w:right="180" w:firstLine="233"/>
        <w:spacing w:after="0" w:line="261" w:lineRule="auto"/>
        <w:tabs>
          <w:tab w:leader="none" w:pos="447"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for reasons other than death, Total Disability or Cause, or Executive terminates his employment for Good Reason outside of a Change in Control Period, the Company shall pay the following amounts to Executive:</w:t>
      </w:r>
    </w:p>
    <w:p>
      <w:pPr>
        <w:spacing w:after="0" w:line="184" w:lineRule="exact"/>
        <w:rPr>
          <w:rFonts w:ascii="Arial" w:cs="Arial" w:eastAsia="Arial" w:hAnsi="Arial"/>
          <w:sz w:val="18"/>
          <w:szCs w:val="18"/>
          <w:b w:val="1"/>
          <w:bCs w:val="1"/>
          <w:color w:val="auto"/>
        </w:rPr>
      </w:pPr>
    </w:p>
    <w:p>
      <w:pPr>
        <w:ind w:left="640" w:right="320" w:hanging="436"/>
        <w:spacing w:after="0" w:line="342" w:lineRule="auto"/>
        <w:tabs>
          <w:tab w:leader="none" w:pos="6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123" w:lineRule="exact"/>
        <w:rPr>
          <w:rFonts w:ascii="Arial" w:cs="Arial" w:eastAsia="Arial" w:hAnsi="Arial"/>
          <w:sz w:val="16"/>
          <w:szCs w:val="16"/>
          <w:color w:val="auto"/>
        </w:rPr>
      </w:pPr>
    </w:p>
    <w:p>
      <w:pPr>
        <w:ind w:left="640" w:right="680" w:hanging="436"/>
        <w:spacing w:after="0" w:line="277"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70" w:lineRule="exact"/>
        <w:rPr>
          <w:rFonts w:ascii="Arial" w:cs="Arial" w:eastAsia="Arial" w:hAnsi="Arial"/>
          <w:sz w:val="18"/>
          <w:szCs w:val="18"/>
          <w:color w:val="auto"/>
        </w:rPr>
      </w:pPr>
    </w:p>
    <w:p>
      <w:pPr>
        <w:jc w:val="both"/>
        <w:ind w:left="640" w:right="100" w:hanging="436"/>
        <w:spacing w:after="0" w:line="302" w:lineRule="auto"/>
        <w:tabs>
          <w:tab w:leader="none" w:pos="6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154" w:lineRule="exact"/>
        <w:rPr>
          <w:rFonts w:ascii="Arial" w:cs="Arial" w:eastAsia="Arial" w:hAnsi="Arial"/>
          <w:sz w:val="16"/>
          <w:szCs w:val="16"/>
          <w:color w:val="auto"/>
        </w:rPr>
      </w:pPr>
    </w:p>
    <w:p>
      <w:pPr>
        <w:ind w:left="640" w:hanging="436"/>
        <w:spacing w:after="0" w:line="270"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152" w:right="259" w:bottom="1440" w:gutter="0" w:footer="0" w:header="0"/>
        </w:sectPr>
      </w:pPr>
    </w:p>
    <w:bookmarkStart w:id="13" w:name="page14"/>
    <w:bookmarkEnd w:id="13"/>
    <w:p>
      <w:pPr>
        <w:ind w:left="640" w:right="20" w:hanging="436"/>
        <w:spacing w:after="0" w:line="26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177" w:lineRule="exact"/>
        <w:rPr>
          <w:sz w:val="20"/>
          <w:szCs w:val="20"/>
          <w:color w:val="auto"/>
        </w:rPr>
      </w:pPr>
    </w:p>
    <w:p>
      <w:pPr>
        <w:ind w:left="-20" w:right="40" w:firstLine="233"/>
        <w:spacing w:after="0" w:line="266" w:lineRule="auto"/>
        <w:tabs>
          <w:tab w:leader="none" w:pos="43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180" w:lineRule="exact"/>
        <w:rPr>
          <w:rFonts w:ascii="Arial" w:cs="Arial" w:eastAsia="Arial" w:hAnsi="Arial"/>
          <w:sz w:val="18"/>
          <w:szCs w:val="18"/>
          <w:b w:val="1"/>
          <w:bCs w:val="1"/>
          <w:color w:val="auto"/>
        </w:rPr>
      </w:pPr>
    </w:p>
    <w:p>
      <w:pPr>
        <w:ind w:left="640" w:hanging="436"/>
        <w:spacing w:after="0" w:line="277" w:lineRule="auto"/>
        <w:tabs>
          <w:tab w:leader="none" w:pos="6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170" w:lineRule="exact"/>
        <w:rPr>
          <w:rFonts w:ascii="Arial" w:cs="Arial" w:eastAsia="Arial" w:hAnsi="Arial"/>
          <w:sz w:val="18"/>
          <w:szCs w:val="18"/>
          <w:color w:val="auto"/>
        </w:rPr>
      </w:pPr>
    </w:p>
    <w:p>
      <w:pPr>
        <w:ind w:left="640" w:right="200" w:hanging="436"/>
        <w:spacing w:after="0" w:line="277"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Executive will refund to the Company any amounts, plus interest, previously paid by Company to Executive pursuant to Subsections 6(e)(iii), 6(e) (iv) or 6(e)(v).</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 Resignation by Executive for Good Reason or Termination by Company Without Cause During a Change in Control Period.</w:t>
      </w:r>
    </w:p>
    <w:p>
      <w:pPr>
        <w:spacing w:after="0" w:line="198" w:lineRule="exact"/>
        <w:rPr>
          <w:sz w:val="20"/>
          <w:szCs w:val="20"/>
          <w:color w:val="auto"/>
        </w:rPr>
      </w:pPr>
    </w:p>
    <w:p>
      <w:pPr>
        <w:ind w:left="-20" w:right="20" w:firstLine="233"/>
        <w:spacing w:after="0" w:line="261" w:lineRule="auto"/>
        <w:tabs>
          <w:tab w:leader="none" w:pos="46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Terminations During a Change in Control Period. </w:t>
      </w:r>
      <w:r>
        <w:rPr>
          <w:rFonts w:ascii="Arial" w:cs="Arial" w:eastAsia="Arial" w:hAnsi="Arial"/>
          <w:sz w:val="18"/>
          <w:szCs w:val="18"/>
          <w:color w:val="auto"/>
        </w:rPr>
        <w:t>In the event a Change in Control occurs and (x) Executive terminates his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Good Reason during a Change in Control Period ,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184" w:lineRule="exact"/>
        <w:rPr>
          <w:rFonts w:ascii="Arial" w:cs="Arial" w:eastAsia="Arial" w:hAnsi="Arial"/>
          <w:sz w:val="18"/>
          <w:szCs w:val="18"/>
          <w:b w:val="1"/>
          <w:bCs w:val="1"/>
          <w:color w:val="auto"/>
        </w:rPr>
      </w:pPr>
    </w:p>
    <w:p>
      <w:pPr>
        <w:ind w:left="640" w:right="660" w:hanging="436"/>
        <w:spacing w:after="0" w:line="264"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181" w:lineRule="exact"/>
        <w:rPr>
          <w:rFonts w:ascii="Arial" w:cs="Arial" w:eastAsia="Arial" w:hAnsi="Arial"/>
          <w:sz w:val="18"/>
          <w:szCs w:val="18"/>
          <w:color w:val="auto"/>
        </w:rPr>
      </w:pPr>
    </w:p>
    <w:p>
      <w:pPr>
        <w:ind w:left="640" w:right="20" w:hanging="436"/>
        <w:spacing w:after="0" w:line="255" w:lineRule="auto"/>
        <w:tabs>
          <w:tab w:leader="none" w:pos="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Executive shall also receive a bonus or incentive compensation payment for the calendar year of the termination, payable at 100% of the maximum bonus available to Executive, pro-rated as of the effective date of the termination. Such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152" w:right="239" w:bottom="1440" w:gutter="0" w:footer="0" w:header="0"/>
        </w:sectPr>
      </w:pPr>
    </w:p>
    <w:bookmarkStart w:id="14" w:name="page15"/>
    <w:bookmarkEnd w:id="14"/>
    <w:p>
      <w:pPr>
        <w:ind w:left="280" w:hanging="267"/>
        <w:spacing w:after="0"/>
        <w:tabs>
          <w:tab w:leader="none" w:pos="28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Certain Additional Payments by the Company.</w:t>
      </w:r>
    </w:p>
    <w:p>
      <w:pPr>
        <w:spacing w:after="0" w:line="229" w:lineRule="exact"/>
        <w:rPr>
          <w:rFonts w:ascii="Arial" w:cs="Arial" w:eastAsia="Arial" w:hAnsi="Arial"/>
          <w:sz w:val="18"/>
          <w:szCs w:val="18"/>
          <w:b w:val="1"/>
          <w:bCs w:val="1"/>
          <w:color w:val="auto"/>
        </w:rPr>
      </w:pPr>
    </w:p>
    <w:p>
      <w:pPr>
        <w:ind w:left="440" w:right="60" w:hanging="436"/>
        <w:spacing w:after="0" w:line="289" w:lineRule="auto"/>
        <w:tabs>
          <w:tab w:leader="none" w:pos="4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66" w:lineRule="exact"/>
        <w:rPr>
          <w:rFonts w:ascii="Arial" w:cs="Arial" w:eastAsia="Arial" w:hAnsi="Arial"/>
          <w:sz w:val="16"/>
          <w:szCs w:val="16"/>
          <w:color w:val="auto"/>
        </w:rPr>
      </w:pPr>
    </w:p>
    <w:p>
      <w:pPr>
        <w:ind w:left="440" w:hanging="436"/>
        <w:spacing w:after="0" w:line="270" w:lineRule="auto"/>
        <w:tabs>
          <w:tab w:leader="none" w:pos="4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81" w:lineRule="exact"/>
        <w:rPr>
          <w:rFonts w:ascii="Arial" w:cs="Arial" w:eastAsia="Arial" w:hAnsi="Arial"/>
          <w:sz w:val="17"/>
          <w:szCs w:val="17"/>
          <w:color w:val="auto"/>
        </w:rPr>
      </w:pPr>
    </w:p>
    <w:p>
      <w:pPr>
        <w:ind w:left="440" w:right="60" w:hanging="436"/>
        <w:spacing w:after="0" w:line="293" w:lineRule="auto"/>
        <w:tabs>
          <w:tab w:leader="none" w:pos="4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w:t>
      </w:r>
    </w:p>
    <w:p>
      <w:pPr>
        <w:spacing w:after="0" w:line="16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148" w:right="239" w:bottom="1440" w:gutter="0" w:footer="0" w:header="0"/>
        </w:sectPr>
      </w:pPr>
    </w:p>
    <w:bookmarkStart w:id="15" w:name="page16"/>
    <w:bookmarkEnd w:id="15"/>
    <w:p>
      <w:pPr>
        <w:ind w:left="440"/>
        <w:spacing w:after="0" w:line="253" w:lineRule="auto"/>
        <w:rPr>
          <w:sz w:val="20"/>
          <w:szCs w:val="20"/>
          <w:color w:val="auto"/>
        </w:rPr>
      </w:pPr>
      <w:r>
        <w:rPr>
          <w:rFonts w:ascii="Arial" w:cs="Arial" w:eastAsia="Arial" w:hAnsi="Arial"/>
          <w:sz w:val="18"/>
          <w:szCs w:val="18"/>
          <w:color w:val="auto"/>
        </w:rPr>
        <w:t>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197" w:lineRule="exact"/>
        <w:rPr>
          <w:sz w:val="20"/>
          <w:szCs w:val="20"/>
          <w:color w:val="auto"/>
        </w:rPr>
      </w:pPr>
    </w:p>
    <w:p>
      <w:pPr>
        <w:ind w:left="440" w:right="40"/>
        <w:spacing w:after="0" w:line="279" w:lineRule="auto"/>
        <w:rPr>
          <w:sz w:val="20"/>
          <w:szCs w:val="20"/>
          <w:color w:val="auto"/>
        </w:rPr>
      </w:pPr>
      <w:r>
        <w:rPr>
          <w:rFonts w:ascii="Arial" w:cs="Arial" w:eastAsia="Arial" w:hAnsi="Arial"/>
          <w:sz w:val="17"/>
          <w:szCs w:val="17"/>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71" w:lineRule="exact"/>
        <w:rPr>
          <w:sz w:val="20"/>
          <w:szCs w:val="20"/>
          <w:color w:val="auto"/>
        </w:rPr>
      </w:pPr>
    </w:p>
    <w:p>
      <w:pPr>
        <w:ind w:left="440" w:right="40" w:hanging="436"/>
        <w:spacing w:after="0" w:line="284"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 of the Code).</w:t>
      </w:r>
    </w:p>
    <w:p>
      <w:pPr>
        <w:spacing w:after="0" w:line="210" w:lineRule="exact"/>
        <w:rPr>
          <w:rFonts w:ascii="Arial" w:cs="Arial" w:eastAsia="Arial" w:hAnsi="Arial"/>
          <w:sz w:val="16"/>
          <w:szCs w:val="16"/>
          <w:color w:val="auto"/>
        </w:rPr>
      </w:pPr>
    </w:p>
    <w:p>
      <w:pPr>
        <w:ind w:left="440" w:right="60" w:hanging="436"/>
        <w:spacing w:after="0" w:line="279"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16" w:name="page17"/>
    <w:bookmarkEnd w:id="16"/>
    <w:p>
      <w:pPr>
        <w:ind w:left="652" w:right="480"/>
        <w:spacing w:after="0" w:line="264" w:lineRule="auto"/>
        <w:rPr>
          <w:sz w:val="20"/>
          <w:szCs w:val="20"/>
          <w:color w:val="auto"/>
        </w:rPr>
      </w:pPr>
      <w:r>
        <w:rPr>
          <w:rFonts w:ascii="Arial" w:cs="Arial" w:eastAsia="Arial" w:hAnsi="Arial"/>
          <w:sz w:val="18"/>
          <w:szCs w:val="18"/>
          <w:color w:val="auto"/>
        </w:rPr>
        <w:t>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181" w:lineRule="exact"/>
        <w:rPr>
          <w:sz w:val="20"/>
          <w:szCs w:val="20"/>
          <w:color w:val="auto"/>
        </w:rPr>
      </w:pPr>
    </w:p>
    <w:p>
      <w:pPr>
        <w:ind w:left="652" w:hanging="436"/>
        <w:spacing w:after="0"/>
        <w:tabs>
          <w:tab w:leader="none" w:pos="6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w:t>
      </w:r>
    </w:p>
    <w:p>
      <w:pPr>
        <w:spacing w:after="0" w:line="225" w:lineRule="exact"/>
        <w:rPr>
          <w:rFonts w:ascii="Arial" w:cs="Arial" w:eastAsia="Arial" w:hAnsi="Arial"/>
          <w:sz w:val="18"/>
          <w:szCs w:val="18"/>
          <w:color w:val="auto"/>
        </w:rPr>
      </w:pPr>
    </w:p>
    <w:p>
      <w:pPr>
        <w:ind w:left="652" w:right="800" w:hanging="436"/>
        <w:spacing w:after="0" w:line="277" w:lineRule="auto"/>
        <w:tabs>
          <w:tab w:leader="none" w:pos="6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66" w:lineRule="exact"/>
        <w:rPr>
          <w:rFonts w:ascii="Arial" w:cs="Arial" w:eastAsia="Arial" w:hAnsi="Arial"/>
          <w:sz w:val="18"/>
          <w:szCs w:val="18"/>
          <w:color w:val="auto"/>
        </w:rPr>
      </w:pPr>
    </w:p>
    <w:p>
      <w:pPr>
        <w:ind w:left="252" w:hanging="252"/>
        <w:spacing w:after="0"/>
        <w:tabs>
          <w:tab w:leader="none" w:pos="25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left="652" w:right="540" w:hanging="436"/>
        <w:spacing w:after="0" w:line="277" w:lineRule="auto"/>
        <w:tabs>
          <w:tab w:leader="none" w:pos="6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170" w:lineRule="exact"/>
        <w:rPr>
          <w:rFonts w:ascii="Arial" w:cs="Arial" w:eastAsia="Arial" w:hAnsi="Arial"/>
          <w:sz w:val="18"/>
          <w:szCs w:val="18"/>
          <w:color w:val="auto"/>
        </w:rPr>
      </w:pPr>
    </w:p>
    <w:p>
      <w:pPr>
        <w:ind w:left="1112" w:right="60" w:hanging="437"/>
        <w:spacing w:after="0" w:line="277" w:lineRule="auto"/>
        <w:tabs>
          <w:tab w:leader="none" w:pos="1112"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170" w:lineRule="exact"/>
        <w:rPr>
          <w:rFonts w:ascii="Arial" w:cs="Arial" w:eastAsia="Arial" w:hAnsi="Arial"/>
          <w:sz w:val="18"/>
          <w:szCs w:val="18"/>
          <w:color w:val="auto"/>
        </w:rPr>
      </w:pPr>
    </w:p>
    <w:p>
      <w:pPr>
        <w:ind w:left="1112" w:hanging="437"/>
        <w:spacing w:after="0" w:line="273" w:lineRule="auto"/>
        <w:tabs>
          <w:tab w:leader="none" w:pos="1112"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178" w:lineRule="exact"/>
        <w:rPr>
          <w:rFonts w:ascii="Arial" w:cs="Arial" w:eastAsia="Arial" w:hAnsi="Arial"/>
          <w:sz w:val="17"/>
          <w:szCs w:val="17"/>
          <w:color w:val="auto"/>
        </w:rPr>
      </w:pPr>
    </w:p>
    <w:p>
      <w:pPr>
        <w:ind w:left="1112" w:right="180" w:hanging="437"/>
        <w:spacing w:after="0" w:line="255" w:lineRule="auto"/>
        <w:tabs>
          <w:tab w:leader="none" w:pos="1112"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189" w:lineRule="exact"/>
        <w:rPr>
          <w:rFonts w:ascii="Arial" w:cs="Arial" w:eastAsia="Arial" w:hAnsi="Arial"/>
          <w:sz w:val="18"/>
          <w:szCs w:val="18"/>
          <w:color w:val="auto"/>
        </w:rPr>
      </w:pPr>
    </w:p>
    <w:p>
      <w:pPr>
        <w:ind w:left="1112" w:hanging="437"/>
        <w:spacing w:after="0" w:line="277" w:lineRule="auto"/>
        <w:tabs>
          <w:tab w:leader="none" w:pos="1112"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7" w:name="page18"/>
    <w:bookmarkEnd w:id="17"/>
    <w:p>
      <w:pPr>
        <w:ind w:left="1060" w:right="80"/>
        <w:spacing w:after="0" w:line="259" w:lineRule="auto"/>
        <w:rPr>
          <w:sz w:val="20"/>
          <w:szCs w:val="20"/>
          <w:color w:val="auto"/>
        </w:rPr>
      </w:pPr>
      <w:r>
        <w:rPr>
          <w:rFonts w:ascii="Arial" w:cs="Arial" w:eastAsia="Arial" w:hAnsi="Arial"/>
          <w:sz w:val="18"/>
          <w:szCs w:val="18"/>
          <w:color w:val="auto"/>
        </w:rPr>
        <w:t>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87" w:lineRule="exact"/>
        <w:rPr>
          <w:sz w:val="20"/>
          <w:szCs w:val="20"/>
          <w:color w:val="auto"/>
        </w:rPr>
      </w:pPr>
    </w:p>
    <w:p>
      <w:pPr>
        <w:ind w:left="1060" w:hanging="43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this Section 7, “Beneficial Owner” shall have the meaning set forth in Rule 13d-3 under the Exchange Act;</w:t>
      </w:r>
    </w:p>
    <w:p>
      <w:pPr>
        <w:spacing w:after="0" w:line="225" w:lineRule="exact"/>
        <w:rPr>
          <w:rFonts w:ascii="Arial" w:cs="Arial" w:eastAsia="Arial" w:hAnsi="Arial"/>
          <w:sz w:val="18"/>
          <w:szCs w:val="18"/>
          <w:color w:val="auto"/>
        </w:rPr>
      </w:pPr>
    </w:p>
    <w:p>
      <w:pPr>
        <w:ind w:left="1060" w:right="40" w:hanging="437"/>
        <w:spacing w:after="0" w:line="34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123" w:lineRule="exact"/>
        <w:rPr>
          <w:rFonts w:ascii="Arial" w:cs="Arial" w:eastAsia="Arial" w:hAnsi="Arial"/>
          <w:sz w:val="16"/>
          <w:szCs w:val="16"/>
          <w:color w:val="auto"/>
        </w:rPr>
      </w:pPr>
    </w:p>
    <w:p>
      <w:pPr>
        <w:ind w:left="1060" w:hanging="43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225" w:lineRule="exact"/>
        <w:rPr>
          <w:rFonts w:ascii="Arial" w:cs="Arial" w:eastAsia="Arial" w:hAnsi="Arial"/>
          <w:sz w:val="18"/>
          <w:szCs w:val="18"/>
          <w:color w:val="auto"/>
        </w:rPr>
      </w:pPr>
    </w:p>
    <w:p>
      <w:pPr>
        <w:ind w:left="1060" w:right="180" w:hanging="437"/>
        <w:spacing w:after="0" w:line="276"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172" w:lineRule="exact"/>
        <w:rPr>
          <w:rFonts w:ascii="Arial" w:cs="Arial" w:eastAsia="Arial" w:hAnsi="Arial"/>
          <w:sz w:val="17"/>
          <w:szCs w:val="17"/>
          <w:color w:val="auto"/>
        </w:rPr>
      </w:pPr>
    </w:p>
    <w:p>
      <w:pPr>
        <w:ind w:left="1060" w:hanging="437"/>
        <w:spacing w:after="0" w:line="276"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169" w:lineRule="exact"/>
        <w:rPr>
          <w:sz w:val="20"/>
          <w:szCs w:val="20"/>
          <w:color w:val="auto"/>
        </w:rPr>
      </w:pPr>
    </w:p>
    <w:p>
      <w:pPr>
        <w:jc w:val="both"/>
        <w:ind w:left="-60" w:right="60" w:firstLine="233"/>
        <w:spacing w:after="0" w:line="314" w:lineRule="auto"/>
        <w:tabs>
          <w:tab w:leader="none" w:pos="345"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or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18" w:name="page19"/>
    <w:bookmarkEnd w:id="18"/>
    <w:p>
      <w:pPr>
        <w:ind w:right="20" w:firstLine="233"/>
        <w:spacing w:after="0" w:line="258" w:lineRule="auto"/>
        <w:tabs>
          <w:tab w:leader="none" w:pos="40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No Set-Off. </w:t>
      </w:r>
      <w:r>
        <w:rPr>
          <w:rFonts w:ascii="Arial" w:cs="Arial" w:eastAsia="Arial" w:hAnsi="Arial"/>
          <w:sz w:val="18"/>
          <w:szCs w:val="18"/>
          <w:color w:val="auto"/>
        </w:rPr>
        <w:t>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156" w:lineRule="exact"/>
        <w:rPr>
          <w:rFonts w:ascii="Arial" w:cs="Arial" w:eastAsia="Arial" w:hAnsi="Arial"/>
          <w:sz w:val="18"/>
          <w:szCs w:val="18"/>
          <w:b w:val="1"/>
          <w:bCs w:val="1"/>
          <w:color w:val="auto"/>
        </w:rPr>
      </w:pPr>
    </w:p>
    <w:p>
      <w:pPr>
        <w:ind w:left="500" w:hanging="267"/>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85" w:lineRule="exact"/>
        <w:rPr>
          <w:sz w:val="20"/>
          <w:szCs w:val="20"/>
          <w:color w:val="auto"/>
        </w:rPr>
      </w:pPr>
    </w:p>
    <w:p>
      <w:pPr>
        <w:ind w:right="120" w:firstLine="233"/>
        <w:spacing w:after="0" w:line="255" w:lineRule="auto"/>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r>
        <w:rPr>
          <w:rFonts w:ascii="Arial" w:cs="Arial" w:eastAsia="Arial" w:hAnsi="Arial"/>
          <w:sz w:val="18"/>
          <w:szCs w:val="18"/>
          <w:color w:val="auto"/>
        </w:rPr>
        <w:t>. All written materials, records, data, and other documents prepared or possessed by Executive during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144" w:lineRule="exact"/>
        <w:rPr>
          <w:rFonts w:ascii="Arial" w:cs="Arial" w:eastAsia="Arial" w:hAnsi="Arial"/>
          <w:sz w:val="18"/>
          <w:szCs w:val="18"/>
          <w:b w:val="1"/>
          <w:bCs w:val="1"/>
          <w:color w:val="auto"/>
        </w:rPr>
      </w:pPr>
    </w:p>
    <w:p>
      <w:pPr>
        <w:ind w:right="140" w:firstLine="233"/>
        <w:spacing w:after="0" w:line="347" w:lineRule="auto"/>
        <w:tabs>
          <w:tab w:leader="none" w:pos="49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Information; Non-Disclosure</w:t>
      </w:r>
      <w:r>
        <w:rPr>
          <w:rFonts w:ascii="Arial" w:cs="Arial" w:eastAsia="Arial" w:hAnsi="Arial"/>
          <w:sz w:val="16"/>
          <w:szCs w:val="16"/>
          <w:color w:val="auto"/>
        </w:rPr>
        <w:t>. Executive acknowledges that the business of the Company is highly competitive and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has provided and will continue to provide Executive with access to “Confidential Information” relating to the business of the Company and its affiliates.</w:t>
      </w:r>
    </w:p>
    <w:p>
      <w:pPr>
        <w:spacing w:after="0" w:line="9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9" w:name="page20"/>
    <w:bookmarkEnd w:id="19"/>
    <w:p>
      <w:pPr>
        <w:ind w:right="100"/>
        <w:spacing w:after="0" w:line="255" w:lineRule="auto"/>
        <w:rPr>
          <w:sz w:val="20"/>
          <w:szCs w:val="20"/>
          <w:color w:val="auto"/>
        </w:rPr>
      </w:pPr>
      <w:r>
        <w:rPr>
          <w:rFonts w:ascii="Arial" w:cs="Arial" w:eastAsia="Arial" w:hAnsi="Arial"/>
          <w:sz w:val="18"/>
          <w:szCs w:val="18"/>
          <w:color w:val="auto"/>
        </w:rPr>
        <w:t>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166"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Executive has and will continue to have access to, or knowledge of, Confidential Information of third parties, such as actual and potential customers, suppliers, partners, joint venturers, investors, financing sources, and the like, of the Company and its affiliates.</w:t>
      </w:r>
    </w:p>
    <w:p>
      <w:pPr>
        <w:spacing w:after="0" w:line="130"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13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156" w:lineRule="exact"/>
        <w:rPr>
          <w:sz w:val="20"/>
          <w:szCs w:val="20"/>
          <w:color w:val="auto"/>
        </w:rPr>
      </w:pPr>
    </w:p>
    <w:p>
      <w:pPr>
        <w:ind w:firstLine="233"/>
        <w:spacing w:after="0" w:line="292" w:lineRule="auto"/>
        <w:tabs>
          <w:tab w:leader="none" w:pos="47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Unfair Competition Restrictions</w:t>
      </w:r>
      <w:r>
        <w:rPr>
          <w:rFonts w:ascii="Arial" w:cs="Arial" w:eastAsia="Arial" w:hAnsi="Arial"/>
          <w:sz w:val="16"/>
          <w:szCs w:val="16"/>
          <w:color w:val="auto"/>
        </w:rPr>
        <w:t>. The Company agrees to and shall provide Executive with immediate access to Confidential Information.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166"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Engage in, or assist any person, entity, or business engaged in, the selling or providing of products or services that would displace the products or services that (i) the Company is currently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ind w:left="660" w:right="100"/>
        <w:spacing w:after="0" w:line="259" w:lineRule="auto"/>
        <w:rPr>
          <w:sz w:val="20"/>
          <w:szCs w:val="20"/>
          <w:color w:val="auto"/>
        </w:rPr>
      </w:pPr>
      <w:r>
        <w:rPr>
          <w:rFonts w:ascii="Arial" w:cs="Arial" w:eastAsia="Arial" w:hAnsi="Arial"/>
          <w:sz w:val="18"/>
          <w:szCs w:val="18"/>
          <w:color w:val="auto"/>
        </w:rPr>
        <w:t>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8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60"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120" w:lineRule="exact"/>
        <w:rPr>
          <w:sz w:val="20"/>
          <w:szCs w:val="20"/>
          <w:color w:val="auto"/>
        </w:rPr>
      </w:pPr>
    </w:p>
    <w:p>
      <w:pPr>
        <w:jc w:val="both"/>
        <w:ind w:right="320" w:firstLine="233"/>
        <w:spacing w:after="0" w:line="261" w:lineRule="auto"/>
        <w:tabs>
          <w:tab w:leader="none" w:pos="49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a period of two (2) years following the termination of employment for any reason, Executive will not call 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139" w:lineRule="exact"/>
        <w:rPr>
          <w:rFonts w:ascii="Arial" w:cs="Arial" w:eastAsia="Arial" w:hAnsi="Arial"/>
          <w:sz w:val="18"/>
          <w:szCs w:val="18"/>
          <w:b w:val="1"/>
          <w:bCs w:val="1"/>
          <w:color w:val="auto"/>
        </w:rPr>
      </w:pPr>
    </w:p>
    <w:p>
      <w:pPr>
        <w:ind w:right="180" w:firstLine="233"/>
        <w:spacing w:after="0" w:line="261" w:lineRule="auto"/>
        <w:tabs>
          <w:tab w:leader="none" w:pos="47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employment, and will not assist any other person or entity in such a solicitation.</w:t>
      </w:r>
    </w:p>
    <w:p>
      <w:pPr>
        <w:spacing w:after="0" w:line="153" w:lineRule="exact"/>
        <w:rPr>
          <w:rFonts w:ascii="Arial" w:cs="Arial" w:eastAsia="Arial" w:hAnsi="Arial"/>
          <w:sz w:val="18"/>
          <w:szCs w:val="18"/>
          <w:b w:val="1"/>
          <w:bCs w:val="1"/>
          <w:color w:val="auto"/>
        </w:rPr>
      </w:pPr>
    </w:p>
    <w:p>
      <w:pPr>
        <w:ind w:right="80" w:firstLine="233"/>
        <w:spacing w:after="0" w:line="266" w:lineRule="auto"/>
        <w:tabs>
          <w:tab w:leader="none" w:pos="45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damaging to the integrity, reputation or good will of the Company, its management, or of management of corporations affiliated with the Company.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Enforcement of Covenants.</w:t>
      </w:r>
    </w:p>
    <w:p>
      <w:pPr>
        <w:spacing w:after="0" w:line="185" w:lineRule="exact"/>
        <w:rPr>
          <w:sz w:val="20"/>
          <w:szCs w:val="20"/>
          <w:color w:val="auto"/>
        </w:rPr>
      </w:pPr>
    </w:p>
    <w:p>
      <w:pPr>
        <w:ind w:right="40" w:firstLine="233"/>
        <w:spacing w:after="0" w:line="289" w:lineRule="auto"/>
        <w:tabs>
          <w:tab w:leader="none" w:pos="477" w:val="left"/>
        </w:tabs>
        <w:numPr>
          <w:ilvl w:val="1"/>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and Forfeiture of Compensation. </w:t>
      </w:r>
      <w:r>
        <w:rPr>
          <w:rFonts w:ascii="Arial" w:cs="Arial" w:eastAsia="Arial" w:hAnsi="Arial"/>
          <w:sz w:val="17"/>
          <w:szCs w:val="17"/>
          <w:color w:val="auto"/>
        </w:rPr>
        <w:t>Executive agrees that any breach by Executive of any of the covenants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hereof during Executive’s employment by the Company, shall be grounds for immediate dismissal of Executive for Cause pursuant to Section 5(c) (i), which shall be in addition to and not exclusive of any and all other rights and remedies the Company may have against Executive.</w:t>
      </w:r>
    </w:p>
    <w:p>
      <w:pPr>
        <w:spacing w:after="0" w:line="117" w:lineRule="exact"/>
        <w:rPr>
          <w:rFonts w:ascii="Arial" w:cs="Arial" w:eastAsia="Arial" w:hAnsi="Arial"/>
          <w:sz w:val="17"/>
          <w:szCs w:val="17"/>
          <w:b w:val="1"/>
          <w:bCs w:val="1"/>
          <w:color w:val="auto"/>
        </w:rPr>
      </w:pPr>
    </w:p>
    <w:p>
      <w:pPr>
        <w:ind w:left="500" w:hanging="267"/>
        <w:spacing w:after="0"/>
        <w:tabs>
          <w:tab w:leader="none" w:pos="500" w:val="left"/>
        </w:tabs>
        <w:numPr>
          <w:ilvl w:val="1"/>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the covenants set forth in Section 10 hereof will cause irreparable damage to the</w:t>
      </w:r>
    </w:p>
    <w:p>
      <w:pPr>
        <w:spacing w:after="0" w:line="38" w:lineRule="exact"/>
        <w:rPr>
          <w:rFonts w:ascii="Arial" w:cs="Arial" w:eastAsia="Arial" w:hAnsi="Arial"/>
          <w:sz w:val="17"/>
          <w:szCs w:val="17"/>
          <w:b w:val="1"/>
          <w:bCs w:val="1"/>
          <w:color w:val="auto"/>
        </w:rPr>
      </w:pPr>
    </w:p>
    <w:p>
      <w:pPr>
        <w:ind w:right="8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w:t>
      </w:r>
    </w:p>
    <w:p>
      <w:pPr>
        <w:spacing w:after="0" w:line="2" w:lineRule="exact"/>
        <w:rPr>
          <w:rFonts w:ascii="Arial" w:cs="Arial" w:eastAsia="Arial" w:hAnsi="Arial"/>
          <w:sz w:val="17"/>
          <w:szCs w:val="17"/>
          <w:b w:val="1"/>
          <w:bCs w:val="1"/>
          <w:color w:val="auto"/>
        </w:rPr>
      </w:pPr>
    </w:p>
    <w:p>
      <w:pPr>
        <w:ind w:right="120" w:firstLine="8"/>
        <w:spacing w:after="0" w:line="261" w:lineRule="auto"/>
        <w:tabs>
          <w:tab w:leader="none" w:pos="2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recovery of all reasonable sums as determined by a court of competent jurisdiction expended and costs, including reasonable attorney’s fees, incurred by the Company to enforce the covenants set forth in this section.</w:t>
      </w:r>
    </w:p>
    <w:p>
      <w:pPr>
        <w:spacing w:after="0" w:line="152" w:lineRule="exact"/>
        <w:rPr>
          <w:rFonts w:ascii="Arial" w:cs="Arial" w:eastAsia="Arial" w:hAnsi="Arial"/>
          <w:sz w:val="18"/>
          <w:szCs w:val="18"/>
          <w:color w:val="auto"/>
        </w:rPr>
      </w:pPr>
    </w:p>
    <w:p>
      <w:pPr>
        <w:ind w:firstLine="233"/>
        <w:spacing w:after="0" w:line="290" w:lineRule="auto"/>
        <w:tabs>
          <w:tab w:leader="none" w:pos="470"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10 hereof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Indemnification.</w:t>
      </w:r>
    </w:p>
    <w:p>
      <w:pPr>
        <w:spacing w:after="0" w:line="18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spacing w:after="0" w:line="342" w:lineRule="auto"/>
        <w:rPr>
          <w:sz w:val="20"/>
          <w:szCs w:val="20"/>
          <w:color w:val="auto"/>
        </w:rPr>
      </w:pPr>
      <w:r>
        <w:rPr>
          <w:rFonts w:ascii="Arial" w:cs="Arial" w:eastAsia="Arial" w:hAnsi="Arial"/>
          <w:sz w:val="16"/>
          <w:szCs w:val="16"/>
          <w:color w:val="auto"/>
        </w:rPr>
        <w:t>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Arbitration.</w:t>
      </w:r>
    </w:p>
    <w:p>
      <w:pPr>
        <w:spacing w:after="0" w:line="189" w:lineRule="exact"/>
        <w:rPr>
          <w:sz w:val="20"/>
          <w:szCs w:val="20"/>
          <w:color w:val="auto"/>
        </w:rPr>
      </w:pPr>
    </w:p>
    <w:p>
      <w:pPr>
        <w:ind w:right="120" w:firstLine="225"/>
        <w:spacing w:after="0" w:line="288" w:lineRule="auto"/>
        <w:rPr>
          <w:sz w:val="20"/>
          <w:szCs w:val="20"/>
          <w:color w:val="auto"/>
        </w:rPr>
      </w:pPr>
      <w:r>
        <w:rPr>
          <w:rFonts w:ascii="Arial" w:cs="Arial" w:eastAsia="Arial" w:hAnsi="Arial"/>
          <w:sz w:val="16"/>
          <w:szCs w:val="16"/>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Disputes and Payment of Attorney’s Fees.</w:t>
      </w:r>
    </w:p>
    <w:p>
      <w:pPr>
        <w:spacing w:after="0" w:line="202"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15. Requirement of Timely Payments.</w:t>
      </w:r>
    </w:p>
    <w:p>
      <w:pPr>
        <w:spacing w:after="0" w:line="189"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200"/>
        <w:spacing w:after="0" w:line="264" w:lineRule="auto"/>
        <w:rPr>
          <w:sz w:val="20"/>
          <w:szCs w:val="20"/>
          <w:color w:val="auto"/>
        </w:rPr>
      </w:pPr>
      <w:r>
        <w:rPr>
          <w:rFonts w:ascii="Arial" w:cs="Arial" w:eastAsia="Arial" w:hAnsi="Arial"/>
          <w:sz w:val="18"/>
          <w:szCs w:val="18"/>
          <w:color w:val="auto"/>
        </w:rPr>
        <w:t>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Withholding of Taxes.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17. Source of Payments.</w:t>
      </w:r>
    </w:p>
    <w:p>
      <w:pPr>
        <w:spacing w:after="0" w:line="202"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18. Assignment.</w:t>
      </w:r>
    </w:p>
    <w:p>
      <w:pPr>
        <w:spacing w:after="0" w:line="18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19. Entire Agreement; Amendment.</w:t>
      </w:r>
    </w:p>
    <w:p>
      <w:pPr>
        <w:spacing w:after="0" w:line="189"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b w:val="1"/>
          <w:bCs w:val="1"/>
          <w:color w:val="auto"/>
        </w:rPr>
        <w:t>20. Governing Law.</w:t>
      </w:r>
    </w:p>
    <w:p>
      <w:pPr>
        <w:spacing w:after="0" w:line="202"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 Notices.</w:t>
      </w:r>
    </w:p>
    <w:p>
      <w:pPr>
        <w:spacing w:after="0" w:line="189"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380"/>
          </w:cols>
          <w:pgMar w:left="240" w:top="931" w:right="279" w:bottom="1440" w:gutter="0" w:footer="0" w:header="0"/>
        </w:sectPr>
      </w:pPr>
    </w:p>
    <w:p>
      <w:pPr>
        <w:spacing w:after="0" w:line="370"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Secretary</w:t>
      </w:r>
    </w:p>
    <w:p>
      <w:pPr>
        <w:spacing w:after="0" w:line="200" w:lineRule="exact"/>
        <w:rPr>
          <w:sz w:val="20"/>
          <w:szCs w:val="20"/>
          <w:color w:val="auto"/>
        </w:rPr>
      </w:pPr>
    </w:p>
    <w:p>
      <w:pPr>
        <w:sectPr>
          <w:pgSz w:w="11900" w:h="16838" w:orient="portrait"/>
          <w:cols w:equalWidth="0" w:num="2">
            <w:col w:w="3260" w:space="460"/>
            <w:col w:w="7660"/>
          </w:cols>
          <w:pgMar w:left="240" w:top="931" w:right="279" w:bottom="1440" w:gutter="0" w:footer="0" w:header="0"/>
          <w:type w:val="continuous"/>
        </w:sectPr>
      </w:pPr>
    </w:p>
    <w:p>
      <w:pPr>
        <w:spacing w:after="0" w:line="34"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address for Executive set forth below.</w:t>
      </w:r>
    </w:p>
    <w:p>
      <w:pPr>
        <w:spacing w:after="0" w:line="200" w:lineRule="exact"/>
        <w:rPr>
          <w:sz w:val="20"/>
          <w:szCs w:val="20"/>
          <w:color w:val="auto"/>
        </w:rPr>
      </w:pPr>
    </w:p>
    <w:p>
      <w:pPr>
        <w:sectPr>
          <w:pgSz w:w="11900" w:h="16838" w:orient="portrait"/>
          <w:cols w:equalWidth="0" w:num="2">
            <w:col w:w="3000" w:space="720"/>
            <w:col w:w="7660"/>
          </w:cols>
          <w:pgMar w:left="240" w:top="931" w:right="279" w:bottom="1440" w:gutter="0" w:footer="0" w:header="0"/>
          <w:type w:val="continuous"/>
        </w:sectPr>
      </w:pP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 Miscellaneous.</w:t>
      </w:r>
    </w:p>
    <w:p>
      <w:pPr>
        <w:spacing w:after="0" w:line="185" w:lineRule="exact"/>
        <w:rPr>
          <w:sz w:val="20"/>
          <w:szCs w:val="20"/>
          <w:color w:val="auto"/>
        </w:rPr>
      </w:pPr>
    </w:p>
    <w:p>
      <w:pPr>
        <w:ind w:right="20" w:firstLine="233"/>
        <w:spacing w:after="0" w:line="282" w:lineRule="auto"/>
        <w:tabs>
          <w:tab w:leader="none" w:pos="47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134" w:lineRule="exact"/>
        <w:rPr>
          <w:rFonts w:ascii="Arial" w:cs="Arial" w:eastAsia="Arial" w:hAnsi="Arial"/>
          <w:sz w:val="18"/>
          <w:szCs w:val="18"/>
          <w:b w:val="1"/>
          <w:bCs w:val="1"/>
          <w:color w:val="auto"/>
        </w:rPr>
      </w:pPr>
    </w:p>
    <w:p>
      <w:pPr>
        <w:ind w:right="180" w:firstLine="233"/>
        <w:spacing w:after="0" w:line="266" w:lineRule="auto"/>
        <w:tabs>
          <w:tab w:leader="none" w:pos="49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135" w:lineRule="exact"/>
        <w:rPr>
          <w:rFonts w:ascii="Arial" w:cs="Arial" w:eastAsia="Arial" w:hAnsi="Arial"/>
          <w:sz w:val="18"/>
          <w:szCs w:val="18"/>
          <w:b w:val="1"/>
          <w:bCs w:val="1"/>
          <w:color w:val="auto"/>
        </w:rPr>
      </w:pPr>
    </w:p>
    <w:p>
      <w:pPr>
        <w:ind w:left="480" w:hanging="247"/>
        <w:spacing w:after="0"/>
        <w:tabs>
          <w:tab w:leader="none" w:pos="4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207" w:lineRule="exact"/>
        <w:rPr>
          <w:rFonts w:ascii="Arial" w:cs="Arial" w:eastAsia="Arial" w:hAnsi="Arial"/>
          <w:sz w:val="16"/>
          <w:szCs w:val="16"/>
          <w:b w:val="1"/>
          <w:bCs w:val="1"/>
          <w:color w:val="auto"/>
        </w:rPr>
      </w:pPr>
    </w:p>
    <w:p>
      <w:pPr>
        <w:ind w:left="500" w:hanging="267"/>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198" w:lineRule="exact"/>
        <w:rPr>
          <w:rFonts w:ascii="Arial" w:cs="Arial" w:eastAsia="Arial" w:hAnsi="Arial"/>
          <w:sz w:val="18"/>
          <w:szCs w:val="18"/>
          <w:b w:val="1"/>
          <w:bCs w:val="1"/>
          <w:color w:val="auto"/>
        </w:rPr>
      </w:pPr>
    </w:p>
    <w:p>
      <w:pPr>
        <w:ind w:firstLine="233"/>
        <w:spacing w:after="0" w:line="282" w:lineRule="auto"/>
        <w:tabs>
          <w:tab w:leader="none" w:pos="47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type w:val="continuous"/>
        </w:sectPr>
      </w:pPr>
    </w:p>
    <w:bookmarkStart w:id="25" w:name="page26"/>
    <w:bookmarkEnd w:id="25"/>
    <w:p>
      <w:pPr>
        <w:ind w:left="24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6720" w:type="dxa"/>
            <w:vAlign w:val="bottom"/>
            <w:gridSpan w:val="2"/>
          </w:tcPr>
          <w:p>
            <w:pPr>
              <w:ind w:left="900"/>
              <w:spacing w:after="0"/>
              <w:rPr>
                <w:sz w:val="20"/>
                <w:szCs w:val="20"/>
                <w:color w:val="auto"/>
              </w:rPr>
            </w:pPr>
            <w:r>
              <w:rPr>
                <w:rFonts w:ascii="Arial" w:cs="Arial" w:eastAsia="Arial" w:hAnsi="Arial"/>
                <w:sz w:val="18"/>
                <w:szCs w:val="18"/>
                <w:b w:val="1"/>
                <w:bCs w:val="1"/>
                <w:color w:val="auto"/>
              </w:rPr>
              <w:t>WASTE MANAGEMENT, INC.</w:t>
            </w:r>
          </w:p>
        </w:tc>
      </w:tr>
      <w:tr>
        <w:trPr>
          <w:trHeight w:val="230"/>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Aardsma</w:t>
            </w:r>
          </w:p>
        </w:tc>
        <w:tc>
          <w:tcPr>
            <w:tcW w:w="6720" w:type="dxa"/>
            <w:vAlign w:val="bottom"/>
            <w:gridSpan w:val="2"/>
          </w:tcPr>
          <w:p>
            <w:pPr>
              <w:ind w:left="900"/>
              <w:spacing w:after="0"/>
              <w:rPr>
                <w:sz w:val="20"/>
                <w:szCs w:val="20"/>
                <w:color w:val="auto"/>
              </w:rPr>
            </w:pPr>
            <w:r>
              <w:rPr>
                <w:rFonts w:ascii="Arial" w:cs="Arial" w:eastAsia="Arial" w:hAnsi="Arial"/>
                <w:sz w:val="18"/>
                <w:szCs w:val="18"/>
                <w:color w:val="auto"/>
              </w:rPr>
              <w:t>(The “Company”)</w:t>
            </w:r>
          </w:p>
        </w:tc>
      </w:tr>
      <w:tr>
        <w:trPr>
          <w:trHeight w:val="209"/>
        </w:trPr>
        <w:tc>
          <w:tcPr>
            <w:tcW w:w="4700" w:type="dxa"/>
            <w:vAlign w:val="bottom"/>
            <w:gridSpan w:val="2"/>
          </w:tcPr>
          <w:p>
            <w:pPr>
              <w:spacing w:after="0"/>
              <w:rPr>
                <w:sz w:val="20"/>
                <w:szCs w:val="20"/>
                <w:color w:val="auto"/>
              </w:rPr>
            </w:pPr>
            <w:r>
              <w:rPr>
                <w:rFonts w:ascii="Arial" w:cs="Arial" w:eastAsia="Arial" w:hAnsi="Arial"/>
                <w:sz w:val="18"/>
                <w:szCs w:val="18"/>
                <w:color w:val="auto"/>
              </w:rPr>
              <w:t>David Aardsma</w:t>
            </w:r>
          </w:p>
        </w:tc>
        <w:tc>
          <w:tcPr>
            <w:tcW w:w="1380" w:type="dxa"/>
            <w:vAlign w:val="bottom"/>
          </w:tcPr>
          <w:p>
            <w:pPr>
              <w:spacing w:after="0"/>
              <w:rPr>
                <w:sz w:val="18"/>
                <w:szCs w:val="18"/>
                <w:color w:val="auto"/>
              </w:rPr>
            </w:pPr>
          </w:p>
        </w:tc>
        <w:tc>
          <w:tcPr>
            <w:tcW w:w="5340" w:type="dxa"/>
            <w:vAlign w:val="bottom"/>
          </w:tcPr>
          <w:p>
            <w:pPr>
              <w:spacing w:after="0"/>
              <w:rPr>
                <w:sz w:val="18"/>
                <w:szCs w:val="18"/>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13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720" w:type="dxa"/>
            <w:vAlign w:val="bottom"/>
            <w:gridSpan w:val="2"/>
          </w:tcPr>
          <w:p>
            <w:pPr>
              <w:ind w:left="900"/>
              <w:spacing w:after="0"/>
              <w:rPr>
                <w:sz w:val="20"/>
                <w:szCs w:val="20"/>
                <w:color w:val="auto"/>
              </w:rPr>
            </w:pPr>
            <w:r>
              <w:rPr>
                <w:rFonts w:ascii="Arial" w:cs="Arial" w:eastAsia="Arial" w:hAnsi="Arial"/>
                <w:sz w:val="18"/>
                <w:szCs w:val="18"/>
                <w:color w:val="auto"/>
              </w:rPr>
              <w:t>By:   /s/ Jimmy LaValley</w:t>
            </w:r>
          </w:p>
        </w:tc>
      </w:tr>
      <w:tr>
        <w:trPr>
          <w:trHeight w:val="209"/>
        </w:trPr>
        <w:tc>
          <w:tcPr>
            <w:tcW w:w="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Home Address</w:t>
            </w:r>
          </w:p>
        </w:tc>
        <w:tc>
          <w:tcPr>
            <w:tcW w:w="1380" w:type="dxa"/>
            <w:vAlign w:val="bottom"/>
          </w:tcPr>
          <w:p>
            <w:pPr>
              <w:spacing w:after="0"/>
              <w:rPr>
                <w:sz w:val="18"/>
                <w:szCs w:val="18"/>
                <w:color w:val="auto"/>
              </w:rPr>
            </w:pPr>
          </w:p>
        </w:tc>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LaValley</w:t>
            </w:r>
          </w:p>
        </w:tc>
      </w:tr>
      <w:tr>
        <w:trPr>
          <w:trHeight w:val="230"/>
        </w:trPr>
        <w:tc>
          <w:tcPr>
            <w:tcW w:w="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SVP — Human Resources</w:t>
            </w:r>
          </w:p>
        </w:tc>
      </w:tr>
      <w:tr>
        <w:trPr>
          <w:trHeight w:val="224"/>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City, State, ZIP Code</w:t>
            </w:r>
          </w:p>
        </w:tc>
        <w:tc>
          <w:tcPr>
            <w:tcW w:w="138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39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80" w:type="dxa"/>
            <w:vAlign w:val="bottom"/>
          </w:tcPr>
          <w:p>
            <w:pPr>
              <w:ind w:left="920"/>
              <w:spacing w:after="0"/>
              <w:rPr>
                <w:sz w:val="20"/>
                <w:szCs w:val="20"/>
                <w:color w:val="auto"/>
              </w:rPr>
            </w:pPr>
            <w:r>
              <w:rPr>
                <w:rFonts w:ascii="Arial" w:cs="Arial" w:eastAsia="Arial" w:hAnsi="Arial"/>
                <w:sz w:val="18"/>
                <w:szCs w:val="18"/>
                <w:color w:val="auto"/>
              </w:rPr>
              <w:t>20</w:t>
            </w:r>
          </w:p>
        </w:tc>
        <w:tc>
          <w:tcPr>
            <w:tcW w:w="53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lowerLetter"/>
      <w:start w:val="1"/>
    </w:lvl>
  </w:abstractNum>
  <w:abstractNum w:abstractNumId="1">
    <w:nsid w:val="189A769B"/>
    <w:multiLevelType w:val="hybridMultilevel"/>
    <w:lvl w:ilvl="0">
      <w:lvlJc w:val="left"/>
      <w:lvlText w:val="(%1)"/>
      <w:numFmt w:val="lowerLetter"/>
      <w:start w:val="1"/>
    </w:lvl>
  </w:abstractNum>
  <w:abstractNum w:abstractNumId="2">
    <w:nsid w:val="54E49EB4"/>
    <w:multiLevelType w:val="hybridMultilevel"/>
    <w:lvl w:ilvl="0">
      <w:lvlJc w:val="left"/>
      <w:lvlText w:val="(%1)"/>
      <w:numFmt w:val="lowerLetter"/>
      <w:start w:val="4"/>
    </w:lvl>
  </w:abstractNum>
  <w:abstractNum w:abstractNumId="3">
    <w:nsid w:val="71F32454"/>
    <w:multiLevelType w:val="hybridMultilevel"/>
    <w:lvl w:ilvl="0">
      <w:lvlJc w:val="left"/>
      <w:lvlText w:val="(%1)"/>
      <w:numFmt w:val="lowerRoman"/>
      <w:start w:val="1"/>
    </w:lvl>
  </w:abstractNum>
  <w:abstractNum w:abstractNumId="4">
    <w:nsid w:val="2CA88611"/>
    <w:multiLevelType w:val="hybridMultilevel"/>
    <w:lvl w:ilvl="0">
      <w:lvlJc w:val="left"/>
      <w:lvlText w:val="(%1)"/>
      <w:numFmt w:val="lowerRoman"/>
      <w:start w:val="2"/>
    </w:lvl>
  </w:abstractNum>
  <w:abstractNum w:abstractNumId="5">
    <w:nsid w:val="836C40E"/>
    <w:multiLevelType w:val="hybridMultilevel"/>
    <w:lvl w:ilvl="0">
      <w:lvlJc w:val="left"/>
      <w:lvlText w:val="(%1)"/>
      <w:numFmt w:val="lowerLetter"/>
      <w:start w:val="1"/>
    </w:lvl>
    <w:lvl w:ilvl="1">
      <w:lvlJc w:val="left"/>
      <w:lvlText w:val="%2"/>
      <w:numFmt w:val="lowerLetter"/>
      <w:start w:val="1"/>
    </w:lvl>
  </w:abstractNum>
  <w:abstractNum w:abstractNumId="6">
    <w:nsid w:val="2901D82"/>
    <w:multiLevelType w:val="hybridMultilevel"/>
    <w:lvl w:ilvl="0">
      <w:lvlJc w:val="left"/>
      <w:lvlText w:val="(%1)"/>
      <w:numFmt w:val="lowerLetter"/>
      <w:start w:val="9"/>
    </w:lvl>
    <w:lvl w:ilvl="1">
      <w:lvlJc w:val="left"/>
      <w:lvlText w:val="%2"/>
      <w:numFmt w:val="lowerLetter"/>
      <w:start w:val="1"/>
    </w:lvl>
  </w:abstractNum>
  <w:abstractNum w:abstractNumId="7">
    <w:nsid w:val="3A95F874"/>
    <w:multiLevelType w:val="hybridMultilevel"/>
    <w:lvl w:ilvl="0">
      <w:lvlJc w:val="left"/>
      <w:lvlText w:val="(%1)"/>
      <w:numFmt w:val="lowerLetter"/>
      <w:start w:val="35"/>
    </w:lvl>
    <w:lvl w:ilvl="1">
      <w:lvlJc w:val="left"/>
      <w:lvlText w:val="%2"/>
      <w:numFmt w:val="lowerLetter"/>
      <w:start w:val="1"/>
    </w:lvl>
  </w:abstractNum>
  <w:abstractNum w:abstractNumId="8">
    <w:nsid w:val="8138641"/>
    <w:multiLevelType w:val="hybridMultilevel"/>
    <w:lvl w:ilvl="0">
      <w:lvlJc w:val="left"/>
      <w:lvlText w:val="(%1)"/>
      <w:numFmt w:val="lowerLetter"/>
      <w:start w:val="4"/>
    </w:lvl>
    <w:lvl w:ilvl="1">
      <w:lvlJc w:val="left"/>
      <w:lvlText w:val="%2"/>
      <w:numFmt w:val="lowerLetter"/>
      <w:start w:val="1"/>
    </w:lvl>
  </w:abstractNum>
  <w:abstractNum w:abstractNumId="9">
    <w:nsid w:val="1E7FF521"/>
    <w:multiLevelType w:val="hybridMultilevel"/>
    <w:lvl w:ilvl="0">
      <w:lvlJc w:val="left"/>
      <w:lvlText w:val="(%1)"/>
      <w:numFmt w:val="lowerRoman"/>
      <w:start w:val="1"/>
    </w:lvl>
  </w:abstractNum>
  <w:abstractNum w:abstractNumId="10">
    <w:nsid w:val="7C3DBD3D"/>
    <w:multiLevelType w:val="hybridMultilevel"/>
    <w:lvl w:ilvl="0">
      <w:lvlJc w:val="left"/>
      <w:lvlText w:val="(%1)"/>
      <w:numFmt w:val="lowerRoman"/>
      <w:start w:val="2"/>
    </w:lvl>
  </w:abstractNum>
  <w:abstractNum w:abstractNumId="11">
    <w:nsid w:val="737B8DDC"/>
    <w:multiLevelType w:val="hybridMultilevel"/>
    <w:lvl w:ilvl="0">
      <w:lvlJc w:val="left"/>
      <w:lvlText w:val="(%1)"/>
      <w:numFmt w:val="lowerLetter"/>
      <w:start w:val="5"/>
    </w:lvl>
  </w:abstractNum>
  <w:abstractNum w:abstractNumId="12">
    <w:nsid w:val="6CEAF087"/>
    <w:multiLevelType w:val="hybridMultilevel"/>
    <w:lvl w:ilvl="0">
      <w:lvlJc w:val="left"/>
      <w:lvlText w:val="(%1)"/>
      <w:numFmt w:val="lowerLetter"/>
      <w:start w:val="1"/>
    </w:lvl>
    <w:lvl w:ilvl="1">
      <w:lvlJc w:val="left"/>
      <w:lvlText w:val="%2"/>
      <w:numFmt w:val="lowerLetter"/>
      <w:start w:val="1"/>
    </w:lvl>
  </w:abstractNum>
  <w:abstractNum w:abstractNumId="13">
    <w:nsid w:val="22221A70"/>
    <w:multiLevelType w:val="hybridMultilevel"/>
    <w:lvl w:ilvl="0">
      <w:lvlJc w:val="left"/>
      <w:lvlText w:val="(%1)"/>
      <w:numFmt w:val="lowerLetter"/>
      <w:start w:val="9"/>
    </w:lvl>
    <w:lvl w:ilvl="1">
      <w:lvlJc w:val="left"/>
      <w:lvlText w:val="%2"/>
      <w:numFmt w:val="lowerLetter"/>
      <w:start w:val="1"/>
    </w:lvl>
  </w:abstractNum>
  <w:abstractNum w:abstractNumId="14">
    <w:nsid w:val="4516DDE9"/>
    <w:multiLevelType w:val="hybridMultilevel"/>
    <w:lvl w:ilvl="0">
      <w:lvlJc w:val="left"/>
      <w:lvlText w:val="(%1)"/>
      <w:numFmt w:val="lowerLetter"/>
      <w:start w:val="35"/>
    </w:lvl>
    <w:lvl w:ilvl="1">
      <w:lvlJc w:val="left"/>
      <w:lvlText w:val="%2"/>
      <w:numFmt w:val="lowerLetter"/>
      <w:start w:val="1"/>
    </w:lvl>
  </w:abstractNum>
  <w:abstractNum w:abstractNumId="15">
    <w:nsid w:val="3006C83E"/>
    <w:multiLevelType w:val="hybridMultilevel"/>
    <w:lvl w:ilvl="0">
      <w:lvlJc w:val="left"/>
      <w:lvlText w:val="(%1)"/>
      <w:numFmt w:val="lowerLetter"/>
      <w:start w:val="2"/>
    </w:lvl>
    <w:lvl w:ilvl="1">
      <w:lvlJc w:val="left"/>
      <w:lvlText w:val="%2"/>
      <w:numFmt w:val="lowerLetter"/>
      <w:start w:val="1"/>
    </w:lvl>
  </w:abstractNum>
  <w:abstractNum w:abstractNumId="16">
    <w:nsid w:val="614FD4A1"/>
    <w:multiLevelType w:val="hybridMultilevel"/>
    <w:lvl w:ilvl="0">
      <w:lvlJc w:val="left"/>
      <w:lvlText w:val="(%1)"/>
      <w:numFmt w:val="lowerRoman"/>
      <w:start w:val="1"/>
    </w:lvl>
  </w:abstractNum>
  <w:abstractNum w:abstractNumId="17">
    <w:nsid w:val="419AC241"/>
    <w:multiLevelType w:val="hybridMultilevel"/>
    <w:lvl w:ilvl="0">
      <w:lvlJc w:val="left"/>
      <w:lvlText w:val="%1"/>
      <w:numFmt w:val="lowerRoman"/>
      <w:start w:val="1"/>
    </w:lvl>
    <w:lvl w:ilvl="1">
      <w:lvlJc w:val="left"/>
      <w:lvlText w:val="(%2)"/>
      <w:numFmt w:val="lowerLetter"/>
      <w:start w:val="3"/>
    </w:lvl>
  </w:abstractNum>
  <w:abstractNum w:abstractNumId="18">
    <w:nsid w:val="5577F8E1"/>
    <w:multiLevelType w:val="hybridMultilevel"/>
    <w:lvl w:ilvl="0">
      <w:lvlJc w:val="left"/>
      <w:lvlText w:val="%1"/>
      <w:numFmt w:val="lowerRoman"/>
      <w:start w:val="1"/>
    </w:lvl>
    <w:lvl w:ilvl="1">
      <w:lvlJc w:val="left"/>
      <w:lvlText w:val="(%2)"/>
      <w:numFmt w:val="lowerLetter"/>
      <w:start w:val="9"/>
    </w:lvl>
  </w:abstractNum>
  <w:abstractNum w:abstractNumId="19">
    <w:nsid w:val="440BADFC"/>
    <w:multiLevelType w:val="hybridMultilevel"/>
    <w:lvl w:ilvl="0">
      <w:lvlJc w:val="left"/>
      <w:lvlText w:val="%1"/>
      <w:numFmt w:val="lowerRoman"/>
      <w:start w:val="1"/>
    </w:lvl>
    <w:lvl w:ilvl="1">
      <w:lvlJc w:val="left"/>
      <w:lvlText w:val="(%2)"/>
      <w:numFmt w:val="lowerLetter"/>
      <w:start w:val="35"/>
    </w:lvl>
  </w:abstractNum>
  <w:abstractNum w:abstractNumId="20">
    <w:nsid w:val="5072367"/>
    <w:multiLevelType w:val="hybridMultilevel"/>
    <w:lvl w:ilvl="0">
      <w:lvlJc w:val="left"/>
      <w:lvlText w:val="%1"/>
      <w:numFmt w:val="lowerRoman"/>
      <w:start w:val="1"/>
    </w:lvl>
    <w:lvl w:ilvl="1">
      <w:lvlJc w:val="left"/>
      <w:lvlText w:val="(%2)"/>
      <w:numFmt w:val="lowerLetter"/>
      <w:start w:val="4"/>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lowerRoman"/>
      <w:start w:val="2"/>
    </w:lvl>
  </w:abstractNum>
  <w:abstractNum w:abstractNumId="23">
    <w:nsid w:val="7724C67E"/>
    <w:multiLevelType w:val="hybridMultilevel"/>
    <w:lvl w:ilvl="0">
      <w:lvlJc w:val="left"/>
      <w:lvlText w:val="%1"/>
      <w:numFmt w:val="lowerRoman"/>
      <w:start w:val="1"/>
    </w:lvl>
    <w:lvl w:ilvl="1">
      <w:lvlJc w:val="left"/>
      <w:lvlText w:val="(%2)"/>
      <w:numFmt w:val="lowerLetter"/>
      <w:start w:val="5"/>
    </w:lvl>
  </w:abstractNum>
  <w:abstractNum w:abstractNumId="24">
    <w:nsid w:val="5C482A97"/>
    <w:multiLevelType w:val="hybridMultilevel"/>
    <w:lvl w:ilvl="0">
      <w:lvlJc w:val="left"/>
      <w:lvlText w:val="%1"/>
      <w:numFmt w:val="lowerRoman"/>
      <w:start w:val="1"/>
    </w:lvl>
    <w:lvl w:ilvl="1">
      <w:lvlJc w:val="left"/>
      <w:lvlText w:val="(%2)"/>
      <w:numFmt w:val="lowerLetter"/>
      <w:start w:val="9"/>
    </w:lvl>
  </w:abstractNum>
  <w:abstractNum w:abstractNumId="25">
    <w:nsid w:val="2463B9EA"/>
    <w:multiLevelType w:val="hybridMultilevel"/>
    <w:lvl w:ilvl="0">
      <w:lvlJc w:val="left"/>
      <w:lvlText w:val="%1"/>
      <w:numFmt w:val="lowerRoman"/>
      <w:start w:val="1"/>
    </w:lvl>
    <w:lvl w:ilvl="1">
      <w:lvlJc w:val="left"/>
      <w:lvlText w:val="(%2)"/>
      <w:numFmt w:val="lowerLetter"/>
      <w:start w:val="35"/>
    </w:lvl>
  </w:abstractNum>
  <w:abstractNum w:abstractNumId="26">
    <w:nsid w:val="5E884ADC"/>
    <w:multiLevelType w:val="hybridMultilevel"/>
    <w:lvl w:ilvl="0">
      <w:lvlJc w:val="left"/>
      <w:lvlText w:val="%1"/>
      <w:numFmt w:val="lowerRoman"/>
      <w:start w:val="1"/>
    </w:lvl>
    <w:lvl w:ilvl="1">
      <w:lvlJc w:val="left"/>
      <w:lvlText w:val="(%2)"/>
      <w:numFmt w:val="lowerLetter"/>
      <w:start w:val="61"/>
    </w:lvl>
  </w:abstractNum>
  <w:abstractNum w:abstractNumId="27">
    <w:nsid w:val="51EAD36B"/>
    <w:multiLevelType w:val="hybridMultilevel"/>
    <w:lvl w:ilvl="0">
      <w:lvlJc w:val="left"/>
      <w:lvlText w:val="(%1)"/>
      <w:numFmt w:val="lowerRoman"/>
      <w:start w:val="4"/>
    </w:lvl>
    <w:lvl w:ilvl="1">
      <w:lvlJc w:val="left"/>
      <w:lvlText w:val="%2"/>
      <w:numFmt w:val="lowerLetter"/>
      <w:start w:val="1"/>
    </w:lvl>
  </w:abstractNum>
  <w:abstractNum w:abstractNumId="28">
    <w:nsid w:val="2D517796"/>
    <w:multiLevelType w:val="hybridMultilevel"/>
    <w:lvl w:ilvl="0">
      <w:lvlJc w:val="left"/>
      <w:lvlText w:val="(%1)"/>
      <w:numFmt w:val="lowerRoman"/>
      <w:start w:val="5"/>
    </w:lvl>
  </w:abstractNum>
  <w:abstractNum w:abstractNumId="29">
    <w:nsid w:val="580BD78F"/>
    <w:multiLevelType w:val="hybridMultilevel"/>
    <w:lvl w:ilvl="0">
      <w:lvlJc w:val="left"/>
      <w:lvlText w:val="%1"/>
      <w:numFmt w:val="lowerRoman"/>
      <w:start w:val="1"/>
    </w:lvl>
    <w:lvl w:ilvl="1">
      <w:lvlJc w:val="left"/>
      <w:lvlText w:val="(%2)"/>
      <w:numFmt w:val="lowerLetter"/>
      <w:start w:val="6"/>
    </w:lvl>
  </w:abstractNum>
  <w:abstractNum w:abstractNumId="30">
    <w:nsid w:val="153EA438"/>
    <w:multiLevelType w:val="hybridMultilevel"/>
    <w:lvl w:ilvl="0">
      <w:lvlJc w:val="left"/>
      <w:lvlText w:val="%1"/>
      <w:numFmt w:val="lowerRoman"/>
      <w:start w:val="1"/>
    </w:lvl>
    <w:lvl w:ilvl="1">
      <w:lvlJc w:val="left"/>
      <w:lvlText w:val="(%2)"/>
      <w:numFmt w:val="lowerLetter"/>
      <w:start w:val="9"/>
    </w:lvl>
  </w:abstractNum>
  <w:abstractNum w:abstractNumId="31">
    <w:nsid w:val="3855585C"/>
    <w:multiLevelType w:val="hybridMultilevel"/>
    <w:lvl w:ilvl="0">
      <w:lvlJc w:val="left"/>
      <w:lvlText w:val="%1"/>
      <w:numFmt w:val="lowerRoman"/>
      <w:start w:val="1"/>
    </w:lvl>
    <w:lvl w:ilvl="1">
      <w:lvlJc w:val="left"/>
      <w:lvlText w:val="(%2)"/>
      <w:numFmt w:val="lowerLetter"/>
      <w:start w:val="35"/>
    </w:lvl>
  </w:abstractNum>
  <w:abstractNum w:abstractNumId="32">
    <w:nsid w:val="70A64E2A"/>
    <w:multiLevelType w:val="hybridMultilevel"/>
    <w:lvl w:ilvl="0">
      <w:lvlJc w:val="left"/>
      <w:lvlText w:val="%1"/>
      <w:numFmt w:val="lowerRoman"/>
      <w:start w:val="1"/>
    </w:lvl>
    <w:lvl w:ilvl="1">
      <w:lvlJc w:val="left"/>
      <w:lvlText w:val="(%2)"/>
      <w:numFmt w:val="lowerLetter"/>
      <w:start w:val="1"/>
    </w:lvl>
  </w:abstractNum>
  <w:abstractNum w:abstractNumId="33">
    <w:nsid w:val="6A2342EC"/>
    <w:multiLevelType w:val="hybridMultilevel"/>
    <w:lvl w:ilvl="0">
      <w:lvlJc w:val="left"/>
      <w:lvlText w:val="%1"/>
      <w:numFmt w:val="lowerRoman"/>
      <w:start w:val="1"/>
    </w:lvl>
    <w:lvl w:ilvl="1">
      <w:lvlJc w:val="left"/>
      <w:lvlText w:val="(%2)"/>
      <w:numFmt w:val="lowerLetter"/>
      <w:start w:val="9"/>
    </w:lvl>
  </w:abstractNum>
  <w:abstractNum w:abstractNumId="34">
    <w:nsid w:val="2A487CB0"/>
    <w:multiLevelType w:val="hybridMultilevel"/>
    <w:lvl w:ilvl="0">
      <w:lvlJc w:val="left"/>
      <w:lvlText w:val="%1"/>
      <w:numFmt w:val="lowerRoman"/>
      <w:start w:val="1"/>
    </w:lvl>
    <w:lvl w:ilvl="1">
      <w:lvlJc w:val="left"/>
      <w:lvlText w:val="(%2)"/>
      <w:numFmt w:val="lowerLetter"/>
      <w:start w:val="35"/>
    </w:lvl>
  </w:abstractNum>
  <w:abstractNum w:abstractNumId="35">
    <w:nsid w:val="1D4ED43B"/>
    <w:multiLevelType w:val="hybridMultilevel"/>
    <w:lvl w:ilvl="0">
      <w:lvlJc w:val="left"/>
      <w:lvlText w:val="%1"/>
      <w:numFmt w:val="lowerRoman"/>
      <w:start w:val="1"/>
    </w:lvl>
    <w:lvl w:ilvl="1">
      <w:lvlJc w:val="left"/>
      <w:lvlText w:val="(%2)"/>
      <w:numFmt w:val="lowerLetter"/>
      <w:start w:val="2"/>
    </w:lvl>
  </w:abstractNum>
  <w:abstractNum w:abstractNumId="36">
    <w:nsid w:val="725A06FB"/>
    <w:multiLevelType w:val="hybridMultilevel"/>
    <w:lvl w:ilvl="0">
      <w:lvlJc w:val="left"/>
      <w:lvlText w:val="%1"/>
      <w:numFmt w:val="lowerRoman"/>
      <w:start w:val="1"/>
    </w:lvl>
    <w:lvl w:ilvl="1">
      <w:lvlJc w:val="left"/>
      <w:lvlText w:val="(%2)"/>
      <w:numFmt w:val="lowerLetter"/>
      <w:start w:val="9"/>
    </w:lvl>
  </w:abstractNum>
  <w:abstractNum w:abstractNumId="37">
    <w:nsid w:val="2CD89A32"/>
    <w:multiLevelType w:val="hybridMultilevel"/>
    <w:lvl w:ilvl="0">
      <w:lvlJc w:val="left"/>
      <w:lvlText w:val="%1"/>
      <w:numFmt w:val="lowerRoman"/>
      <w:start w:val="1"/>
    </w:lvl>
    <w:lvl w:ilvl="1">
      <w:lvlJc w:val="left"/>
      <w:lvlText w:val="(%2)"/>
      <w:numFmt w:val="lowerLetter"/>
      <w:start w:val="35"/>
    </w:lvl>
  </w:abstractNum>
  <w:abstractNum w:abstractNumId="38">
    <w:nsid w:val="57E4CCAF"/>
    <w:multiLevelType w:val="hybridMultilevel"/>
    <w:lvl w:ilvl="0">
      <w:lvlJc w:val="left"/>
      <w:lvlText w:val="%1"/>
      <w:numFmt w:val="lowerRoman"/>
      <w:start w:val="1"/>
    </w:lvl>
    <w:lvl w:ilvl="1">
      <w:lvlJc w:val="left"/>
      <w:lvlText w:val="(%2)"/>
      <w:numFmt w:val="lowerLetter"/>
      <w:start w:val="61"/>
    </w:lvl>
  </w:abstractNum>
  <w:abstractNum w:abstractNumId="39">
    <w:nsid w:val="7A6D8D3C"/>
    <w:multiLevelType w:val="hybridMultilevel"/>
    <w:lvl w:ilvl="0">
      <w:lvlJc w:val="left"/>
      <w:lvlText w:val="(%1)"/>
      <w:numFmt w:val="lowerRoman"/>
      <w:start w:val="4"/>
    </w:lvl>
  </w:abstractNum>
  <w:abstractNum w:abstractNumId="40">
    <w:nsid w:val="4B588F54"/>
    <w:multiLevelType w:val="hybridMultilevel"/>
    <w:lvl w:ilvl="0">
      <w:lvlJc w:val="left"/>
      <w:lvlText w:val="%1"/>
      <w:numFmt w:val="lowerLetter"/>
      <w:start w:val="1"/>
    </w:lvl>
    <w:lvl w:ilvl="1">
      <w:lvlJc w:val="left"/>
      <w:lvlText w:val="(%2)"/>
      <w:numFmt w:val="lowerRoman"/>
      <w:start w:val="6"/>
    </w:lvl>
    <w:lvl w:ilvl="2">
      <w:lvlJc w:val="left"/>
      <w:lvlText w:val="%3"/>
      <w:numFmt w:val="lowerLetter"/>
      <w:start w:val="1"/>
    </w:lvl>
  </w:abstractNum>
  <w:abstractNum w:abstractNumId="41">
    <w:nsid w:val="542289E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42">
    <w:nsid w:val="6DE91B18"/>
    <w:multiLevelType w:val="hybridMultilevel"/>
    <w:lvl w:ilvl="0">
      <w:lvlJc w:val="left"/>
      <w:lvlText w:val="(%1)"/>
      <w:numFmt w:val="lowerRoman"/>
      <w:start w:val="2"/>
    </w:lvl>
  </w:abstractNum>
  <w:abstractNum w:abstractNumId="43">
    <w:nsid w:val="38437FDB"/>
    <w:multiLevelType w:val="hybridMultilevel"/>
    <w:lvl w:ilvl="0">
      <w:lvlJc w:val="left"/>
      <w:lvlText w:val="%1."/>
      <w:numFmt w:val="decimal"/>
      <w:start w:val="8"/>
    </w:lvl>
  </w:abstractNum>
  <w:abstractNum w:abstractNumId="44">
    <w:nsid w:val="7644A45C"/>
    <w:multiLevelType w:val="hybridMultilevel"/>
    <w:lvl w:ilvl="0">
      <w:lvlJc w:val="left"/>
      <w:lvlText w:val="%1."/>
      <w:numFmt w:val="decimal"/>
      <w:start w:val="9"/>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3"/>
    </w:lvl>
  </w:abstractNum>
  <w:abstractNum w:abstractNumId="47">
    <w:nsid w:val="579478FE"/>
    <w:multiLevelType w:val="hybridMultilevel"/>
    <w:lvl w:ilvl="0">
      <w:lvlJc w:val="left"/>
      <w:lvlText w:val="(%1)"/>
      <w:numFmt w:val="lowerLetter"/>
      <w:start w:val="4"/>
    </w:lvl>
  </w:abstractNum>
  <w:abstractNum w:abstractNumId="48">
    <w:nsid w:val="749ABB43"/>
    <w:multiLevelType w:val="hybridMultilevel"/>
    <w:lvl w:ilvl="0">
      <w:lvlJc w:val="left"/>
      <w:lvlText w:val="%1"/>
      <w:numFmt w:val="upperLetter"/>
      <w:start w:val="1"/>
    </w:lvl>
    <w:lvl w:ilvl="1">
      <w:lvlJc w:val="left"/>
      <w:lvlText w:val="(%2)"/>
      <w:numFmt w:val="lowerLetter"/>
      <w:start w:val="1"/>
    </w:lvl>
  </w:abstractNum>
  <w:abstractNum w:abstractNumId="49">
    <w:nsid w:val="3DC240FB"/>
    <w:multiLevelType w:val="hybridMultilevel"/>
    <w:lvl w:ilvl="0">
      <w:lvlJc w:val="left"/>
      <w:lvlText w:val="(%1)"/>
      <w:numFmt w:val="upperLetter"/>
      <w:start w:val="2"/>
    </w:lvl>
    <w:lvl w:ilvl="1">
      <w:lvlJc w:val="left"/>
      <w:lvlText w:val="(%2)"/>
      <w:numFmt w:val="lowerLetter"/>
      <w:start w:val="3"/>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2019-12-20T03:51:37Z</dcterms:created>
  <dcterms:modified xsi:type="dcterms:W3CDTF">2019-12-20T03:51:37Z</dcterms:modified>
</cp:coreProperties>
</file>