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20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57"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22, 2014 was 466,401,578 (excluding treasury shares of 163,880,883).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20" w:type="dxa"/>
            <w:vAlign w:val="bottom"/>
          </w:tcPr>
          <w:p>
            <w:pPr>
              <w:jc w:val="center"/>
              <w:ind w:left="1320"/>
              <w:spacing w:after="0"/>
              <w:rPr>
                <w:sz w:val="20"/>
                <w:szCs w:val="20"/>
                <w:color w:val="auto"/>
              </w:rPr>
            </w:pPr>
            <w:r>
              <w:rPr>
                <w:rFonts w:ascii="Arial" w:cs="Arial" w:eastAsia="Arial" w:hAnsi="Arial"/>
                <w:sz w:val="18"/>
                <w:szCs w:val="18"/>
                <w:b w:val="1"/>
                <w:bCs w:val="1"/>
                <w:color w:val="auto"/>
                <w:w w:val="96"/>
              </w:rPr>
              <w:t>PART I.</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20" w:type="dxa"/>
            <w:vAlign w:val="bottom"/>
          </w:tcPr>
          <w:p>
            <w:pPr>
              <w:jc w:val="center"/>
              <w:ind w:left="1320"/>
              <w:spacing w:after="0"/>
              <w:rPr>
                <w:sz w:val="20"/>
                <w:szCs w:val="20"/>
                <w:color w:val="auto"/>
              </w:rPr>
            </w:pPr>
            <w:r>
              <w:rPr>
                <w:rFonts w:ascii="Arial" w:cs="Arial" w:eastAsia="Arial" w:hAnsi="Arial"/>
                <w:sz w:val="18"/>
                <w:szCs w:val="18"/>
                <w:b w:val="1"/>
                <w:bCs w:val="1"/>
                <w:color w:val="auto"/>
                <w:w w:val="97"/>
              </w:rPr>
              <w:t>WASTE MANAGEMENT, INC.</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20" w:type="dxa"/>
            <w:vAlign w:val="bottom"/>
          </w:tcPr>
          <w:p>
            <w:pPr>
              <w:jc w:val="center"/>
              <w:ind w:left="1320"/>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20" w:type="dxa"/>
            <w:vAlign w:val="bottom"/>
          </w:tcPr>
          <w:p>
            <w:pPr>
              <w:jc w:val="center"/>
              <w:ind w:left="1320"/>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20" w:type="dxa"/>
            <w:vAlign w:val="bottom"/>
            <w:shd w:val="clear" w:color="auto" w:fill="CCEEFF"/>
          </w:tcPr>
          <w:p>
            <w:pPr>
              <w:jc w:val="center"/>
              <w:ind w:left="1240"/>
              <w:spacing w:after="0" w:line="149" w:lineRule="exact"/>
              <w:rPr>
                <w:sz w:val="20"/>
                <w:szCs w:val="20"/>
                <w:color w:val="auto"/>
              </w:rPr>
            </w:pPr>
            <w:r>
              <w:rPr>
                <w:rFonts w:ascii="Arial" w:cs="Arial" w:eastAsia="Arial" w:hAnsi="Arial"/>
                <w:sz w:val="14"/>
                <w:szCs w:val="14"/>
                <w:b w:val="1"/>
                <w:bCs w:val="1"/>
                <w:color w:val="auto"/>
                <w:w w:val="89"/>
              </w:rPr>
              <w:t>ASSETS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w w:val="90"/>
              </w:rPr>
              <w:t>Current assets:</w:t>
            </w:r>
          </w:p>
        </w:tc>
        <w:tc>
          <w:tcPr>
            <w:tcW w:w="8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r>
      <w:tr>
        <w:trPr>
          <w:trHeight w:val="149"/>
        </w:trPr>
        <w:tc>
          <w:tcPr>
            <w:tcW w:w="20" w:type="dxa"/>
            <w:vAlign w:val="bottom"/>
          </w:tcPr>
          <w:p>
            <w:pPr>
              <w:spacing w:after="0"/>
              <w:rPr>
                <w:sz w:val="12"/>
                <w:szCs w:val="12"/>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receivable, net of allowance for doubtful accounts of $32 and $33, respectively</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1,710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1,699</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w:t>
            </w:r>
          </w:p>
        </w:tc>
      </w:tr>
      <w:tr>
        <w:trPr>
          <w:trHeight w:val="149"/>
        </w:trPr>
        <w:tc>
          <w:tcPr>
            <w:tcW w:w="20" w:type="dxa"/>
            <w:vAlign w:val="bottom"/>
          </w:tcPr>
          <w:p>
            <w:pPr>
              <w:spacing w:after="0"/>
              <w:rPr>
                <w:sz w:val="12"/>
                <w:szCs w:val="12"/>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in unconsolidated entity</w:t>
            </w:r>
          </w:p>
        </w:tc>
        <w:tc>
          <w:tcPr>
            <w:tcW w:w="8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Parts and supplies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w:t>
            </w:r>
          </w:p>
        </w:tc>
      </w:tr>
      <w:tr>
        <w:trPr>
          <w:trHeight w:val="149"/>
        </w:trPr>
        <w:tc>
          <w:tcPr>
            <w:tcW w:w="20" w:type="dxa"/>
            <w:vAlign w:val="bottom"/>
          </w:tcPr>
          <w:p>
            <w:pPr>
              <w:spacing w:after="0"/>
              <w:rPr>
                <w:sz w:val="12"/>
                <w:szCs w:val="12"/>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r>
      <w:tr>
        <w:trPr>
          <w:trHeight w:val="149"/>
        </w:trPr>
        <w:tc>
          <w:tcPr>
            <w:tcW w:w="20" w:type="dxa"/>
            <w:vAlign w:val="bottom"/>
          </w:tcPr>
          <w:p>
            <w:pPr>
              <w:spacing w:after="0"/>
              <w:rPr>
                <w:sz w:val="12"/>
                <w:szCs w:val="12"/>
                <w:color w:val="auto"/>
              </w:rPr>
            </w:pPr>
          </w:p>
        </w:tc>
        <w:tc>
          <w:tcPr>
            <w:tcW w:w="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Other assets</w:t>
            </w:r>
          </w:p>
        </w:tc>
        <w:tc>
          <w:tcPr>
            <w:tcW w:w="8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2,355</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2,499</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$16,998 and $16,723, respectively</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12,031</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12,344</w:t>
            </w:r>
          </w:p>
        </w:tc>
      </w:tr>
      <w:tr>
        <w:trPr>
          <w:trHeight w:val="149"/>
        </w:trPr>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6,094</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6,070</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529</w:t>
            </w:r>
          </w:p>
        </w:tc>
      </w:tr>
      <w:tr>
        <w:trPr>
          <w:trHeight w:val="149"/>
        </w:trPr>
        <w:tc>
          <w:tcPr>
            <w:tcW w:w="20" w:type="dxa"/>
            <w:vAlign w:val="bottom"/>
          </w:tcPr>
          <w:p>
            <w:pPr>
              <w:spacing w:after="0"/>
              <w:rPr>
                <w:sz w:val="12"/>
                <w:szCs w:val="12"/>
                <w:color w:val="auto"/>
              </w:rPr>
            </w:pPr>
          </w:p>
        </w:tc>
        <w:tc>
          <w:tcPr>
            <w:tcW w:w="91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w:t>
            </w:r>
          </w:p>
        </w:tc>
      </w:tr>
      <w:tr>
        <w:trPr>
          <w:trHeight w:val="149"/>
        </w:trPr>
        <w:tc>
          <w:tcPr>
            <w:tcW w:w="20" w:type="dxa"/>
            <w:vAlign w:val="bottom"/>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20" w:type="dxa"/>
            <w:vAlign w:val="bottom"/>
          </w:tcPr>
          <w:p>
            <w:pPr>
              <w:ind w:left="40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22,179</w:t>
            </w:r>
          </w:p>
        </w:tc>
        <w:tc>
          <w:tcPr>
            <w:tcW w:w="7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22,603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20" w:type="dxa"/>
            <w:vAlign w:val="bottom"/>
            <w:shd w:val="clear" w:color="auto" w:fill="CCEEFF"/>
          </w:tcPr>
          <w:p>
            <w:pPr>
              <w:jc w:val="center"/>
              <w:ind w:left="1260"/>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744</w:t>
            </w:r>
          </w:p>
        </w:tc>
      </w:tr>
      <w:tr>
        <w:trPr>
          <w:trHeight w:val="149"/>
        </w:trPr>
        <w:tc>
          <w:tcPr>
            <w:tcW w:w="20" w:type="dxa"/>
            <w:vAlign w:val="bottom"/>
          </w:tcPr>
          <w:p>
            <w:pPr>
              <w:spacing w:after="0"/>
              <w:rPr>
                <w:sz w:val="12"/>
                <w:szCs w:val="12"/>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Accrued liabilities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1,069</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475</w:t>
            </w:r>
          </w:p>
        </w:tc>
      </w:tr>
      <w:tr>
        <w:trPr>
          <w:trHeight w:val="156"/>
        </w:trPr>
        <w:tc>
          <w:tcPr>
            <w:tcW w:w="20" w:type="dxa"/>
            <w:vAlign w:val="bottom"/>
          </w:tcPr>
          <w:p>
            <w:pPr>
              <w:spacing w:after="0"/>
              <w:rPr>
                <w:sz w:val="13"/>
                <w:szCs w:val="13"/>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786</w:t>
            </w: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3,014</w:t>
            </w:r>
          </w:p>
        </w:tc>
      </w:tr>
      <w:tr>
        <w:trPr>
          <w:trHeight w:val="149"/>
        </w:trPr>
        <w:tc>
          <w:tcPr>
            <w:tcW w:w="20" w:type="dxa"/>
            <w:vAlign w:val="bottom"/>
          </w:tcPr>
          <w:p>
            <w:pPr>
              <w:spacing w:after="0"/>
              <w:rPr>
                <w:sz w:val="12"/>
                <w:szCs w:val="12"/>
                <w:color w:val="auto"/>
              </w:rPr>
            </w:pPr>
          </w:p>
        </w:tc>
        <w:tc>
          <w:tcPr>
            <w:tcW w:w="910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9,011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9,500</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1,842</w:t>
            </w:r>
          </w:p>
        </w:tc>
      </w:tr>
      <w:tr>
        <w:trPr>
          <w:trHeight w:val="149"/>
        </w:trPr>
        <w:tc>
          <w:tcPr>
            <w:tcW w:w="20" w:type="dxa"/>
            <w:vAlign w:val="bottom"/>
          </w:tcPr>
          <w:p>
            <w:pPr>
              <w:spacing w:after="0"/>
              <w:rPr>
                <w:sz w:val="12"/>
                <w:szCs w:val="12"/>
                <w:color w:val="auto"/>
              </w:rPr>
            </w:pPr>
          </w:p>
        </w:tc>
        <w:tc>
          <w:tcPr>
            <w:tcW w:w="9100" w:type="dxa"/>
            <w:vAlign w:val="bottom"/>
            <w:gridSpan w:val="2"/>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1,540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1,518</w:t>
            </w:r>
          </w:p>
        </w:tc>
      </w:tr>
      <w:tr>
        <w:trPr>
          <w:trHeight w:val="149"/>
        </w:trPr>
        <w:tc>
          <w:tcPr>
            <w:tcW w:w="20" w:type="dxa"/>
            <w:vAlign w:val="bottom"/>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Other liabilities</w:t>
            </w:r>
          </w:p>
        </w:tc>
        <w:tc>
          <w:tcPr>
            <w:tcW w:w="8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1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16,032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16,601</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Waste Management, Inc. stockholders’ equity:</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4,596</w:t>
            </w: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6,376</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6,289</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w:t>
            </w:r>
          </w:p>
        </w:tc>
      </w:tr>
      <w:tr>
        <w:trPr>
          <w:trHeight w:val="156"/>
        </w:trPr>
        <w:tc>
          <w:tcPr>
            <w:tcW w:w="20" w:type="dxa"/>
            <w:vAlign w:val="bottom"/>
          </w:tcPr>
          <w:p>
            <w:pPr>
              <w:spacing w:after="0"/>
              <w:rPr>
                <w:sz w:val="13"/>
                <w:szCs w:val="13"/>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Treasury stock at cost, 164,396,943 and 165,961,646 shares, respectively</w:t>
            </w:r>
          </w:p>
        </w:tc>
        <w:tc>
          <w:tcPr>
            <w:tcW w:w="80" w:type="dxa"/>
            <w:vAlign w:val="bottom"/>
          </w:tcPr>
          <w:p>
            <w:pPr>
              <w:spacing w:after="0"/>
              <w:rPr>
                <w:sz w:val="13"/>
                <w:szCs w:val="13"/>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(5,288)</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(5,338)</w:t>
            </w: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Waste Management, Inc. stockholders’ equity</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5,853</w:t>
            </w:r>
          </w:p>
        </w:tc>
        <w:tc>
          <w:tcPr>
            <w:tcW w:w="7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5,707</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w:t>
            </w: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6,147</w:t>
            </w:r>
          </w:p>
        </w:tc>
        <w:tc>
          <w:tcPr>
            <w:tcW w:w="7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6,002</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Total liabilities and equity</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22,179</w:t>
            </w:r>
          </w:p>
        </w:tc>
        <w:tc>
          <w:tcPr>
            <w:tcW w:w="7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22,603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3,561</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3,526</w:t>
            </w:r>
          </w:p>
        </w:tc>
        <w:tc>
          <w:tcPr>
            <w:tcW w:w="520" w:type="dxa"/>
            <w:vAlign w:val="bottom"/>
            <w:tcBorders>
              <w:lef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$ 6,957</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$ 6,862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2,301</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2,311</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4,533</w:t>
            </w:r>
          </w:p>
        </w:tc>
        <w:tc>
          <w:tcPr>
            <w:tcW w:w="5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353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728</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3,029</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3,016</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5,956</w:t>
            </w:r>
          </w:p>
        </w:tc>
        <w:tc>
          <w:tcPr>
            <w:tcW w:w="540" w:type="dxa"/>
            <w:vAlign w:val="bottom"/>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1,001</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452"/>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80" w:type="dxa"/>
            <w:vAlign w:val="bottom"/>
          </w:tcPr>
          <w:p>
            <w:pPr>
              <w:spacing w:after="0"/>
              <w:rPr>
                <w:sz w:val="18"/>
                <w:szCs w:val="18"/>
                <w:color w:val="auto"/>
              </w:rPr>
            </w:pPr>
          </w:p>
        </w:tc>
        <w:tc>
          <w:tcPr>
            <w:tcW w:w="1020" w:type="dxa"/>
            <w:vAlign w:val="bottom"/>
            <w:gridSpan w:val="4"/>
          </w:tcPr>
          <w:p>
            <w:pPr>
              <w:jc w:val="right"/>
              <w:ind w:right="45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45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ind w:right="452"/>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5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0.45</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0.94</w:t>
            </w:r>
          </w:p>
        </w:tc>
        <w:tc>
          <w:tcPr>
            <w:tcW w:w="540" w:type="dxa"/>
            <w:vAlign w:val="bottom"/>
          </w:tcPr>
          <w:p>
            <w:pPr>
              <w:spacing w:after="0"/>
              <w:rPr>
                <w:sz w:val="18"/>
                <w:szCs w:val="18"/>
                <w:color w:val="auto"/>
              </w:rPr>
            </w:pPr>
          </w:p>
        </w:tc>
        <w:tc>
          <w:tcPr>
            <w:tcW w:w="16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7"/>
              </w:rPr>
              <w:t>0.375</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0.365</w:t>
            </w: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54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80" w:type="dxa"/>
            <w:vAlign w:val="bottom"/>
            <w:gridSpan w:val="9"/>
          </w:tcPr>
          <w:p>
            <w:pPr>
              <w:jc w:val="center"/>
              <w:ind w:left="161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jc w:val="center"/>
              <w:ind w:left="3732"/>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jc w:val="center"/>
              <w:ind w:left="373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24"/>
                <w:szCs w:val="2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78"/>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$ 459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Post-retirement benefit obligation, net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440</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$ 419</w:t>
            </w:r>
          </w:p>
        </w:tc>
        <w:tc>
          <w:tcPr>
            <w:tcW w:w="5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459</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656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19</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1,139</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and other assets (net of cash divested)</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(deposits to) restricted trust and escrow accounts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(294)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(1,925)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(349)</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(766)</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2013</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$6,002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4,596</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(165,962)</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(5,338)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459</w:t>
            </w:r>
          </w:p>
        </w:tc>
        <w:tc>
          <w:tcPr>
            <w:tcW w:w="24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(349)</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Balance, June 30, 2014</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6,147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630,282</w:t>
            </w:r>
          </w:p>
        </w:tc>
        <w:tc>
          <w:tcPr>
            <w:tcW w:w="240" w:type="dxa"/>
            <w:vAlign w:val="bottom"/>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4,624</w:t>
            </w:r>
          </w:p>
        </w:tc>
        <w:tc>
          <w:tcPr>
            <w:tcW w:w="2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6,376</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135</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(164,397)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(5,288)</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13.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which are presented in this report as “Other.” Additional information related to our segments can be found in Note 8.</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June 30, 2014 and for the three and six months ended June 30, 2014 and 2013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2013.</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left="218"/>
              <w:spacing w:after="0"/>
              <w:rPr>
                <w:sz w:val="20"/>
                <w:szCs w:val="20"/>
                <w:color w:val="auto"/>
              </w:rPr>
            </w:pPr>
            <w:r>
              <w:rPr>
                <w:rFonts w:ascii="Arial" w:cs="Arial" w:eastAsia="Arial" w:hAnsi="Arial"/>
                <w:sz w:val="14"/>
                <w:szCs w:val="14"/>
                <w:b w:val="1"/>
                <w:bCs w:val="1"/>
                <w:color w:val="auto"/>
                <w:w w:val="87"/>
              </w:rPr>
              <w:t>December 31, 2013</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Remediation</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1,667</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1,421</w:t>
            </w: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40" w:type="dxa"/>
            <w:vAlign w:val="bottom"/>
            <w:gridSpan w:val="13"/>
          </w:tcPr>
          <w:p>
            <w:pPr>
              <w:spacing w:after="0"/>
              <w:rPr>
                <w:sz w:val="20"/>
                <w:szCs w:val="20"/>
                <w:color w:val="auto"/>
              </w:rPr>
            </w:pPr>
            <w:r>
              <w:rPr>
                <w:rFonts w:ascii="Arial" w:cs="Arial" w:eastAsia="Arial" w:hAnsi="Arial"/>
                <w:sz w:val="18"/>
                <w:szCs w:val="18"/>
                <w:color w:val="auto"/>
                <w:w w:val="92"/>
              </w:rPr>
              <w:t>The changes to landfill and environmental remediation liabilities are reflected in the table below (in millions):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7"/>
              </w:rPr>
              <w:t>$1,338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Revisions in estimates and interest rate assumptions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w w:val="97"/>
              </w:rPr>
              <w:t>Acquisitions, divestitures and other adjustments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Revisions in estimates and interest rate assumptions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w w:val="97"/>
              </w:rPr>
              <w:t>Acquisitions, divestitures and other adjustments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2014:</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88"/>
        </w:trPr>
        <w:tc>
          <w:tcPr>
            <w:tcW w:w="83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9"/>
              </w:rPr>
              <w:t>U.S. revolving credit facility, maturing July 2018 (weighted average interest rate of 1.2% at June 30, 2014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December 31, 2013)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9"/>
              </w:rPr>
              <w:t>Canadian credit facility and term loan, maturing November 2017 (weighted average effective interest rate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2.6% at June 30, 2014 and 2.7% at December 31, 2013)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6"/>
              </w:rPr>
              <w:t>Senior notes maturing through 2039, interest rates ranging from 2.60% to 7.75% (weighted average interest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rate of 5.7% at June 30, 2014 and December 31, 2013)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6,279</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2045, fixed and variable interest rates ranging from 0.04% to 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2.2% at June 30, 2014 and 2.3% at December 31, 2013)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2,649</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9,797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9,011</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2014, we had (i) $517 million of debt maturing within the next 12 months, including $350 million of 6.375% senior notes that mature in March 2015 and $102 million of tax-exempt bonds; (ii) $105 million of short-term borrowings outstanding under the U.S. revolving credit facility (“$2.25 billion revolving credit facility”) and (iii) $905 million of tax-exempt borrowings subject to repricing within the next 12 months. Based on our intent and ability to refinance portions of our current obligations on a long-term basis as of June 30, 2014, including through use of forecasted available capacity under our $2.25 billion revolving credit facility, we have classified $741 million of this debt as long-term and the remaining $786 million as current obligations. The $741 million classified as long-term is less than our unused and available capacity under our $2.25 billion revolving credit facility of $1.3 billion discussed below due to expected decreases in such available capacity within the next 12 months.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June 30, 2014, we had an aggregate committed capacity of $2.65 billion for letters of credit under various U.S. credit facilities. Our $2.25 billion revolving credit facility expires in July 2018 and is our primary source of letter of credit capacity. Our remaining committed letter of credit capacity is provided under facilities with terms ending through December 2016. As of June 30, 2014, we had an aggregate of $1.3 billion of letters of credit outstanding under various credit facilities. Approximately $874 million of these letters of credit have been issued under our $2.25 billion revolving credit facility. As of June 30, 2014, we had outstanding borrowings under our $2.25 billion revolving credit facility of $105 million, leaving $1.3 billion of unused and available capacity.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 Canadian credit agreement that matures in November 2017 and provides for C$150 million of revolving credit capacity. We have the ability to issue up to C$50 million of letters of credit under the Canadian revolving credit facility, which if utilized, reduces the amount of credit capacity available for borrowings. As of June 30, 2014, we had no letters of credit or borrowings outstanding under the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the first half of 2014, we made net repayments of $315 million under our $2.25 billion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available cash.</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Canadian Credit Facility and Term Loan </w:t>
      </w:r>
      <w:r>
        <w:rPr>
          <w:rFonts w:ascii="Arial" w:cs="Arial" w:eastAsia="Arial" w:hAnsi="Arial"/>
          <w:sz w:val="18"/>
          <w:szCs w:val="18"/>
          <w:color w:val="auto"/>
        </w:rPr>
        <w:t>— We repaid C$65 million, or $60 million, of net advances under our Canadian credit facility and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2014 with available cash.</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March 2014, we repaid $350 million of 5.0% senior notes that matured in March 2014 with borrowings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In May 2014, we issued $350 million of 3.5% senior notes due May 15, 2024. The net proceeds from the debt issuance were $347 million, all of which were used to repay borrowings under our $2.25 billion revolving credit facility.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six months ended June 30, 2014, we repaid $15 million of tax-exempt bonds with available cash.</w:t>
      </w:r>
    </w:p>
    <w:p>
      <w:pPr>
        <w:spacing w:after="0" w:line="2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2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85"/>
              </w:rPr>
              <w:t>June 30,</w:t>
            </w:r>
          </w:p>
        </w:tc>
        <w:tc>
          <w:tcPr>
            <w:tcW w:w="7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2900" w:type="dxa"/>
            <w:vAlign w:val="bottom"/>
          </w:tcPr>
          <w:p>
            <w:pPr>
              <w:spacing w:after="0"/>
              <w:rPr>
                <w:sz w:val="14"/>
                <w:szCs w:val="14"/>
                <w:color w:val="auto"/>
              </w:rPr>
            </w:pPr>
          </w:p>
        </w:tc>
        <w:tc>
          <w:tcPr>
            <w:tcW w:w="2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4"/>
                <w:szCs w:val="14"/>
                <w:color w:val="auto"/>
              </w:rPr>
            </w:pPr>
          </w:p>
        </w:tc>
        <w:tc>
          <w:tcPr>
            <w:tcW w:w="38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29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Long-term other assets</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assets</w:t>
            </w:r>
          </w:p>
        </w:tc>
        <w:tc>
          <w:tcPr>
            <w:tcW w:w="2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29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9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9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liabilities</w:t>
            </w:r>
          </w:p>
        </w:tc>
        <w:tc>
          <w:tcPr>
            <w:tcW w:w="2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prior years, we entered into interest rate swaps to maintain a portion of our debt obligations at variable market interest rates. We designated these interest rate swaps as fair value hedges of our fixed-rate senior notes. Fair value hedge accounting for interest rate swap contracts increased the carrying value of our debt instruments by $51 million as of June 30, 2014 and $59 million as of December 31, 2013. These fair value adjustments 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$3 million and $5 million for the three-month periods ended June 30, 2014 and 2013, respectively, and $8 million and $10 million for the six-month periods ended June 30, 2014 and 2013,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an anticipated fixed-rate debt issuance that occurred in May 2014. Accordingly, the effective portion of the loss associated with the matured forward-starting swaps has been deferred as a component of “Accumulated other comprehensive income” and is being amortized to interest expense over the ten-year term of the related senior notes. The ineffectiveness realized during the second quarter of 2014 was not material.</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June 30, 2014 and December 31, 2013, our “Accumulated other comprehensive income” included $53 million and $34 million, respectively, of after-tax deferred losses related to all terminated swaps. These losses are being amortized as an increase to interest expense using the effective interest method over the ten-year term of the related senior notes, which extend through 2024. As of June 30, 2014, $11 million (on a pre-tax basis) is scheduled to be reclassified as an increase to interest expense over the next 12 months for these previously terminated swaps.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June 30, 2014, we had foreign exchange cross currency swaps outstanding for all of the anticipated cash flows associated with intercompany loans from WM Holdings to the wholly-owned Canadian subsidiaries. The hedged cash flows as of June 30, 2014 include C$370 million of total notional value. The scheduled principal payments of the loan and the related swaps are as follows: C$70 million due on October 31, 2016, C$150 million due on October 31, 2017 and C$150 million due on October 31, 2018. We designated these cross currency swaps as cash flow hedges. Gains or losses resulting from the remeasurement of the underlying non-functional currency intercompany loan are recognized in current earnings in the same financial statement line item as offsetting gains or losses on the related cross currency swaps.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short-term “receive fixed, pay variable” electricity commodity swaps to reduce the variability in our revenues and cash flows caused by fluctuations in the market prices for electricity. We hedged 1.73 million megawatt hours, or approximately 56%, of Wheelabrator’s full year 2013 merchant electricity sales and the swaps executed through June 30, 2014 are expected to hedge approximately 482,000 megawatt hours, or approximately 16%, of Wheelabrator’s full year 2014 merchant electricity sales. For each of the three- and six-month periods ended June 30, 2014, we hedged 17% of Wheelabrator’s merchant electricity sales. For the three- and six-month periods ended June 30, 2013, we hedged 56% and 54%, respectively, of Wheelabrator’s merchant electricity sales.</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three and six months ended June 30, 2014 or 2013. Refer to Note 11 for information regarding the impacts of our cash flow derivatives on our comprehensive income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June 30, 2014 and December 31, 2013, we did not have any interest rate derivatives outstanding that contained these credit-risk-related features.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effective income tax rate for the three and six months ended June 30, 2014 was 44.7% and 37.8%, respectively, compared with 33.2% and 33.0%, for the comparable prior year periods. We evaluate our effective income tax rate at each interim period and adjust it as facts and circumstances warrant. The difference between federal income taxes computed at the federal statutory rate and reported income taxes for the three and six months ended June 30, 2014 was primarily due to the divestiture of our Puerto Rico operations and certain other collection and landfill assets. We recognized a $25 million loss on the divestment as discussed in Notes 9 and 10. No tax benefit was recorded in connection with the loss. In addition, we incurred $32 million of tax charges to repatriate accumulated cash prior to the divestment. Also contributing to the difference for the three and six months ended June 30, 2014 was the unfavorable impact of state and local income taxes offset, in part, by the favorable impact of federal tax credits and the utilization of capital loss carryovers. The six month period also benefited from the revaluation of our deferred taxes and utilization of state net operating losses resulting from a change in state law. The difference between federal income taxes computed at the federal statutory rate and reported income taxes for the three and six months ended June 30, 2013 was primarily due to the favorable impact of federal tax credits and tax audit settlements offset, in part, by the unfavorable impact of state and local income taxes and tax implications related to impairments.</w:t>
      </w:r>
    </w:p>
    <w:p>
      <w:pPr>
        <w:spacing w:after="0" w:line="4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We recognized $2 million of net losses resulting from our share of the entity’s operating losses during both the three and six months ended June 30, 2014, and $2 million and $3 million during the three and six months ended June 30, 2013, respectively. Our tax provision was reduced by $5 million and $8 million for the three and six months ended June 30, 2014, respectively, and by $6 million and $9 million for the three and six months ended June 30, 2013, respectively, primarily as a result of tax credits realized from this investment. See Note 13 for additional information related to this investment.</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April 2010, we acquired a noncontrolling interest in a limited liability company established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the three and six months ended June 30, 2014, we recognized $6 million and $12 million of losses relating to our equity investment in this entity, $2 million and $3 million of interest expense, and a reduction in our tax provision of $9 million (including $6 million of tax credits) and $17 million (including $11 million of tax credits), respectively. During the three and six months ended June 30, 2013, we recognized $6 million and $12 million of losses relating to our equity investment in this entity, $2 million and $3 million of interest expense, and a reduction in our tax provision of $10 million (including $7 million of tax credits) and $17 million (including $11 million of tax credits), respectively. See Note 13 for additional information related to this investment.</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Bonus Depreciation </w:t>
      </w:r>
      <w:r>
        <w:rPr>
          <w:rFonts w:ascii="Arial" w:cs="Arial" w:eastAsia="Arial" w:hAnsi="Arial"/>
          <w:sz w:val="18"/>
          <w:szCs w:val="18"/>
          <w:color w:val="auto"/>
        </w:rPr>
        <w:t>— 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20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465.9</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5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465.6</w:t>
            </w:r>
          </w:p>
        </w:tc>
        <w:tc>
          <w:tcPr>
            <w:tcW w:w="4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w w:val="93"/>
              </w:rPr>
              <w:t>Dilutive effect of equity-based compensation awards and other contingently issuable 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467.5</w:t>
            </w:r>
          </w:p>
        </w:tc>
        <w:tc>
          <w:tcPr>
            <w:tcW w:w="4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Number of anti-dilutive potentially issuable shares excluded from diluted common shares</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June 30, 2014 include (i) guarantees of unconsolidated entities’ financial obligations maturing through 2020 for maximum future payments of $9 million and (ii) agreements guaranteeing certain market value losses for approximately 825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$223 million recorded in the Condensed Consolidated Financial Statements as of June 30, 2014.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2014, we had been notified by the government that we are a PRP in connection with 75 locations listed on the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32"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on April 30, 2014, the United States District Court for the District of Hawaii issued an indictment against Waste Management of Hawaii, Inc. (“WMHI”) and two employees of WMHI. The United States Attorney’s Office for the District of Hawaii had been investigating water discharges at the Waimanalo Gulch Sanitary Landfill, which WMHI operates for the city and county of Honolulu, in connection with three major rainstorms in December 2010 and January 2011. The indictment alleges violations of the federal Clean Water Act, conspiracy and making false statements to the Hawaii Department of Health and the EPA. We are vigorously defending against this action. Given the early stage of this case and significant issues in dispute, we cannot currently predict an outcome or estimate a range of loss, but we could potentially be subject to sanctions, including requirements to pay monetary penalties.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a purported class action in 2008 against subsidiaries of WM in Bullock County, Alabama, making similar allegations. The prior Alabama suit was removed to federal court, where the federal court ultimately dismissed the plaintiffs’ national class action claims.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5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6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Pension Plan.</w:t>
      </w:r>
    </w:p>
    <w:p>
      <w:pPr>
        <w:spacing w:after="0" w:line="6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2013 and 2014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nine and 21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for tax years that date back to 2005, with the exception of affirmative claims in one jurisdiction that date back to 2000. We are not currently under audit in Canada and all tax years prior to 2009 are closed. In July 2011, we acquired Oakleaf Global Holdings (“Oakleaf”), which is subject to potential IRS examinations for the years 2010 and 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senior management evaluates, oversees and manages the financial performance of our Solid Waste subsidiaries through our 17 geographic Areas. These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and Wheelabrator are presented herein as “Other” as these operating segments do not meet the criteria to be aggregated with other operating segments and do not meet the quantitative criteria to be separately reported.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2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June 30, 2014</w:t>
            </w:r>
          </w:p>
        </w:tc>
        <w:tc>
          <w:tcPr>
            <w:tcW w:w="18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885</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1,340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2,847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3,561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4,203</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3,561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2013</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2,807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3,526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vMerge w:val="restart"/>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460" w:type="dxa"/>
            <w:vAlign w:val="bottom"/>
          </w:tcPr>
          <w:p>
            <w:pPr>
              <w:jc w:val="right"/>
              <w:ind w:right="113"/>
              <w:spacing w:after="0"/>
              <w:rPr>
                <w:sz w:val="20"/>
                <w:szCs w:val="20"/>
                <w:color w:val="auto"/>
              </w:rPr>
            </w:pPr>
            <w:r>
              <w:rPr>
                <w:rFonts w:ascii="Arial" w:cs="Arial" w:eastAsia="Arial" w:hAnsi="Arial"/>
                <w:sz w:val="14"/>
                <w:szCs w:val="14"/>
                <w:b w:val="1"/>
                <w:bCs w:val="1"/>
                <w:color w:val="auto"/>
              </w:rPr>
              <w:t>Net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Operating</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Revenues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 Ended:</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June 30, 2014</w:t>
            </w:r>
          </w:p>
        </w:tc>
        <w:tc>
          <w:tcPr>
            <w:tcW w:w="4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1,468</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8,179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6,957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8,179</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6,957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2,569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6,588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5,456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6,862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6,862</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Greenstar, LLC </w:t>
      </w:r>
      <w:r>
        <w:rPr>
          <w:rFonts w:ascii="Arial" w:cs="Arial" w:eastAsia="Arial" w:hAnsi="Arial"/>
          <w:sz w:val="16"/>
          <w:szCs w:val="16"/>
          <w:color w:val="auto"/>
        </w:rPr>
        <w:t>— 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3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There were no material adjustments to the purchase price allocation from the date of acquisition.</w:t>
      </w:r>
    </w:p>
    <w:p>
      <w:pPr>
        <w:spacing w:after="0" w:line="1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RCI Environnement, Inc. </w:t>
      </w:r>
      <w:r>
        <w:rPr>
          <w:rFonts w:ascii="Arial" w:cs="Arial" w:eastAsia="Arial" w:hAnsi="Arial"/>
          <w:sz w:val="16"/>
          <w:szCs w:val="16"/>
          <w:color w:val="auto"/>
        </w:rPr>
        <w:t>— 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$191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allocation of the purchase price for the RCI acquisition is final. The following table presents the adjustments since the acquisition date to the allocation of the purchase price for RCI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4"/>
                <w:szCs w:val="14"/>
                <w:b w:val="1"/>
                <w:bCs w:val="1"/>
                <w:color w:val="auto"/>
              </w:rPr>
              <w:t>RCI</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July 5,</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118</w:t>
            </w:r>
          </w:p>
        </w:tc>
        <w:tc>
          <w:tcPr>
            <w:tcW w:w="20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177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169</w:t>
            </w:r>
          </w:p>
        </w:tc>
        <w:tc>
          <w:tcPr>
            <w:tcW w:w="2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780" w:type="dxa"/>
            <w:vAlign w:val="bottom"/>
            <w:vMerge w:val="restart"/>
          </w:tcPr>
          <w:p>
            <w:pPr>
              <w:jc w:val="right"/>
              <w:ind w:right="170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presents the final allocation of the purchase price for RCI to other intangible assets (amounts in millions, except for amortization periods):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ind w:left="280"/>
              <w:spacing w:after="0"/>
              <w:rPr>
                <w:sz w:val="20"/>
                <w:szCs w:val="20"/>
                <w:color w:val="auto"/>
              </w:rPr>
            </w:pPr>
            <w:r>
              <w:rPr>
                <w:rFonts w:ascii="Arial" w:cs="Arial" w:eastAsia="Arial" w:hAnsi="Arial"/>
                <w:sz w:val="14"/>
                <w:szCs w:val="14"/>
                <w:b w:val="1"/>
                <w:bCs w:val="1"/>
                <w:color w:val="auto"/>
              </w:rPr>
              <w:t>RCI</w:t>
            </w:r>
          </w:p>
        </w:tc>
      </w:tr>
      <w:tr>
        <w:trPr>
          <w:trHeight w:val="129"/>
        </w:trPr>
        <w:tc>
          <w:tcPr>
            <w:tcW w:w="80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80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169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Greenstar and RCI occurred at January 1, 2013 (in millions, except per share amounts):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The loss recognized related to the sale was $25 million and is recorded in “(Income) expense from divestitures, asset impairments and unusual items” in our Condensed Consolidated Statement of Operations.</w:t>
      </w:r>
    </w:p>
    <w:p>
      <w:pPr>
        <w:spacing w:after="0" w:line="17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2014, we recognized net charges of $37 million, primarily related to a $25 million loss on the divestiture of our Puerto Rico operations and certain other collection and landfill assets as discussed further in Note 9 and a $12 million impairment charge due to the decision to close a waste processing facility.</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first half of 2013, we recognized net charges of $15 million, primarily related to a $14 million impairment charge at a waste-to-energy facility as a result of projected operating losses. We wrote down the carrying value of the facility’s property, plant and equipment to its estimated fair value. Also included are (i) $6 million of losses on divestitures related to investments in oil and gas producing properties and (ii) $4 million of charges primarily to impair goodwill related to certain of our operations, which are included in our “Other” operations in Note 8. These charges were offset, in part, by gains on divestitures of $9 million, largely attributable to the sale of a transfer station in our Greater Mid-Atlantic Area.</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first quarter of 2013, we recognized impairment charges of $11 million relating to other-than-temporary declines in the value of investments in waste diversion technology companies accounted for under the cost method. We wrote down the carrying value of our investments to their fair value based on third-party investors’ recent transactions in these securities. Partially offsetting these charges was a $4 million gain on the sale of a similar investment recognized in the second quarter of 2013. These charges are recorded in “Other, net” in our Condensed Consolidated Statement of Operations.</w:t>
      </w:r>
    </w:p>
    <w:p>
      <w:pPr>
        <w:spacing w:after="0" w:line="14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jc w:val="both"/>
        <w:ind w:firstLine="456"/>
        <w:spacing w:after="0" w:line="353" w:lineRule="auto"/>
        <w:rPr>
          <w:sz w:val="20"/>
          <w:szCs w:val="20"/>
          <w:color w:val="auto"/>
        </w:rPr>
      </w:pPr>
      <w:r>
        <w:rPr>
          <w:rFonts w:ascii="Arial" w:cs="Arial" w:eastAsia="Arial" w:hAnsi="Arial"/>
          <w:sz w:val="15"/>
          <w:szCs w:val="15"/>
          <w:color w:val="auto"/>
        </w:rPr>
        <w:t>The changes in the balances of each component of accumulated other comprehensive income, net of tax, which is included as a component of Waste Management, Inc. stockholders’ equity, are as follows (in millions, with amounts in parentheses representing debits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2013</w:t>
      </w:r>
    </w:p>
    <w:p>
      <w:pPr>
        <w:spacing w:after="0" w:line="23" w:lineRule="exact"/>
        <w:rPr>
          <w:sz w:val="20"/>
          <w:szCs w:val="20"/>
          <w:color w:val="auto"/>
        </w:rPr>
      </w:pPr>
    </w:p>
    <w:p>
      <w:pPr>
        <w:ind w:left="440" w:hanging="215"/>
        <w:spacing w:after="0" w:line="286" w:lineRule="auto"/>
        <w:rPr>
          <w:sz w:val="20"/>
          <w:szCs w:val="20"/>
          <w:color w:val="auto"/>
        </w:rPr>
      </w:pPr>
      <w:r>
        <w:rPr>
          <w:rFonts w:ascii="Arial" w:cs="Arial" w:eastAsia="Arial" w:hAnsi="Arial"/>
          <w:sz w:val="16"/>
          <w:szCs w:val="16"/>
          <w:color w:val="auto"/>
        </w:rPr>
        <w:t>Other comprehensive income (loss) before reclassifications net of tax expense (benefit) of $(7), $1, $0 and $0, respectively</w:t>
      </w:r>
    </w:p>
    <w:p>
      <w:pPr>
        <w:ind w:left="440" w:right="300" w:hanging="215"/>
        <w:spacing w:after="0" w:line="255" w:lineRule="auto"/>
        <w:rPr>
          <w:sz w:val="20"/>
          <w:szCs w:val="20"/>
          <w:color w:val="auto"/>
        </w:rPr>
      </w:pPr>
      <w:r>
        <w:rPr>
          <w:rFonts w:ascii="Arial" w:cs="Arial" w:eastAsia="Arial" w:hAnsi="Arial"/>
          <w:sz w:val="18"/>
          <w:szCs w:val="18"/>
          <w:color w:val="auto"/>
        </w:rPr>
        <w:t>Amounts reclassified from accumulated other comprehensive income net of tax (expense) benefit of $6, $0, $0 and $0,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780"/>
              <w:spacing w:after="0" w:line="150"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3"/>
                <w:szCs w:val="13"/>
                <w:color w:val="auto"/>
              </w:rPr>
            </w:pPr>
          </w:p>
        </w:tc>
        <w:tc>
          <w:tcPr>
            <w:tcW w:w="560" w:type="dxa"/>
            <w:vAlign w:val="bottom"/>
          </w:tcPr>
          <w:p>
            <w:pPr>
              <w:jc w:val="center"/>
              <w:ind w:right="42"/>
              <w:spacing w:after="0" w:line="150" w:lineRule="exact"/>
              <w:rPr>
                <w:sz w:val="20"/>
                <w:szCs w:val="20"/>
                <w:color w:val="auto"/>
              </w:rPr>
            </w:pPr>
            <w:r>
              <w:rPr>
                <w:rFonts w:ascii="Arial" w:cs="Arial" w:eastAsia="Arial" w:hAnsi="Arial"/>
                <w:sz w:val="14"/>
                <w:szCs w:val="14"/>
                <w:b w:val="1"/>
                <w:bCs w:val="1"/>
                <w:color w:val="auto"/>
                <w:w w:val="79"/>
              </w:rPr>
              <w:t>Post-</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Currency</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5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Benefit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560" w:type="dxa"/>
            <w:vAlign w:val="bottom"/>
          </w:tcPr>
          <w:p>
            <w:pPr>
              <w:jc w:val="center"/>
              <w:ind w:right="42"/>
              <w:spacing w:after="0"/>
              <w:rPr>
                <w:sz w:val="20"/>
                <w:szCs w:val="20"/>
                <w:color w:val="auto"/>
              </w:rPr>
            </w:pPr>
            <w:r>
              <w:rPr>
                <w:rFonts w:ascii="Arial" w:cs="Arial" w:eastAsia="Arial" w:hAnsi="Arial"/>
                <w:sz w:val="14"/>
                <w:szCs w:val="14"/>
                <w:b w:val="1"/>
                <w:bCs w:val="1"/>
                <w:color w:val="auto"/>
                <w:w w:val="85"/>
              </w:rPr>
              <w:t>Plans</w:t>
            </w:r>
          </w:p>
        </w:tc>
        <w:tc>
          <w:tcPr>
            <w:tcW w:w="6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$154</w:t>
            </w:r>
          </w:p>
        </w:tc>
        <w:tc>
          <w:tcPr>
            <w:tcW w:w="6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64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-829945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-409575</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40" w:space="700"/>
            <w:col w:w="58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20"/>
              <w:spacing w:after="0" w:line="204"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640" w:type="dxa"/>
            <w:vAlign w:val="bottom"/>
            <w:gridSpan w:val="2"/>
          </w:tcPr>
          <w:p>
            <w:pPr>
              <w:jc w:val="right"/>
              <w:ind w:right="340"/>
              <w:spacing w:after="0" w:line="204"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300"/>
              <w:spacing w:after="0" w:line="204"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tcPr>
          <w:p>
            <w:pPr>
              <w:jc w:val="right"/>
              <w:ind w:right="492"/>
              <w:spacing w:after="0"/>
              <w:rPr>
                <w:sz w:val="20"/>
                <w:szCs w:val="20"/>
                <w:color w:val="auto"/>
              </w:rPr>
            </w:pPr>
            <w:r>
              <w:rPr>
                <w:rFonts w:ascii="Arial" w:cs="Arial" w:eastAsia="Arial" w:hAnsi="Arial"/>
                <w:sz w:val="14"/>
                <w:szCs w:val="14"/>
                <w:b w:val="1"/>
                <w:bCs w:val="1"/>
                <w:color w:val="auto"/>
              </w:rPr>
              <w:t>Amount of Derivative Gain (Loss)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Recognized in OCI (Effective Portion)</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6"/>
          </w:tcPr>
          <w:p>
            <w:pPr>
              <w:jc w:val="right"/>
              <w:ind w:right="920"/>
              <w:spacing w:after="0" w:line="129" w:lineRule="exact"/>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1"/>
                <w:szCs w:val="11"/>
                <w:color w:val="auto"/>
              </w:rPr>
            </w:pPr>
          </w:p>
        </w:tc>
        <w:tc>
          <w:tcPr>
            <w:tcW w:w="1640" w:type="dxa"/>
            <w:vAlign w:val="bottom"/>
            <w:gridSpan w:val="4"/>
          </w:tcPr>
          <w:p>
            <w:pPr>
              <w:jc w:val="right"/>
              <w:ind w:right="255"/>
              <w:spacing w:after="0" w:line="129"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2014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3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52"/>
              <w:spacing w:after="0" w:line="203"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40" w:type="dxa"/>
            <w:vAlign w:val="bottom"/>
            <w:vMerge w:val="continue"/>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500" w:type="dxa"/>
            <w:vAlign w:val="bottom"/>
            <w:vMerge w:val="restart"/>
          </w:tcPr>
          <w:p>
            <w:pPr>
              <w:jc w:val="right"/>
              <w:ind w:right="81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Amount Reclassified from</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Accumulated Other</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6"/>
          </w:tcPr>
          <w:p>
            <w:pPr>
              <w:jc w:val="center"/>
              <w:ind w:right="76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1"/>
                <w:szCs w:val="11"/>
                <w:color w:val="auto"/>
              </w:rPr>
            </w:pPr>
          </w:p>
        </w:tc>
        <w:tc>
          <w:tcPr>
            <w:tcW w:w="126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8"/>
              </w:rPr>
              <w:t>Six Months Ended</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2"/>
              </w:rPr>
              <w:t>June 30,</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116"/>
        </w:trPr>
        <w:tc>
          <w:tcPr>
            <w:tcW w:w="5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Comprehensive Income Components</w:t>
            </w: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2013</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2014</w:t>
            </w:r>
          </w:p>
        </w:tc>
        <w:tc>
          <w:tcPr>
            <w:tcW w:w="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190"/>
        </w:trPr>
        <w:tc>
          <w:tcPr>
            <w:tcW w:w="5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820" w:type="dxa"/>
            <w:vAlign w:val="bottom"/>
            <w:gridSpan w:val="2"/>
          </w:tcPr>
          <w:p>
            <w:pPr>
              <w:ind w:left="3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36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Operating revenues</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Tax (expense) benefit</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vMerge w:val="restart"/>
          </w:tcPr>
          <w:p>
            <w:pPr>
              <w:ind w:left="3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ind w:left="440"/>
              <w:spacing w:after="0"/>
              <w:rPr>
                <w:sz w:val="20"/>
                <w:szCs w:val="20"/>
                <w:color w:val="auto"/>
              </w:rPr>
            </w:pPr>
            <w:r>
              <w:rPr>
                <w:rFonts w:ascii="Arial" w:cs="Arial" w:eastAsia="Arial" w:hAnsi="Arial"/>
                <w:sz w:val="14"/>
                <w:szCs w:val="14"/>
                <w:b w:val="1"/>
                <w:bCs w:val="1"/>
                <w:color w:val="auto"/>
                <w:w w:val="90"/>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 2014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161</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vMerge w:val="restart"/>
          </w:tcPr>
          <w:p>
            <w:pPr>
              <w:jc w:val="right"/>
              <w:ind w:right="33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ind w:left="440"/>
              <w:spacing w:after="0"/>
              <w:rPr>
                <w:sz w:val="20"/>
                <w:szCs w:val="20"/>
                <w:color w:val="auto"/>
              </w:rPr>
            </w:pPr>
            <w:r>
              <w:rPr>
                <w:rFonts w:ascii="Arial" w:cs="Arial" w:eastAsia="Arial" w:hAnsi="Arial"/>
                <w:sz w:val="14"/>
                <w:szCs w:val="14"/>
                <w:b w:val="1"/>
                <w:bCs w:val="1"/>
                <w:color w:val="auto"/>
                <w:w w:val="90"/>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4"/>
              </w:rPr>
              <w:t>December 31, 2013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162</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analysis, third-party appraisals or industry multiples and public comparables. The increase in the fair value of our redeemable preferred stock at June 30, 2014 compared to December 31, 2013 is related to $15 million of preferred stock acquired in conjunction with the sale of our Puerto Rico operations and certain other collection and landfill assets, which is discussed in Note 9. There has not been any significant change in the fair value of the redeemable preferred stock outstanding at December 31, 2013 since our assessment at that time.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June 30, 2014, the carrying value of our debt was approximately $9.8 billion compared with approximately $10.2 billion at December 31, 2013.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estimated fair value of our debt was approximately $11.0 billion at both June 30, 2014 and December 31, 2013.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June 30, 2014 and December 31, 2013. These amounts have not been revalued since those dates, and current estimates of fair value could differ significantly from the amounts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June 30, 2014 have been based on initial equity ownership percentages as the target returns have not yet been achieved for either LLC. We currently expect Hancock and CIT to achieve their targeted return on LLC II in early 2015 and Hancock to achieve its targeted return on LLC I in mid-2015. After the investors have achieved their targeted returns, the LLC agreements provide that we will receive 80% of the earnings of each of the LLCs and Hancock and CIT will be allocated the remaining 20%.</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June 30, 2014 and December 31, 2013, our Condensed Consolidated Balance Sheets included $278 million and $284 million, respectively, of net property and equipment associated with the LLCs’ waste-to-energy facilities and $243 million and $239 million, respectively, in noncontrolling interests associated with Hancock’s and CIT’s interests in the LLCs. We recognized reductions in consolidated earnings of $10 million and $21 million for the three and six months ended June 30, 2014, respectively, and $11 million and $22 million for the three and six months ended June 30, 2013, respectively, for Hancock’s and CIT’s noncontrolling interests in the LLCs’ earnings, which are included in our consolidated net income. The LLCs’ earnings relate to the rental income generated from leasing the facilities to our subsidiaries, reduced by depreciation expense. The LLCs’ rental income is eliminated in WM’s consolidation.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We determined that we are not the primary beneficiary of the JV, as all major decisions of the JV require either majority vote or unanimous consent of the directors (who are appointed in equal numbers by us and our Partner) or unanimous consent of the two shareholders of the JV. As such, our Partner shares equally in the power to direct the activities of the JV that most significantly impact its economic performance. Accordingly, we account for this investment under the equity method of accounting and do not consolidate this entity.</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Through June 30, 2014, we had funded approximately £18 million, or $31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Norfolk County Council (the “Council”), which awarded the project to the JV. The losses incurred on these derivatives will ultimately be recoverable from the Council under the terms of the project, and accordingly, are not reflected in our “Equity in net losses of unconsolidated entities.”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Following delays in obtaining planning approval, the Council held a special meeting on April 7, 2014 and voted to terminate the project agreement with the JV. The JV then exercised its right to accelerate the effective date of the project agreement’s termination to May 16, 2014. The Council now is obligated to reimburse the JV up to £34 million, or $58 million, based on the exchange rate as of June 30, 2014, in termination fees and reimbursements required by its agreements with the JV. As a result, any impairment resulting from the termination of the project that we record on account of our interest in the JV will not be material.</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January 2011,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 refined coal facility. Along with the other equity investor, we support the operations of the entity in exchange for a pro-rata share of the tax credits it generates. Our initial consideration for this investment consisted of a cash payment of $48 million. As of June 30, 2014 and December 31, 2013, our investment balance was $33 million and $27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April 2010, we acquired a noncontrolling interest in a limited liability company established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June 30, 2014 and December 31, 2013, our investment balance was $116 million and $129 million, respectively, and our debt balance was $116 million and $128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$128 million at June 30, 2014 and $125 million at December 31, 2013.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these trusts had an aggregate carrying value of $112 million and $110 million as of June 30, 2014 and December 31, 2013, respectively.</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6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11,924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(33,691)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11,966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16,807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27,097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(33,691)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240" w:type="dxa"/>
            <w:vAlign w:val="bottom"/>
            <w:gridSpan w:val="7"/>
          </w:tcPr>
          <w:p>
            <w:pPr>
              <w:jc w:val="right"/>
              <w:ind w:right="393"/>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16,345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17,346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(33,691)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16,345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(33,691)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5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236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11,966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16,807</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27,097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(33,691)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53"/>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12,344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12,133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16,246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16,264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8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16,264</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26,811</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(32,647)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2140" w:type="dxa"/>
            <w:vAlign w:val="bottom"/>
            <w:gridSpan w:val="3"/>
          </w:tcPr>
          <w:p>
            <w:pPr>
              <w:jc w:val="right"/>
              <w:ind w:right="233"/>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Three Months Ended 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WM</w:t>
            </w: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262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175</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7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0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88"/>
              </w:rPr>
              <w:t>Three Months Ended June 30, 2013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20" w:type="dxa"/>
            <w:vAlign w:val="bottom"/>
            <w:gridSpan w:val="4"/>
          </w:tcPr>
          <w:p>
            <w:pPr>
              <w:jc w:val="center"/>
              <w:ind w:left="25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WM</w:t>
            </w: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299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208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208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7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vMerge w:val="restart"/>
          </w:tcPr>
          <w:p>
            <w:pPr>
              <w:jc w:val="center"/>
              <w:ind w:left="1172"/>
              <w:spacing w:after="0"/>
              <w:rPr>
                <w:sz w:val="20"/>
                <w:szCs w:val="20"/>
                <w:color w:val="auto"/>
              </w:rPr>
            </w:pPr>
            <w:r>
              <w:rPr>
                <w:rFonts w:ascii="Arial" w:cs="Arial" w:eastAsia="Arial" w:hAnsi="Arial"/>
                <w:sz w:val="18"/>
                <w:szCs w:val="18"/>
                <w:color w:val="auto"/>
                <w:w w:val="89"/>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543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369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$ 438</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8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w w:val="97"/>
              </w:rPr>
              <w:t>Six Months Ended June 30, 2013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$ 412</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40" w:type="dxa"/>
            <w:vAlign w:val="bottom"/>
            <w:gridSpan w:val="3"/>
          </w:tcPr>
          <w:p>
            <w:pPr>
              <w:ind w:left="140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 2014</w:t>
            </w: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$213</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288</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(495)</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(495)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2013</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$252</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299</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283</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(604)</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299</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(604)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 June 30, 2014</w:t>
            </w:r>
          </w:p>
        </w:tc>
        <w:tc>
          <w:tcPr>
            <w:tcW w:w="27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(1,062)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4"/>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(1,062)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Six Months Ended June 30, 2013</w:t>
            </w:r>
          </w:p>
        </w:tc>
        <w:tc>
          <w:tcPr>
            <w:tcW w:w="274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4"/>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4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Proceeds from divestitures of businesses (net of cash divested)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1,367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(1,685)</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w w:val="98"/>
              </w:rPr>
              <w:t>Effect of exchange rate changes on cash and cash equivalents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WM</w:t>
            </w: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412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521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(521)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(455)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5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July 25, 2014, the Company signed a definitive Stock Purchase Agreement to sell our Wheelabrator business to an affiliate of Energy Capital Partners for $1.94 billion in cash, subject to certain post-closing adjustments. Closing of the sale is expected to occur by the end of 2014, subject to the satisfaction of customary closing conditions and receipt of regulatory approvals. In conjunction with the sale, the Company will enter into a long-term agreement to supply waste to certain Wheelabrator facilities upon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2013.</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2014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hanging="246"/>
        <w:spacing w:after="0" w:line="332" w:lineRule="auto"/>
        <w:tabs>
          <w:tab w:leader="none" w:pos="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246" w:hanging="246"/>
        <w:spacing w:after="0"/>
        <w:tabs>
          <w:tab w:leader="none" w:pos="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6"/>
          </w:cols>
          <w:pgMar w:left="694" w:top="280" w:right="239" w:bottom="1440" w:gutter="0" w:footer="0" w:header="0"/>
        </w:sectPr>
      </w:pPr>
    </w:p>
    <w:bookmarkStart w:id="36" w:name="page37"/>
    <w:bookmarkEnd w:id="36"/>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oil and gas prices and drilling activity, and changes in applicable regulations, could adversely affect our Energy and Environmental Services business;</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fail to achieve the financial results anticipated from the construction of new international waste-to-energy facilities;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Every day, we are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Our employees are committed to delivering environmental performance — our mission to maximize resource value, while minimizing environmental impact, so that both our economy and our environment can thrive. Drawing on our resources and experience, we actively pursue projects and initiatives that benefit the waste industry, our customers and the communities we serve and the environment.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also committed to providing long-term value to our stockholders by successfully executing on our strategic goals of optimizing our business, knowing and servicing the customer better than anyone else, and extracting more value from the materials we handle.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Pursue improved profitability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 in emerging technologies that offer alternatives to traditional disposal and generate additional value from the waste, recycling and other streams we manage.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solutions.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90" w:lineRule="exact"/>
        <w:rPr>
          <w:sz w:val="20"/>
          <w:szCs w:val="20"/>
          <w:color w:val="auto"/>
        </w:rPr>
      </w:pPr>
    </w:p>
    <w:p>
      <w:pPr>
        <w:jc w:val="both"/>
        <w:ind w:left="700" w:hanging="246"/>
        <w:spacing w:after="0" w:line="298"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Revenues of $3,561 million compared with $3,526 million in the second quarter of 2013, an increase of $35 million, or 1.0%. This increase in revenues is primarily attributable to (i) positive revenue growth from yield on our collection and disposal operations of $66 million, or 2.3%, and (ii) acquisitions, particularly the acquisition of the RCI operations in July 2013, which increased revenue by $37 million. These increases were partially offset by lower volumes and divestitures, which decreased our revenues by $51 million and $14 million, respectively;</w:t>
      </w:r>
    </w:p>
    <w:p>
      <w:pPr>
        <w:spacing w:after="0" w:line="31"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of $2,301 million, or 64.6% of revenues, compared with $2,311 million, or 65.5% of revenues, in the second quarter of 2013. This decrease of $10 million is largely driven by improvements in our recycling business, partially offset by operating costs associated with the acquired RCI operations;</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general and administrative expenses remained flat at $353 million compared to the second quarter of 2013, driven primarily by a favorable litigation resolution and our continued cost control initiatives;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from operations of $532 million, or 14.9% of revenues, compared with $510 million, or 14.5% of revenues, in the second quarter of 2013;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$210 million, or $0.45 per diluted share, as compared with $244 million, or $0.52 per diluted share in the second quarter of 2013.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second quarter of 2014 results were affected by the following:</w:t>
      </w:r>
    </w:p>
    <w:p>
      <w:pPr>
        <w:spacing w:after="0" w:line="90" w:lineRule="exact"/>
        <w:rPr>
          <w:sz w:val="20"/>
          <w:szCs w:val="20"/>
          <w:color w:val="auto"/>
        </w:rPr>
      </w:pPr>
    </w:p>
    <w:p>
      <w:pPr>
        <w:jc w:val="both"/>
        <w:ind w:left="700" w:hanging="246"/>
        <w:spacing w:after="0" w:line="25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recognition of a pre-tax loss of $25 million on the divestiture of our Puerto Rico operations and certain other collection and landfill assets. No tax benefit was recorded in connection with the loss. In addition, we incurred $32 million of tax charges to repatriate accumulated cash prior to the divestment. These charges had a negative impact of $0.12 on our diluted earnings per share; and</w:t>
      </w:r>
    </w:p>
    <w:p>
      <w:pPr>
        <w:spacing w:after="0" w:line="59"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recognition of other net pre-tax charges of $16 million, primarily as a result of a $12 million impairment charge due to the decision to close a waste processing facility. These charges had a negative impact of $0.03 on our diluted earnings per share.</w:t>
      </w:r>
    </w:p>
    <w:p>
      <w:pPr>
        <w:spacing w:after="0" w:line="5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second quarter of 2013 results were affected by the recognition of impairment and restructuring charges primarily related to an impairment of a waste-to-energy facility as result of projected operating losses. These charges had a negative impact of $0.02 on our diluted earnings per share.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6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$ 555</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1,139</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(208)</w:t>
            </w: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$ 447</w:t>
            </w:r>
          </w:p>
        </w:tc>
        <w:tc>
          <w:tcPr>
            <w:tcW w:w="54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w w:val="93"/>
              </w:rPr>
              <w:t>$ 347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931</w:t>
            </w:r>
          </w:p>
        </w:tc>
        <w:tc>
          <w:tcPr>
            <w:tcW w:w="5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r>
      <w:tr>
        <w:trPr>
          <w:trHeight w:val="20"/>
        </w:trPr>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comparing our cash flows from operating activities for the three and six months ended June 30, 2014 to the comparable periods in 2013, the increases of $10 million and $17 million, respectively, were primarily related to the higher cash earnings in the current year and favorable working capital changes. These improvements were partially offset by (i) higher income tax payments in the current year, (ii) higher annual incentive plan payments made in the first quarter of 2014 when compared to 2013 and (iii) the settlement of forward-starting swap liabilities in the first quarter of 2014.</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increase in proceeds from divestitures of businesses and other assets (net of cash divested) is largely driven by (i) the sale of our investment in Shanghai Environment Group (“SEG”) in the first quarter of 2014, which was part of our Wheelabrator business, for $155 million; (ii) the sale of our Puerto Rico operations and certain other collection and landfill assets in the second quarter of 2014 for proceeds of $80 million, including $65 million in cash; and (iii) the sale of a vacant facility in the second quarter of 2014 for $19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Greenstar, LLC </w:t>
      </w:r>
      <w:r>
        <w:rPr>
          <w:rFonts w:ascii="Arial" w:cs="Arial" w:eastAsia="Arial" w:hAnsi="Arial"/>
          <w:sz w:val="16"/>
          <w:szCs w:val="16"/>
          <w:color w:val="auto"/>
        </w:rPr>
        <w:t>— 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RCI Environnement, Inc. </w:t>
      </w:r>
      <w:r>
        <w:rPr>
          <w:rFonts w:ascii="Arial" w:cs="Arial" w:eastAsia="Arial" w:hAnsi="Arial"/>
          <w:sz w:val="16"/>
          <w:szCs w:val="16"/>
          <w:color w:val="auto"/>
        </w:rPr>
        <w:t>— 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July 25, 2014, the Company signed a definitive Stock Purchase Agreement to sell our Wheelabrator business to an affiliate of Energy Capital Partners for $1.94 billion in cash, subject to certain post-closing adjustments. Closing of the sale is expected to occur by the end of 2014, subject to the satisfaction of customary closing conditions and receipt of regulatory approvals. In conjunction with the sale, the Company will enter into a long-term agreement to supply waste to certain Wheelabrator facilities upon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2013. Actual results could differ materially from the estimates and assumptions that we use in the preparation of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including Strategic Business Solutions, Energy and Environmental Services, recycling brokerage services, electronic recycling services, landfill gas-to-energy services, integrated medical waste services, expanded service offerings and solutions. Part of our expansion of services includes offering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and portable self-storage services. In addition, we have made investments that involve the acquisition and development of interests in oil and gas producing properties. These operations are presented as “Other” in the table below. The following table summarizes revenues during each period (in millions):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9"/>
              </w:rPr>
              <w:t>Three Months</w:t>
            </w: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58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3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Tier 1</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891</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$ 1,735</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$ 1,734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1,641</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Tier 3</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3,403</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Wheelabrator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Intercompany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(646)</w:t>
            </w:r>
          </w:p>
        </w:tc>
        <w:tc>
          <w:tcPr>
            <w:tcW w:w="1120" w:type="dxa"/>
            <w:vAlign w:val="bottom"/>
            <w:gridSpan w:val="2"/>
          </w:tcPr>
          <w:p>
            <w:pPr>
              <w:jc w:val="right"/>
              <w:ind w:right="432"/>
              <w:spacing w:after="0"/>
              <w:rPr>
                <w:sz w:val="20"/>
                <w:szCs w:val="20"/>
                <w:color w:val="auto"/>
              </w:rPr>
            </w:pPr>
            <w:r>
              <w:rPr>
                <w:rFonts w:ascii="Arial" w:cs="Arial" w:eastAsia="Arial" w:hAnsi="Arial"/>
                <w:sz w:val="18"/>
                <w:szCs w:val="18"/>
                <w:color w:val="auto"/>
              </w:rPr>
              <w:t>(1,222)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3,526</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$ 6,957</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$ 6,862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320" w:type="dxa"/>
            <w:vAlign w:val="bottom"/>
            <w:vMerge w:val="restart"/>
          </w:tcPr>
          <w:p>
            <w:pPr>
              <w:jc w:val="right"/>
              <w:ind w:right="1112"/>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9"/>
              </w:rPr>
              <w:t>Three Months</w:t>
            </w: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58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$ 1,702</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652</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1,278</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2,133</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716</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1,364</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783</w:t>
            </w:r>
          </w:p>
        </w:tc>
        <w:tc>
          <w:tcPr>
            <w:tcW w:w="5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(646)</w:t>
            </w:r>
          </w:p>
        </w:tc>
        <w:tc>
          <w:tcPr>
            <w:tcW w:w="11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(1,222)</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3,561</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3,526</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$ 6,957</w:t>
            </w:r>
          </w:p>
        </w:tc>
        <w:tc>
          <w:tcPr>
            <w:tcW w:w="56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$ 6,862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9"/>
              </w:rPr>
              <w:t>Period-to-Period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4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4"/>
              </w:rPr>
              <w:t>2014 vs. 2013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(110)</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3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54</w:t>
            </w:r>
          </w:p>
        </w:tc>
        <w:tc>
          <w:tcPr>
            <w:tcW w:w="2380" w:type="dxa"/>
            <w:vAlign w:val="bottom"/>
            <w:gridSpan w:val="3"/>
          </w:tcPr>
          <w:p>
            <w:pPr>
              <w:jc w:val="right"/>
              <w:ind w:right="9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108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3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23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($3,512 million and $6,844 million for the three- and six-month periods,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ind w:left="46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reported herein represent the changes in our revenue attributable to average yield for the total Company. We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center"/>
              <w:ind w:right="13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4"/>
              </w:rPr>
              <w:t>2014 vs. 2013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spacing w:after="0"/>
              <w:rPr>
                <w:sz w:val="14"/>
                <w:szCs w:val="14"/>
                <w:color w:val="auto"/>
              </w:rPr>
            </w:pPr>
          </w:p>
        </w:tc>
        <w:tc>
          <w:tcPr>
            <w:tcW w:w="14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2"/>
              </w:rPr>
              <w:t>Business(i)</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138</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Collection and disposal(ii)</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3"/>
            <w:vMerge w:val="restart"/>
          </w:tcPr>
          <w:p>
            <w:pPr>
              <w:jc w:val="right"/>
              <w:ind w:right="8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6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137</w:t>
            </w:r>
          </w:p>
        </w:tc>
        <w:tc>
          <w:tcPr>
            <w:tcW w:w="1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180" w:type="dxa"/>
            <w:vAlign w:val="bottom"/>
            <w:gridSpan w:val="3"/>
          </w:tcPr>
          <w:p>
            <w:pPr>
              <w:jc w:val="right"/>
              <w:ind w:right="8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3"/>
            <w:vMerge w:val="restart"/>
          </w:tcPr>
          <w:p>
            <w:pPr>
              <w:jc w:val="right"/>
              <w:ind w:right="7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22"/>
        </w:trPr>
        <w:tc>
          <w:tcPr>
            <w:tcW w:w="616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146</w:t>
            </w:r>
          </w:p>
        </w:tc>
        <w:tc>
          <w:tcPr>
            <w:tcW w:w="1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9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six months ended June 30, 2013 adjusted to exclude the impacts of divestitures (in millions):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Denominator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9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June 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June 30</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2,798</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9"/>
                <w:szCs w:val="19"/>
                <w:color w:val="auto"/>
              </w:rPr>
            </w:pPr>
          </w:p>
        </w:tc>
      </w:tr>
      <w:tr>
        <w:trPr>
          <w:trHeight w:val="217"/>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Electricity</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Total Company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3,512</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business which is reported as “Electricity” revenues.</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revenues increased $35 million, or 1.0%, and $95 million, or 1.4%, for the three and six months ended June 30, 2014, respectively, as compared with the prior year period. Our current periods’ revenue growth has been driven by (i) increased revenue growth from our collection and disposal average yield;</w:t>
      </w:r>
    </w:p>
    <w:p>
      <w:pPr>
        <w:jc w:val="both"/>
        <w:ind w:firstLine="8"/>
        <w:spacing w:after="0" w:line="254"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acquisitions, particularly the acquired RCI operations, which increased revenues by $37 million and $77 million for the three and six months ended June 30, 2014; (iii) higher electricity prices at our merchant waste-to-energy facilities, particularly in the first three months of 2014; and (iv) higher revenues provided by our fuel surcharge program. Offsetting these revenue increases were revenue declines due to lower volumes, lower recyclable commodity prices, divestitures, and foreign currency translation, which affects revenues from our Canadian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 growth from collection and disposal average yield was $66 million, or 2.3%, and $137 million, or 2.4%, for the three and six months ended June 30, 2014, respectively, as compared with the prior year period. The details of our three principal collection lines of business are as follows (dollars in millions):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June 30, 2014</w:t>
            </w:r>
          </w:p>
        </w:tc>
      </w:tr>
      <w:tr>
        <w:trPr>
          <w:trHeight w:val="129"/>
        </w:trPr>
        <w:tc>
          <w:tcPr>
            <w:tcW w:w="5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59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7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32</w:t>
            </w:r>
          </w:p>
        </w:tc>
        <w:tc>
          <w:tcPr>
            <w:tcW w:w="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4.4%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22</w:t>
            </w:r>
          </w:p>
        </w:tc>
        <w:tc>
          <w:tcPr>
            <w:tcW w:w="1340" w:type="dxa"/>
            <w:vAlign w:val="bottom"/>
            <w:gridSpan w:val="2"/>
          </w:tcPr>
          <w:p>
            <w:pPr>
              <w:ind w:left="1120"/>
              <w:spacing w:after="0"/>
              <w:rPr>
                <w:sz w:val="20"/>
                <w:szCs w:val="20"/>
                <w:color w:val="auto"/>
              </w:rPr>
            </w:pPr>
            <w:r>
              <w:rPr>
                <w:rFonts w:ascii="Arial" w:cs="Arial" w:eastAsia="Arial" w:hAnsi="Arial"/>
                <w:sz w:val="18"/>
                <w:szCs w:val="18"/>
                <w:color w:val="auto"/>
                <w:w w:val="79"/>
              </w:rPr>
              <w:t>4.2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4.9</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10</w:t>
            </w:r>
          </w:p>
        </w:tc>
        <w:tc>
          <w:tcPr>
            <w:tcW w:w="1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1.6</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1.3</w:t>
            </w:r>
          </w:p>
        </w:tc>
        <w:tc>
          <w:tcPr>
            <w:tcW w:w="2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64</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132</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year-over-year yield growth was driven largely by our pricing strategy implemented in 2013 that combined focused effort on price increases with lower rollbacks. Other drivers affecting the current period average yield include:</w:t>
      </w:r>
    </w:p>
    <w:p>
      <w:pPr>
        <w:spacing w:after="0" w:line="51" w:lineRule="exact"/>
        <w:rPr>
          <w:sz w:val="20"/>
          <w:szCs w:val="20"/>
          <w:color w:val="auto"/>
        </w:rPr>
      </w:pPr>
    </w:p>
    <w:p>
      <w:pPr>
        <w:jc w:val="both"/>
        <w:ind w:left="700" w:hanging="246"/>
        <w:spacing w:after="0" w:line="256"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instituted a fee in April 2013 to help us recover a portion of the significant regulatory costs and fees, such as host fees and disposal taxes, which have not been recouped by our pricing programs. This fee contributed approximately $14 million and $30 million to our revenue growth for the three and six months ended June 30, 2014, respectively, principally in our collection business, with the most significant impact in our commercial line of business.</w:t>
      </w:r>
    </w:p>
    <w:p>
      <w:pPr>
        <w:spacing w:after="0" w:line="62" w:lineRule="exact"/>
        <w:rPr>
          <w:rFonts w:ascii="Arial" w:cs="Arial" w:eastAsia="Arial" w:hAnsi="Arial"/>
          <w:sz w:val="18"/>
          <w:szCs w:val="18"/>
          <w:color w:val="auto"/>
        </w:rPr>
      </w:pPr>
    </w:p>
    <w:p>
      <w:pPr>
        <w:ind w:left="700" w:right="20" w:hanging="246"/>
        <w:spacing w:after="0" w:line="332"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growth from yield in our industrial line of business was aided by our continued expansion of the Energy and Environmental Services business, which typically has higher average rates due to extended transportation distances, special waste handling costs and higher disposal costs.</w:t>
      </w:r>
    </w:p>
    <w:p>
      <w:pPr>
        <w:spacing w:after="0" w:line="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our residential line of business, we are focused on bidding on contracts that improve our yield performance and increase our overall returns. Our effort to increase yield in our residential line of business is a challenge principally due to a very competitive environment. A high percentage of our residential business is in municipal franchise markets, and many municipalities are facing significant budget challenges, which results in very competitive bid processes as we rebid contracts and try to win new contracts.</w:t>
      </w:r>
    </w:p>
    <w:p>
      <w:pPr>
        <w:spacing w:after="0" w:line="62"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Yield growth from our landfill and transfer station operations also increased for the three and six months ended June 30, 2014. Improving yield in our landfill business has proved to be a challenge, due, in part, to excess disposal capacity that exists in many of the markets in which we own or operate landfills.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Electricity </w:t>
      </w:r>
      <w:r>
        <w:rPr>
          <w:rFonts w:ascii="Arial" w:cs="Arial" w:eastAsia="Arial" w:hAnsi="Arial"/>
          <w:sz w:val="16"/>
          <w:szCs w:val="16"/>
          <w:color w:val="auto"/>
        </w:rPr>
        <w:t>— Revenue increased $2 million and $29 million for the three and six months ended June 30, 2014, respectively, as compared with same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 The year-to-date revenue increase is driven by higher prices at our merchant waste-to-energy facilities due to the exceptionally cold winter conditions that drove a higher demand for electricity in the first three months in 2014 as compared with the prior year period.</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revenue declines of $13 million and $27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2014, respectively, compared with the same prior year periods.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jc w:val="both"/>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Fuel surcharges and mandated fees — </w:t>
      </w:r>
      <w:r>
        <w:rPr>
          <w:rFonts w:ascii="Arial" w:cs="Arial" w:eastAsia="Arial" w:hAnsi="Arial"/>
          <w:sz w:val="16"/>
          <w:szCs w:val="16"/>
          <w:color w:val="auto"/>
        </w:rPr>
        <w:t>These revenues, which are predominantly generated by our fuel surcharge program, increased by $5 million and $7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and six months ended June 30, 2014, respectively, driven in part, by higher fuel prices in the second quarter in 2014. These revenues fluctuate in response to changes in the national average prices for diesel fuel on which our surcharge is based. Although we experienced slightly lower year-over-year average fuel prices in the first six months of 2014 as compared with the prior year period, our fuel surcharge revenues increased as a result of a revision of the surcharge calculation implemented to better capture price increases intended to be recovered by the surcharge. The mandated fees included in this line item are primarily related to pass-through fees and taxes assessed by various state, county and municipal government agencies at our landfills and transfer stations.</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$51 million, or 1.4%, and $110 million, or 1.6%,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2014, respectively, as compared with the comparable prior year period, driven by declines in our collection business. Our volume fluctuations are generally attributable to economic conditions, pricing changes, competition and diversion of waste by customers. Specifically, our revenue growth due to volume has been negatively affected by our pricing strategy implemented in 2013. We are experiencing volume decline due to the loss of low margin customers that we are not willing to keep at current rates. Additionally, we are experiencing losses of certain municipal contracts that are up for bid. As a result of both the very competitive environment and our focus on reasonable returns, we are facing challenges to keep existing contracts and to win new contracts. Finally, we experienced revenue declines associated with the loss of certain strategic accounts.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drivers affecting volumes in the current three- and six-month periods include:</w:t>
      </w:r>
    </w:p>
    <w:p>
      <w:pPr>
        <w:spacing w:after="0" w:line="90" w:lineRule="exact"/>
        <w:rPr>
          <w:sz w:val="20"/>
          <w:szCs w:val="20"/>
          <w:color w:val="auto"/>
        </w:rPr>
      </w:pPr>
    </w:p>
    <w:p>
      <w:pPr>
        <w:ind w:left="700" w:hanging="24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experienced revenue declines of approximately $23 million associated with the severe winter weather conditions in the first quarter of 2014.</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higher landfill volumes in 2014 driven, in part, by our municipal solid waste business and the event driven increases in our special waste and other landfill businesses.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revenue increases due to higher volumes in our ancillary services, primarily driven by increases in our Energy and Environmental Services and our WM Renewable Energy Program.</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pricing actions and our focus on controlling variable costs have consistently provided margin improvements in our collection line of business, although in the current year, our year-over-year margin was flat. While margins in our industrial line of business continued to expand, we did see margin deterioration in our commercial and residential line of business. The severe weather conditions we experienced in the first quarter of 2014 contributed to the flattening of our year-over-year collection margin for the six months ended June 30, 2014.</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Acquisitions and Divestitures </w:t>
      </w:r>
      <w:r>
        <w:rPr>
          <w:rFonts w:ascii="Arial" w:cs="Arial" w:eastAsia="Arial" w:hAnsi="Arial"/>
          <w:sz w:val="16"/>
          <w:szCs w:val="16"/>
          <w:color w:val="auto"/>
        </w:rPr>
        <w:t>— Revenues increased $54 million and $108 million for the three and six months ended June 30, 2014, respectively,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the prior year period due to acquisitions. This increase was principally associated with the acquired RCI operations, which is reported primarily in our collection line of business. These revenues were partially offset by revenue decreases of $14 million and $18 million for the three and six months ended June 30, 2014, respectively, as compared with the prior year period primarily due to the divestiture of our Puerto Rico operations in the second quarter of 2014.</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operating expenses decreased by $10 million, or 0.4%, and increased $13 million, or 0.3%, for the three and six months ended June 30, 2014, respectively, as compared with the three and six months ended June 30, 2013. Our operating expenses as a percentage of revenues decreased to 64.6% in the second quarter of 2014 from 65.5% in the second quarter of 2013, and decreased to 65.2% for the six months ended June 30, 2014 from 65.9% for the six months ended June 30,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the major components of our operating expenses, including the impact of foreign currency translation, for the three-and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center"/>
              <w:ind w:right="14"/>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left="258"/>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15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9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$ 1,236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(20)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Subcontractor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17</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Fuel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11</w:t>
            </w: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(23)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r>
      <w:tr>
        <w:trPr>
          <w:trHeight w:val="27"/>
        </w:trPr>
        <w:tc>
          <w:tcPr>
            <w:tcW w:w="3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(10)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$ 4,533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$ 4,520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our operating expenses are discussed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Headcount, exclusive of acquisitions, decreased in the current period compared to the prior year period;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quarters of 2013 and 2014;</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health and welfare costs;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incentive compensation;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contract labor principally attributed to the collection line of business.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current period increases in subcontractor costs were primarily driven by the acquired RCI operations and remediation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Energy and Environmental Services.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Better alignment of rebate structures to commodity prices for new recycling contracts;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commodity prices;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related to the acquired RCI operations;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business in Organic Growth and remediation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expense when compared to the prior year period was driven by (i) lower fuel purchases due to reduced collection volumes;</w:t>
      </w:r>
    </w:p>
    <w:p>
      <w:pPr>
        <w:spacing w:after="0" w:line="38"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lower costs resulting from the conversion of our fleet to CNG vehicles; and (iii) lower fuel prices in the current year. These decreases were offset, in part, by</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retroactive CNG fuel excise tax credit recognized in the first quarter of 2013 and (ii) the expiration of the excise credit in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Disposal and franchise fees and taxes — </w:t>
      </w:r>
      <w:r>
        <w:rPr>
          <w:rFonts w:ascii="Arial" w:cs="Arial" w:eastAsia="Arial" w:hAnsi="Arial"/>
          <w:sz w:val="16"/>
          <w:szCs w:val="16"/>
          <w:color w:val="auto"/>
        </w:rPr>
        <w:t>The increase in costs when compared to the prior periods was due to (i) higher disposal fees driven by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volumes, including from the acquired RCI operations and (ii) higher municipal franchise fees relating to the collection line of business. These unfavorable variances were offset, in part, by a retroactive surcharge at one of our waste-to-energy facilities in the second quarter of 2013.</w:t>
      </w:r>
    </w:p>
    <w:p>
      <w:pPr>
        <w:spacing w:after="0" w:line="2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increases in the current period were driven primarily by (i) a favorable discount rate adjustment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(ii) higher site maintenance costs during 2014.</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The decrease in risk management costs when compared to the prior periods was primarily due to lower uninsured losses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decreased performance bond costs and workers compensation claims in the current year.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is primarily due to the gain on the sale of a vacant facility in the second quarter of 2014.</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remained flat when comparing the three months ended June 30, 2014 to the prior year period and declined $15 million, or 2.0%, when comparing the six month periods. As a percentage of revenue, our selling, general and administrative expenses decreased to 9.9% for the second quarter of 2014 from 10.0% for the second quarter of 2013, and decreased to 10.5% for the six months ended June 30, 2014 from 10.8% for the six months ended June 30,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selling, general and administrative expenses for the three- and six-month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2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Period-to-</w:t>
            </w:r>
          </w:p>
        </w:tc>
        <w:tc>
          <w:tcPr>
            <w:tcW w:w="140" w:type="dxa"/>
            <w:vAlign w:val="bottom"/>
          </w:tcPr>
          <w:p>
            <w:pPr>
              <w:spacing w:after="0"/>
              <w:rPr>
                <w:sz w:val="12"/>
                <w:szCs w:val="12"/>
                <w:color w:val="auto"/>
              </w:rPr>
            </w:pPr>
          </w:p>
        </w:tc>
        <w:tc>
          <w:tcPr>
            <w:tcW w:w="13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9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$461</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$ 16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80" w:type="dxa"/>
            <w:vAlign w:val="bottom"/>
            <w:gridSpan w:val="3"/>
          </w:tcPr>
          <w:p>
            <w:pPr>
              <w:jc w:val="right"/>
              <w:ind w:right="92"/>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190</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r>
      <w:tr>
        <w:trPr>
          <w:trHeight w:val="27"/>
        </w:trPr>
        <w:tc>
          <w:tcPr>
            <w:tcW w:w="3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5"/>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Factors affecting the current year change in our labor and related benefits costs include (i) higher health and welfare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benefit costs in 2014, (ii) higher salaries and wages due primarily to merit increases and (iii) higher incentive compensation costs.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 Our professional fees decreased primarily due to higher legal fees in 2013 and our concerted effort to reduce consulting fees in 2014.</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was higher in 2013, primarily as a result of collection issues we experienced in our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during the first quarter of 2013.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Other costs decreased primarily as a result of the reversal of a reserve in the second quarter of 2014 due to a favorable litigation resolution.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continued focus on controlling costs resulted in a year-over-year decline in advertising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1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3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1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60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6</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188</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3</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6"/>
              </w:rPr>
              <w:t>(0.9)%</w:t>
            </w:r>
          </w:p>
        </w:tc>
        <w:tc>
          <w:tcPr>
            <w:tcW w:w="0" w:type="dxa"/>
            <w:vAlign w:val="bottom"/>
          </w:tcPr>
          <w:p>
            <w:pPr>
              <w:spacing w:after="0" w:line="20" w:lineRule="exact"/>
              <w:rPr>
                <w:sz w:val="1"/>
                <w:szCs w:val="1"/>
                <w:color w:val="auto"/>
              </w:rPr>
            </w:pPr>
          </w:p>
        </w:tc>
      </w:tr>
      <w:tr>
        <w:trPr>
          <w:trHeight w:val="222"/>
        </w:trPr>
        <w:tc>
          <w:tcPr>
            <w:tcW w:w="630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339</w:t>
            </w:r>
          </w:p>
        </w:tc>
        <w:tc>
          <w:tcPr>
            <w:tcW w:w="26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700" w:type="dxa"/>
            <w:vAlign w:val="bottom"/>
            <w:gridSpan w:val="2"/>
            <w:vMerge w:val="continue"/>
          </w:tcPr>
          <w:p>
            <w:pPr>
              <w:spacing w:after="0"/>
              <w:rPr>
                <w:sz w:val="19"/>
                <w:szCs w:val="19"/>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2014, we recognized net charges of $37 million, primarily related to a $25 million loss on the divestiture of our Puerto Rico operations and certain other collection and landfill assets as discussed further in Note 9 to the Condensed Consolidated Financial Statements and a $12 million impairment charge due to the decision to close a waste processing facility.</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first half of 2013, we recognized net charges of $15 million, primarily related to a $14 million impairment charge at a waste-to-energy facility as a result of projected operating losses. We wrote down the carrying value of the facility’s property, plant and equipment to its estimated fair value. Also included are (i) $6 million of losses on divestitures related to investments in oil and gas producing properties and (ii) $4 million of charges primarily to impair goodwill related to certain of our operations, which are included in our “Other” operations in Note 8 to the Condensed Consolidated Financial Statements. These charges were offset, in part, by gains on divestitures of $9 million, largely attributable to the sale of a transfer station in our Greater Mid-Atlantic Area.</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six-month periods ended June 30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1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15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196"/>
        </w:trPr>
        <w:tc>
          <w:tcPr>
            <w:tcW w:w="3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2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2640" w:type="dxa"/>
            <w:vAlign w:val="bottom"/>
            <w:gridSpan w:val="3"/>
          </w:tcPr>
          <w:p>
            <w:pPr>
              <w:jc w:val="right"/>
              <w:ind w:right="180"/>
              <w:spacing w:after="0"/>
              <w:rPr>
                <w:sz w:val="20"/>
                <w:szCs w:val="20"/>
                <w:color w:val="auto"/>
              </w:rPr>
            </w:pPr>
            <w:r>
              <w:rPr>
                <w:rFonts w:ascii="Arial" w:cs="Arial" w:eastAsia="Arial" w:hAnsi="Arial"/>
                <w:sz w:val="18"/>
                <w:szCs w:val="18"/>
                <w:color w:val="auto"/>
              </w:rPr>
              <w:t>$ 223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$ 221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441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$ 13</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w:t>
            </w: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r>
      <w:tr>
        <w:trPr>
          <w:trHeight w:val="223"/>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20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13.7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Wheelabrator</w:t>
            </w:r>
          </w:p>
        </w:tc>
        <w:tc>
          <w:tcPr>
            <w:tcW w:w="264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r>
      <w:tr>
        <w:trPr>
          <w:trHeight w:val="216"/>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Corporate and Other</w:t>
            </w:r>
          </w:p>
        </w:tc>
        <w:tc>
          <w:tcPr>
            <w:tcW w:w="20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(22)</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660" w:type="dxa"/>
            <w:vAlign w:val="bottom"/>
            <w:gridSpan w:val="3"/>
          </w:tcPr>
          <w:p>
            <w:pPr>
              <w:jc w:val="right"/>
              <w:ind w:right="92"/>
              <w:spacing w:after="0"/>
              <w:rPr>
                <w:sz w:val="20"/>
                <w:szCs w:val="20"/>
                <w:color w:val="auto"/>
              </w:rPr>
            </w:pPr>
            <w:r>
              <w:rPr>
                <w:rFonts w:ascii="Arial" w:cs="Arial" w:eastAsia="Arial" w:hAnsi="Arial"/>
                <w:sz w:val="18"/>
                <w:szCs w:val="18"/>
                <w:color w:val="auto"/>
              </w:rPr>
              <w:t>(15)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r>
      <w:tr>
        <w:trPr>
          <w:trHeight w:val="27"/>
        </w:trPr>
        <w:tc>
          <w:tcPr>
            <w:tcW w:w="1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20"/>
        </w:trPr>
        <w:tc>
          <w:tcPr>
            <w:tcW w:w="1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Solid Waste </w:t>
      </w:r>
      <w:r>
        <w:rPr>
          <w:rFonts w:ascii="Arial" w:cs="Arial" w:eastAsia="Arial" w:hAnsi="Arial"/>
          <w:sz w:val="18"/>
          <w:szCs w:val="18"/>
          <w:color w:val="auto"/>
        </w:rPr>
        <w:t>— The most significant items affecting the results of operations of our Solid Waste business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as compared with the prior year periods are summarized below:</w:t>
      </w:r>
    </w:p>
    <w:p>
      <w:pPr>
        <w:spacing w:after="0" w:line="51" w:lineRule="exact"/>
        <w:rPr>
          <w:sz w:val="20"/>
          <w:szCs w:val="20"/>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base business, excluding recycling, benefited from internal revenue growth as well as from increased fuel recovery;</w:t>
      </w:r>
    </w:p>
    <w:p>
      <w:pPr>
        <w:spacing w:after="0" w:line="9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recycling business contributed favorably compared to the prior year periods principally due to (i) increased efforts to reduce controllable recycling rebates paid to customers; (ii) better alignment of rebate structures to commodity prices for new recycling contracts and (iii) ongoing business improvement efforts around inbound quality control. These favorable variances completely offset lower market prices for recyclable commodities and lower volumes;</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labor costs due to merit increases effective in the second quarter and higher incentive compensation costs;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repair and maintenance costs primarily in the current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affected specific segments:</w:t>
      </w:r>
    </w:p>
    <w:p>
      <w:pPr>
        <w:spacing w:after="0" w:line="90" w:lineRule="exact"/>
        <w:rPr>
          <w:sz w:val="20"/>
          <w:szCs w:val="20"/>
          <w:color w:val="auto"/>
        </w:rPr>
      </w:pPr>
    </w:p>
    <w:p>
      <w:pPr>
        <w:ind w:left="700" w:hanging="246"/>
        <w:spacing w:after="0" w:line="268"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Divestiture of our Puerto Rico operations and certain other collection and landfill assets in the second quarter of 2014, which were included in Tier 3 and Tier 1, respectively;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weather in the first quarter of 2014 resulted in lower income from operations primarily in Tier 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accretive benefits of the acquired RCI operations, which are included in Tier 3;</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on the sale of a vacant facility in the second quarter of 2014, which was included in Tier 3;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reversal of a reserve in the second quarter of 2014 due to a favorable litigation resolution, which was included in Tier 1.</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and six month periods ended June 30, 2014 are summarized below.</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The increase in income from operations of our Wheelabrator business was driven in large part by higher electricity prices at our merchant</w:t>
      </w:r>
      <w:r>
        <w:rPr>
          <w:rFonts w:ascii="Arial" w:cs="Arial" w:eastAsia="Arial" w:hAnsi="Arial"/>
          <w:sz w:val="16"/>
          <w:szCs w:val="16"/>
          <w:i w:val="1"/>
          <w:iCs w:val="1"/>
          <w:color w:val="auto"/>
        </w:rPr>
        <w:t xml:space="preserve"> </w:t>
      </w:r>
      <w:r>
        <w:rPr>
          <w:rFonts w:ascii="Arial" w:cs="Arial" w:eastAsia="Arial" w:hAnsi="Arial"/>
          <w:sz w:val="16"/>
          <w:szCs w:val="16"/>
          <w:color w:val="auto"/>
        </w:rPr>
        <w:t>waste-to-energy facilities due to the exceptionally cold winter conditions in the first quarter in 2014 as compared with the prior year period. Other items contributing to the variability included (i) impairment charges at a waste-to-energy facility as a result of projected operating losses in the second quarter of 2013 and (ii) lower repair and maintenance expenses in the current period due to differences in the timing and scope of planned maintenance activities.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Significant items affecting the comparability of results for the periods presented include:</w:t>
      </w:r>
    </w:p>
    <w:p>
      <w:pPr>
        <w:spacing w:after="0" w:line="90" w:lineRule="exact"/>
        <w:rPr>
          <w:sz w:val="20"/>
          <w:szCs w:val="20"/>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Improved results in our Strategic Business Solutions as a result of our system and process enhancements;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charges incurred in the second quarter of 2014 primarily due to the decision to close a waste processing facility;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favorable adjustment to accrued contingent consideration associated with a prior year acquisition.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comparability of expenses for the periods presented include (i) increased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costs; (ii) a favorable discount rate adjustment to our environmental remediation obligations and recovery assets in the second quarter of 2013 due to increases in U.S. Treasury rates; (iii) higher incentive compensation primarily in the second quarter of 2014 and (iv) favorable risk management adjustments in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recognized “Equity in net losses of unconsolidated entities” of $13 million and $22 million during the three and six months ended June 30, 2014, respectively, compared with $8 million and $16 million during the three and six months ended June 30, 2013, respectively. These losses are primarily related to our noncontrolling interests in two limited liability companies established to invest in and manage low-income housing properties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5 and 13 to the Condensed Consolidated Financial Statements for more information related to these investments.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recognized other, net expense of $2 million and $5 million for the three and six months ended June 30, 2014, respectively, compared with other, net income of $2 million for the three months ended June 30, 2013 and other, net expense of $9 million for the six months ended June 30, 2013. In the first quarter of 2014, we sold our investment in SEG, which was part of our Wheelabrator business. We received cash proceeds from the sale of $155 million. The losses recognized related to the sale were not material. During the first quarter of 2013, we recognized impairment charges of $11 million relating to other-than-temporary declines in the value of investments in waste diversion technology companies accounted for under the cost method. We wrote down the carrying value of our investments to their fair value based on third-party investors’ recent transactions in these securities. Partially offsetting these charges was a $4 million gain on the sale of a similar investment recognized in the second quarter of 2013.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a provision for income taxes of $180 million during the second quarter of 2014, representing an effective income tax rate of 44.7%, compared with a provision for income taxes of $127 million during the second quarter of 2013, representing an effective income tax rate of 33.2%. Our effective income tax rate for the first half of 2014 was 37.8% compared with 33.0% for the first half of 2013.</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provision for income taxes during the second quarter of 2014 was unfavorably impacted by the divestiture of our Puerto Rico operations and certain other collection and landfill assets. No tax benefit was recorded in connection with the $25 million loss incurred. In addition, we incurred $32 million of tax charges to repatriate accumulated cash prior to the divestment.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investments in low-income housing properties and the refined coal facility reduced our provision for income taxes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2014 by $14 million and $25 million, respectively, and for the three and six months ended June 30, 2013 by $16 million and $26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to the Condensed Consolidated Financial Statements for more information related to these investments.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income attributable to noncontrolling interests was $12 million and $21 million for the three and six months ended June 30, 2014, respectively, and $12 million and $20 million for the three and six months ended June 30, 2013, respectively. These amounts are principally related to third parties’ equity interests in two limited liability companies that own three waste-to-energy facilities operated by our Wheelabrator business. Refer to Note 13 to the Condensed Consolidated Financial Statements for information related to the consolidation of these variable interest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our cash and cash equivalents, restricted trust and escrow accounts and debt balances as of June 30, 2014 and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0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786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9,011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9,797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2014, we had (i) $517 million of debt maturing within the next 12 months, including $350 million of 6.375% senior notes that mature in March 2015 and $102 million of tax-exempt bonds; (ii) $105 million of short-term borrowings outstanding under the U.S. revolving credit facility (“$2.25 billion revolving credit facility”) and (iii) $905 million of tax-exempt borrowings subject to repricing within the next 12 months. Based on our intent and ability to refinance portions of our current obligations on a long-term basis as of June 30, 2014, including through use of forecasted available capacity under our $2.25 billion revolving credit facility, we have classified $741 million of this debt as long-term and the remaining $786 million as current obligations. The $741 million classified as long-term is less than our unused and available capacity under our $2.25 billion revolving credit facility of $1.3 billion due to expected decreases in such available capacity within the next 12 months.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six-month periods ended June 30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240"/>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for the six-month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with the comparable prior year period are summarized below:</w:t>
      </w:r>
    </w:p>
    <w:p>
      <w:pPr>
        <w:spacing w:after="0" w:line="51" w:lineRule="exact"/>
        <w:rPr>
          <w:sz w:val="20"/>
          <w:szCs w:val="20"/>
          <w:color w:val="auto"/>
        </w:rPr>
      </w:pPr>
    </w:p>
    <w:p>
      <w:pPr>
        <w:jc w:val="both"/>
        <w:ind w:left="700" w:hanging="246"/>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by $83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earnings increase was approximately $16 million of net charges, associated principally with net losses on the sale of divested operations that have no effect on cash flow provided by operating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both"/>
        <w:ind w:left="700" w:hanging="246"/>
        <w:spacing w:after="0" w:line="306"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Increase in tax payments </w:t>
      </w:r>
      <w:r>
        <w:rPr>
          <w:rFonts w:ascii="Arial" w:cs="Arial" w:eastAsia="Arial" w:hAnsi="Arial"/>
          <w:sz w:val="16"/>
          <w:szCs w:val="16"/>
          <w:color w:val="auto"/>
        </w:rPr>
        <w:t>— Cash paid for income taxes, net of excess tax benefits associated with equity-based transactions, was approximately $75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higher on a year-over-year basis due to higher pre-tax earnings, the expiration of the bonus depreciation provisions, and the divestiture of our Puerto Rico operations and certain other collection and landfill assets in the second quarter of 2014.</w:t>
      </w:r>
    </w:p>
    <w:p>
      <w:pPr>
        <w:spacing w:after="0" w:line="25" w:lineRule="exact"/>
        <w:rPr>
          <w:rFonts w:ascii="Arial" w:cs="Arial" w:eastAsia="Arial" w:hAnsi="Arial"/>
          <w:sz w:val="16"/>
          <w:szCs w:val="16"/>
          <w:color w:val="auto"/>
        </w:rPr>
      </w:pPr>
    </w:p>
    <w:p>
      <w:pPr>
        <w:ind w:left="700" w:hanging="246"/>
        <w:spacing w:after="0" w:line="332"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Increase in bonus payments </w:t>
      </w:r>
      <w:r>
        <w:rPr>
          <w:rFonts w:ascii="Arial" w:cs="Arial" w:eastAsia="Arial" w:hAnsi="Arial"/>
          <w:sz w:val="16"/>
          <w:szCs w:val="16"/>
          <w:color w:val="auto"/>
        </w:rPr>
        <w:t>— Payments for our annual incentive plans are typically paid in the first quarter of the year for the prior year.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payments made in the first quarter of 2014 exceeded those made in the first quarter of 2013 by $73 million.</w:t>
      </w:r>
    </w:p>
    <w:p>
      <w:pPr>
        <w:spacing w:after="0" w:line="4" w:lineRule="exact"/>
        <w:rPr>
          <w:rFonts w:ascii="Arial" w:cs="Arial" w:eastAsia="Arial" w:hAnsi="Arial"/>
          <w:sz w:val="16"/>
          <w:szCs w:val="16"/>
          <w:color w:val="auto"/>
        </w:rPr>
      </w:pPr>
    </w:p>
    <w:p>
      <w:pPr>
        <w:jc w:val="both"/>
        <w:ind w:left="700" w:hanging="246"/>
        <w:spacing w:after="0" w:line="335" w:lineRule="auto"/>
        <w:tabs>
          <w:tab w:leader="none" w:pos="70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Forward-starting swaps </w:t>
      </w:r>
      <w:r>
        <w:rPr>
          <w:rFonts w:ascii="Arial" w:cs="Arial" w:eastAsia="Arial" w:hAnsi="Arial"/>
          <w:sz w:val="15"/>
          <w:szCs w:val="15"/>
          <w:color w:val="auto"/>
        </w:rPr>
        <w:t>— During the first quarter of 2014, the forward-starting interest rate swaps associated with the anticipated issuance of senior</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 2014 matured, and we paid cash of $36 million to settle the liabilities related to the swaps. This cash payment has been classified as a change in “Accounts payable and accrued liabilities” within “Net cash provided by operating activities” in the Condensed Consolidated Statement of Cash Flows.</w:t>
      </w:r>
    </w:p>
    <w:p>
      <w:pPr>
        <w:spacing w:after="0" w:line="7" w:lineRule="exact"/>
        <w:rPr>
          <w:rFonts w:ascii="Arial" w:cs="Arial" w:eastAsia="Arial" w:hAnsi="Arial"/>
          <w:sz w:val="15"/>
          <w:szCs w:val="15"/>
          <w:color w:val="auto"/>
        </w:rPr>
      </w:pPr>
    </w:p>
    <w:p>
      <w:pPr>
        <w:jc w:val="both"/>
        <w:ind w:left="700" w:hanging="246"/>
        <w:spacing w:after="0" w:line="256"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 from operations was favorably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$118 million on a year-over-year basis by changes in our working capital accounts. Although our working capital changes may vary from year to year, they are typically driven by variability in accounts receivable, which are affected by both revenue changes and timing of payments received, and accounts payable, which are affected by both cost changes and timing of payments.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six-month periods ended June 30,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are summarized below:</w:t>
      </w:r>
    </w:p>
    <w:p>
      <w:pPr>
        <w:spacing w:after="0" w:line="51" w:lineRule="exact"/>
        <w:rPr>
          <w:sz w:val="20"/>
          <w:szCs w:val="20"/>
          <w:color w:val="auto"/>
        </w:rPr>
      </w:pPr>
    </w:p>
    <w:p>
      <w:pPr>
        <w:jc w:val="both"/>
        <w:ind w:left="700" w:hanging="246"/>
        <w:spacing w:after="0" w:line="306"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$474 million in the first half of 2014 compared with $501 million in the first half of 2013 for 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$167 million of our capital expenditures accrued in the fourth quarter of 2013 were paid in cash in the first quarter of 2014 compared with approximately $171 million of our capital expenditures accrued in the fourth quarter of 2012 that were paid in cash in the first quarter of 2013.</w:t>
      </w:r>
    </w:p>
    <w:p>
      <w:pPr>
        <w:spacing w:after="0" w:line="25"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Proceeds from divestitures of businesses and other assets (net of cash divested) were $266 million in the first half of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$74 million in the first half of 2013. In the first quarter of 2014, we sold our investment in SEG and received cash proceeds of $155 million. In the second quarter of 2014, we sold our Puerto Rico operations and certain other collection and landfill assets and received proceeds from the sale of $80 million, consisting of $65 million of cash and $15 million of preferred stock.</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$26 million in the first half of 2014 compared with $210 million in the first half of 2013. In 2013,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consisted primarily of the recycling operations of Greenstar, for which we paid $170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Cash Used in Financing Activities — </w:t>
      </w:r>
      <w:r>
        <w:rPr>
          <w:rFonts w:ascii="Arial" w:cs="Arial" w:eastAsia="Arial" w:hAnsi="Arial"/>
          <w:sz w:val="18"/>
          <w:szCs w:val="18"/>
          <w:color w:val="auto"/>
        </w:rPr>
        <w:t>During the first half of 2014, net cash used in financing activities was $766 million, compared with $465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comparable prior year period. The most significant items affecting the comparison of our financing cash flows for the six-month periods ended June 30, 2014 and 2013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5"/>
              </w:rPr>
              <w:t>Six Months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1,020</w:t>
            </w:r>
          </w:p>
        </w:tc>
        <w:tc>
          <w:tcPr>
            <w:tcW w:w="5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$ 390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52"/>
              <w:spacing w:after="0"/>
              <w:rPr>
                <w:sz w:val="20"/>
                <w:szCs w:val="20"/>
                <w:color w:val="auto"/>
              </w:rPr>
            </w:pPr>
            <w:r>
              <w:rPr>
                <w:rFonts w:ascii="Arial" w:cs="Arial" w:eastAsia="Arial" w:hAnsi="Arial"/>
                <w:sz w:val="18"/>
                <w:szCs w:val="18"/>
                <w:color w:val="auto"/>
                <w:w w:val="84"/>
              </w:rPr>
              <w:t>(1,335)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(134)</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1020" w:type="dxa"/>
            <w:vAlign w:val="bottom"/>
            <w:gridSpan w:val="2"/>
          </w:tcPr>
          <w:p>
            <w:pPr>
              <w:jc w:val="right"/>
              <w:ind w:right="452"/>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(15)</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Pr>
          <w:p>
            <w:pPr>
              <w:spacing w:after="0"/>
              <w:rPr>
                <w:sz w:val="18"/>
                <w:szCs w:val="18"/>
                <w:color w:val="auto"/>
              </w:rPr>
            </w:pPr>
          </w:p>
        </w:tc>
        <w:tc>
          <w:tcPr>
            <w:tcW w:w="1020" w:type="dxa"/>
            <w:vAlign w:val="bottom"/>
            <w:gridSpan w:val="2"/>
          </w:tcPr>
          <w:p>
            <w:pPr>
              <w:jc w:val="right"/>
              <w:ind w:right="452"/>
              <w:spacing w:after="0"/>
              <w:rPr>
                <w:sz w:val="20"/>
                <w:szCs w:val="20"/>
                <w:color w:val="auto"/>
              </w:rPr>
            </w:pPr>
            <w:r>
              <w:rPr>
                <w:rFonts w:ascii="Arial" w:cs="Arial" w:eastAsia="Arial" w:hAnsi="Arial"/>
                <w:sz w:val="18"/>
                <w:szCs w:val="18"/>
                <w:color w:val="auto"/>
              </w:rPr>
              <w:t>(91)</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4"/>
              </w:rPr>
              <w:t>(1,925)</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(658)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repayments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52"/>
              <w:spacing w:after="0"/>
              <w:rPr>
                <w:sz w:val="20"/>
                <w:szCs w:val="20"/>
                <w:color w:val="auto"/>
              </w:rPr>
            </w:pPr>
            <w:r>
              <w:rPr>
                <w:rFonts w:ascii="Arial" w:cs="Arial" w:eastAsia="Arial" w:hAnsi="Arial"/>
                <w:sz w:val="18"/>
                <w:szCs w:val="18"/>
                <w:color w:val="auto"/>
              </w:rPr>
              <w:t>(425)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90" w:lineRule="exact"/>
        <w:rPr>
          <w:sz w:val="20"/>
          <w:szCs w:val="20"/>
          <w:color w:val="auto"/>
        </w:rPr>
      </w:pPr>
    </w:p>
    <w:p>
      <w:pPr>
        <w:ind w:left="700" w:hanging="246"/>
        <w:spacing w:after="0" w:line="332"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 </w:t>
      </w:r>
      <w:r>
        <w:rPr>
          <w:rFonts w:ascii="Arial" w:cs="Arial" w:eastAsia="Arial" w:hAnsi="Arial"/>
          <w:sz w:val="16"/>
          <w:szCs w:val="16"/>
          <w:color w:val="auto"/>
        </w:rPr>
        <w:t>We paid $349 million in cash dividends in the first half of 2014 compared with $341 million in the first half of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dividend payments is primarily due to our quarterly per share dividend declared increasing from $0.365 in 2013 to $0.375 in 2014.</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In February 2014, the Board of Directors authorized up to $600 million in future share repurchases. No share repurchases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made in the first half of 2014.</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Bonus Depreciation — </w:t>
      </w:r>
      <w:r>
        <w:rPr>
          <w:rFonts w:ascii="Arial" w:cs="Arial" w:eastAsia="Arial" w:hAnsi="Arial"/>
          <w:sz w:val="18"/>
          <w:szCs w:val="18"/>
          <w:color w:val="auto"/>
        </w:rPr>
        <w:t>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acceleration of depreciation deductions related to qualifying capital expenditures in 2013 decreased our 2013 cash taxes by approximately $70 million. However, taking accelerated depreciation deductions results in increased cash taxes in subsequent periods when the depreciation deductions related to the capital expenditures would have otherwise been taken. Overall, the effect of all applicable years’ bonus depreciation programs results in increased cash taxes of $40 million in 2013 and $95 million in 2014.</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included as a component</w:t>
      </w:r>
      <w:r>
        <w:rPr>
          <w:rFonts w:ascii="Arial" w:cs="Arial" w:eastAsia="Arial" w:hAnsi="Arial"/>
          <w:sz w:val="16"/>
          <w:szCs w:val="16"/>
          <w:i w:val="1"/>
          <w:iCs w:val="1"/>
          <w:color w:val="auto"/>
        </w:rPr>
        <w:t xml:space="preserve"> </w:t>
      </w:r>
      <w:r>
        <w:rPr>
          <w:rFonts w:ascii="Arial" w:cs="Arial" w:eastAsia="Arial" w:hAnsi="Arial"/>
          <w:sz w:val="16"/>
          <w:szCs w:val="16"/>
          <w:color w:val="auto"/>
        </w:rPr>
        <w:t>of long-term “Other liabilities” in our Condensed Consolidated Balance Sheets because the Company does not anticipate that settlement of the liabilities will require payment of cash within the next 12 months. We are not able to reasonably estimate when we would make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cash payments required to settle these liabilities, but we do not believe that the ultimate settlement of our obligations will materially affect our liquidity. We anticipate that approximately $9 million of liabilities for unrecognized tax benefits, including accrued interest, and $3 million of related tax assets may be reversed within the next 12 months. The anticipated reversals are primarily related to state tax items, none of which are material, and are expected to result from the expiration of the applicable statute of limitations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 June 30, 2014,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June 30, 2014, does not differ materially from that discussed under Item 7A in our Annual Report on Form 10-K for the year ended December 31, 2013.</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2014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2014. We determined that there were no changes in our internal control over financial reporting during the quarter ended June 30, 2014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2013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8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5"/>
              </w:rPr>
              <w:t>Exhibits.</w:t>
            </w:r>
          </w:p>
        </w:tc>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800" w:type="dxa"/>
            <w:vAlign w:val="bottom"/>
            <w:tcBorders>
              <w:bottom w:val="single" w:sz="8" w:color="auto"/>
            </w:tcBorders>
          </w:tcPr>
          <w:p>
            <w:pPr>
              <w:ind w:left="380"/>
              <w:spacing w:after="0" w:line="148" w:lineRule="exact"/>
              <w:rPr>
                <w:sz w:val="20"/>
                <w:szCs w:val="20"/>
                <w:color w:val="auto"/>
              </w:rPr>
            </w:pPr>
            <w:r>
              <w:rPr>
                <w:rFonts w:ascii="Arial" w:cs="Arial" w:eastAsia="Arial" w:hAnsi="Arial"/>
                <w:sz w:val="14"/>
                <w:szCs w:val="14"/>
                <w:b w:val="1"/>
                <w:bCs w:val="1"/>
                <w:color w:val="auto"/>
              </w:rPr>
              <w:t>No.</w:t>
            </w:r>
          </w:p>
        </w:tc>
        <w:tc>
          <w:tcPr>
            <w:tcW w:w="1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w w:val="87"/>
              </w:rPr>
              <w:t>Officers’ Certificate delivered pursuant to Section 301 of the Indenture dated September 10, 1997 by and between Waste Management, Inc.</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w w:val="88"/>
              </w:rPr>
              <w:t>and The Bank of New York Mellon Trust Company, N.A., as Trustee, establishing the terms and form of the 3.50% Senior Notes due 2024</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rPr>
              <w:t>[incorporated by reference to Exhibit 4.2 to Current Report on Form 8-K filed May 8, 2014].</w:t>
            </w: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w w:val="90"/>
              </w:rPr>
              <w:t>Guarantee Agreement by Waste Management Holdings, Inc. in favor of The Bank of New York Mellon Trust Company, N.A., as Trustee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w w:val="90"/>
              </w:rPr>
              <w:t>for the holders of the 3.50% Senior Notes due 2024 [incorporated by reference to Exhibit 4.4 to Current Report on Form 8-K filed May 8,</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Amended and Restated By-laws of Waste Management Holdings, Inc.</w:t>
            </w: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w w:val="90"/>
              </w:rPr>
              <w:t>Waste Management, Inc. 2014 Stock Incentive Plan [incorporated by reference to Exhibit 10.1 to Current Report on Form 8-K filed May</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15, 2014].</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w w:val="91"/>
              </w:rPr>
              <w:t>Certification Pursuant to Rules 13a-14(a) and 15d-14(a) under the Securities Exchange Act of 1934, as amended, of David P. Steiner,</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amended, of James C. Fish, Jr.,</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rPr>
              <w:t>Mine Safety Disclosures.</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2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XBRL Taxonomy Extension Definition Linkbase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440" w:type="dxa"/>
            <w:vAlign w:val="bottom"/>
            <w:gridSpan w:val="5"/>
          </w:tcPr>
          <w:p>
            <w:pPr>
              <w:ind w:left="340"/>
              <w:spacing w:after="0"/>
              <w:rPr>
                <w:sz w:val="20"/>
                <w:szCs w:val="20"/>
                <w:color w:val="auto"/>
              </w:rPr>
            </w:pPr>
            <w:r>
              <w:rPr>
                <w:rFonts w:ascii="Arial" w:cs="Arial" w:eastAsia="Arial" w:hAnsi="Arial"/>
                <w:sz w:val="18"/>
                <w:szCs w:val="18"/>
                <w:color w:val="auto"/>
              </w:rPr>
              <w:t>—  XBRL Taxonomy Extension Labels Linkbase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(hereinafter called the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shall be c/o CT Corporation System, 1209 Orange Street, Wilmington, Delaware 19801.</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President or the Board of Directors.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Quorum; Adjournment</w:t>
      </w:r>
      <w:r>
        <w:rPr>
          <w:rFonts w:ascii="Arial" w:cs="Arial" w:eastAsia="Arial" w:hAnsi="Arial"/>
          <w:sz w:val="17"/>
          <w:szCs w:val="17"/>
          <w:color w:val="auto"/>
        </w:rPr>
        <w:t>.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of any such adjourned meeting other than announcement of the time and place thereof at the meeting at which the adjournment is taken, until a quorum shall be present or represented. Additionally, the chairman of the meeting shall have power to adjourn, postpone, or recess the meeting from time to time, without notice other than announcement at the meeting of the time and place of the adjourned, postponed, or recessed meeting. At any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w:t>
      </w:r>
      <w:r>
        <w:rPr>
          <w:rFonts w:ascii="Arial" w:cs="Arial" w:eastAsia="Arial" w:hAnsi="Arial"/>
          <w:sz w:val="17"/>
          <w:szCs w:val="17"/>
          <w:color w:val="auto"/>
        </w:rPr>
        <w:t>. Unless otherwise required by law, the Certificate of Incorporation or these By-laws, (i) any question brought before any meeting of stockholders at which a quorum is present shall be decided by the vote of the holders of a majority of the outstanding shares of stock represented and entitled to vote thereon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21" w:right="239" w:bottom="1440" w:gutter="0" w:footer="0" w:header="0"/>
        </w:sectPr>
      </w:pPr>
    </w:p>
    <w:bookmarkStart w:id="57" w:name="page58"/>
    <w:bookmarkEnd w:id="57"/>
    <w:p>
      <w:pPr>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at the principal place of business of the Corporation. The list shall also be produced and kept at the time and place of the meeting during the whole time thereof, and may be inspected by any stockholder of the Corporation who is present.</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Ledger</w:t>
      </w:r>
      <w:r>
        <w:rPr>
          <w:rFonts w:ascii="Arial" w:cs="Arial" w:eastAsia="Arial" w:hAnsi="Arial"/>
          <w:sz w:val="17"/>
          <w:szCs w:val="17"/>
          <w:color w:val="auto"/>
        </w:rPr>
        <w:t>.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The business and affairs of the Corporation shall be managed by or under the direction of a Board of Directors consisting of one or more directors, the exact number of directors to be determined from time to time by resolution adopted by the affirmative vote of a majority of the directors then in office. At each annual meeting of stockholders beginning with the first, directors shall be elected. Each director shall hold office until the ensuing meeting or until such director’s successor is elected and qualified or until such director’s earlier death, resignation, or removal. Directors of the Corporation may be removed, with or without cause, by the holders of a majority of the shares then entitled to vote at an election of directors.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w:t>
      </w:r>
      <w:r>
        <w:rPr>
          <w:rFonts w:ascii="Arial" w:cs="Arial" w:eastAsia="Arial" w:hAnsi="Arial"/>
          <w:sz w:val="18"/>
          <w:szCs w:val="18"/>
          <w:color w:val="auto"/>
        </w:rPr>
        <w:t>.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twelve (12) hours before the time of the meeting.</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Actions of Board</w:t>
      </w:r>
      <w:r>
        <w:rPr>
          <w:rFonts w:ascii="Arial" w:cs="Arial" w:eastAsia="Arial" w:hAnsi="Arial"/>
          <w:sz w:val="18"/>
          <w:szCs w:val="18"/>
          <w:color w:val="auto"/>
        </w:rPr>
        <w:t>.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electronic transmission is filed with the minutes of proceedings of the Board of Directors or committee.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 by Means of Conference Telephone</w:t>
      </w:r>
      <w:r>
        <w:rPr>
          <w:rFonts w:ascii="Arial" w:cs="Arial" w:eastAsia="Arial" w:hAnsi="Arial"/>
          <w:sz w:val="18"/>
          <w:szCs w:val="18"/>
          <w:color w:val="auto"/>
        </w:rPr>
        <w:t>. Unless otherwise provided by the Corporation’s Certificate of Incorporation or these By-laws, members of the Board of Directors of the Corporation, or any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400"/>
          </w:cols>
          <w:pgMar w:left="240" w:top="274" w:right="259" w:bottom="1440" w:gutter="0" w:footer="0" w:header="0"/>
        </w:sectPr>
      </w:pPr>
    </w:p>
    <w:bookmarkStart w:id="58" w:name="page59"/>
    <w:bookmarkEnd w:id="5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w:t>
      </w:r>
    </w:p>
    <w:p>
      <w:pPr>
        <w:spacing w:after="0" w:line="2" w:lineRule="exact"/>
        <w:rPr>
          <w:sz w:val="20"/>
          <w:szCs w:val="20"/>
          <w:color w:val="auto"/>
        </w:rPr>
      </w:pPr>
    </w:p>
    <w:p>
      <w:pPr>
        <w:ind w:right="40" w:firstLine="8"/>
        <w:spacing w:after="0" w:line="269" w:lineRule="auto"/>
        <w:tabs>
          <w:tab w:leader="none" w:pos="2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General</w:t>
      </w:r>
      <w:r>
        <w:rPr>
          <w:rFonts w:ascii="Arial" w:cs="Arial" w:eastAsia="Arial" w:hAnsi="Arial"/>
          <w:sz w:val="17"/>
          <w:szCs w:val="17"/>
          <w:color w:val="auto"/>
        </w:rPr>
        <w:t>.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may be removed at any time with or without cause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420"/>
          </w:cols>
          <w:pgMar w:left="240" w:top="274" w:right="239" w:bottom="1440" w:gutter="0" w:footer="0" w:header="0"/>
        </w:sectPr>
      </w:pPr>
    </w:p>
    <w:bookmarkStart w:id="59" w:name="page60"/>
    <w:bookmarkEnd w:id="59"/>
    <w:p>
      <w:pPr>
        <w:ind w:right="4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President</w:t>
      </w:r>
      <w:r>
        <w:rPr>
          <w:rFonts w:ascii="Arial" w:cs="Arial" w:eastAsia="Arial" w:hAnsi="Arial"/>
          <w:sz w:val="16"/>
          <w:szCs w:val="16"/>
          <w:color w:val="auto"/>
        </w:rPr>
        <w: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certificates representing shares of stock of the Corporation. The President may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The President shall preside at meetings of the stockholders. In addition, the President shall perform all other duties incident to the office of President and have such other powers and perform such other duties as from time to time may be assigned to him by the Board of Directors or as are prescribed by these By-laws.</w:t>
      </w:r>
    </w:p>
    <w:p>
      <w:pPr>
        <w:spacing w:after="0" w:line="16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Vice Presidents</w:t>
      </w:r>
      <w:r>
        <w:rPr>
          <w:rFonts w:ascii="Arial" w:cs="Arial" w:eastAsia="Arial" w:hAnsi="Arial"/>
          <w:sz w:val="16"/>
          <w:szCs w:val="16"/>
          <w:color w:val="auto"/>
        </w:rPr>
        <w:t>. Vice Presidents, if there be any, shall perform all duties incident to the office of Vice President and have such other powers and perform such other duties as from time to time may be assigned to him by these By-laws, by the Board of Directors or by the President. The Vice President may sign certificates of stock of the Corporation. In the absence or disability of the President, a Vice President may preside at meetings of the stockholders.</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 In addition, the Secretary shall perform all other duties incident to the office of the Secretary and have such other powers and perform such other duties as may be prescribed by the Board of Directors or the President.</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In addition, the Treasurer shall perform all other duties incident to the office of the Treasurer and have such other powers and perform such other duties as may be prescribed by the Board of Directors or the President.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400"/>
          </w:cols>
          <w:pgMar w:left="240" w:top="274" w:right="259" w:bottom="1440" w:gutter="0" w:footer="0" w:header="0"/>
        </w:sectPr>
      </w:pPr>
    </w:p>
    <w:bookmarkStart w:id="60" w:name="page61"/>
    <w:bookmarkEnd w:id="60"/>
    <w:p>
      <w:pPr>
        <w:ind w:right="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 of Certificates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in the name of the Corporation (i) by the Chairman or Vice-Chairman of the Board, if any, or the President or a Vice President and (ii) by the Secretary or an Assistant Secretary or by the Treasurer or an Assistant Treasurer of the Corporation, certifying the number of shares owned by such holder of stock in the Corporation.</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Signatures</w:t>
      </w:r>
      <w:r>
        <w:rPr>
          <w:rFonts w:ascii="Arial" w:cs="Arial" w:eastAsia="Arial" w:hAnsi="Arial"/>
          <w:sz w:val="17"/>
          <w:szCs w:val="17"/>
          <w:color w:val="auto"/>
        </w:rPr>
        <w:t>.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Beneficial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380"/>
          </w:cols>
          <w:pgMar w:left="240" w:top="274" w:right="279" w:bottom="1440" w:gutter="0" w:footer="0" w:header="0"/>
        </w:sectPr>
      </w:pPr>
    </w:p>
    <w:bookmarkStart w:id="61" w:name="page62"/>
    <w:bookmarkEnd w:id="61"/>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NOTICES</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Notice may also be given personally, by telephone or by electronic transmission.</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Dividends</w:t>
      </w:r>
      <w:r>
        <w:rPr>
          <w:rFonts w:ascii="Arial" w:cs="Arial" w:eastAsia="Arial" w:hAnsi="Arial"/>
          <w:sz w:val="16"/>
          <w:szCs w:val="16"/>
          <w:color w:val="auto"/>
        </w:rPr>
        <w:t>. Dividends upon the capital stock of the Corporation, subject to applicable law and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if there shall be one, shall be in such form as the Board of Directors may prescribe.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Section 5. Contracts</w:t>
      </w:r>
      <w:r>
        <w:rPr>
          <w:rFonts w:ascii="Arial" w:cs="Arial" w:eastAsia="Arial" w:hAnsi="Arial"/>
          <w:sz w:val="16"/>
          <w:szCs w:val="16"/>
          <w:color w:val="auto"/>
        </w:rPr>
        <w:t>. Except as otherwise provided in these By-laws or by law or as otherwise directed by the Board of Directors, the President, any Vice President, the Treasurer, the Assistant Treasurer, the Secretary, or the Assistant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or the President or, if designated by the Board of Directors or the President, then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may be signed by the President, the Treasurer, the Assistant Treasurer and/or such other officers or persons as the Board of Directors from time to time may designate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380"/>
          </w:cols>
          <w:pgMar w:left="240" w:top="274" w:right="279" w:bottom="1440" w:gutter="0" w:footer="0" w:header="0"/>
        </w:sectPr>
      </w:pPr>
    </w:p>
    <w:bookmarkStart w:id="62" w:name="page63"/>
    <w:bookmarkEnd w:id="6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so required by the Board of Directors, shall be countersigned by the President, the Treasurer, the Assistant Treasurer and/or such other officers or persons as the Board of Directors from time to time may designate, and in such manner, as shall be determined by the Board of Directors.</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President, the Treasurer, the Assistant Treasurer and/or such other officers or persons as the Board of Directors from time to time may designate.</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Power to Indemnify in Actions, Suits or Proceedings Other than Those by or in the Right of the Corporation</w:t>
      </w:r>
      <w:r>
        <w:rPr>
          <w:rFonts w:ascii="Arial" w:cs="Arial" w:eastAsia="Arial" w:hAnsi="Arial"/>
          <w:sz w:val="16"/>
          <w:szCs w:val="16"/>
          <w:color w:val="auto"/>
        </w:rPr>
        <w:t xml:space="preserve">.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such person did not act in good faith and in a manner which such person reasonably believed to be in or not opposed to the best interests of the Corporation, and, with respect to any criminal action or proceeding, had reasonable cause to believe that his conduct was unlawful.</w:t>
      </w:r>
    </w:p>
    <w:p>
      <w:pPr>
        <w:spacing w:after="0" w:line="1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Power to Indemnify in Actions, Suits or Proceedings by or in the Right of the Corporation</w:t>
      </w:r>
      <w:r>
        <w:rPr>
          <w:rFonts w:ascii="Arial" w:cs="Arial" w:eastAsia="Arial" w:hAnsi="Arial"/>
          <w:sz w:val="16"/>
          <w:szCs w:val="16"/>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Authorization of Indemnification</w:t>
      </w:r>
      <w:r>
        <w:rPr>
          <w:rFonts w:ascii="Arial" w:cs="Arial" w:eastAsia="Arial" w:hAnsi="Arial"/>
          <w:sz w:val="16"/>
          <w:szCs w:val="16"/>
          <w:color w:val="auto"/>
        </w:rPr>
        <w:t>.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400"/>
          </w:cols>
          <w:pgMar w:left="240" w:top="274" w:right="259" w:bottom="1440" w:gutter="0" w:footer="0" w:header="0"/>
        </w:sectPr>
      </w:pPr>
    </w:p>
    <w:bookmarkStart w:id="63" w:name="page64"/>
    <w:bookmarkEnd w:id="6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Indemnification by a Court</w:t>
      </w:r>
      <w:r>
        <w:rPr>
          <w:rFonts w:ascii="Arial" w:cs="Arial" w:eastAsia="Arial" w:hAnsi="Arial"/>
          <w:sz w:val="17"/>
          <w:szCs w:val="17"/>
          <w:color w:val="auto"/>
        </w:rPr>
        <w: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4 of this Article VIII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 Payable in Advance</w:t>
      </w:r>
      <w:r>
        <w:rPr>
          <w:rFonts w:ascii="Arial" w:cs="Arial" w:eastAsia="Arial" w:hAnsi="Arial"/>
          <w:sz w:val="16"/>
          <w:szCs w:val="16"/>
          <w:color w:val="auto"/>
        </w:rPr>
        <w:t>.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 The indemnification and advancement of expenses provided by, or granted pursuant to, this Article VIII shall not be 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a person’s official capacity and as to action in another capacity while holding such office, it being the policy of the Corporation that indemnification of the persons specified in Sections 1 and 2 of this Article VIII shall be made to the fullest extent permitted by law. The provisions of this Article VIII shall not be deemed to preclude the indemnification of any person who is not specified in Section 1 of Section 2 of this Article VIII but whom the Corporation has the power or obligation to indemnify under the provisions of the General Corporation Law of the State of Delaware, or otherwise.</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1420"/>
          </w:cols>
          <w:pgMar w:left="240" w:top="274" w:right="239" w:bottom="1440" w:gutter="0" w:footer="0" w:header="0"/>
        </w:sectPr>
      </w:pPr>
    </w:p>
    <w:bookmarkStart w:id="64" w:name="page65"/>
    <w:bookmarkEnd w:id="6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anything contained in this Article VIII to the contrary, except for proceedings to enforce rights to indemnification (which shall be governed by Section 4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Except as otherwise provided in the Corporation’s Certificate of Incorporation, these By-laws may be altered, amended or repealed, in whole or in part, or new By-laws may be adopted by the stockholders or by the Board of Directors.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400"/>
          </w:cols>
          <w:pgMar w:left="240" w:top="27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2014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29, 2014</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2014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29, 2014</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quarter ended June 30, 2014,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June 30, 2014,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8"/>
    </w:lvl>
  </w:abstractNum>
  <w:abstractNum w:abstractNumId="10">
    <w:nsid w:val="7C3DBD3D"/>
    <w:multiLevelType w:val="hybridMultilevel"/>
    <w:lvl w:ilvl="0">
      <w:lvlJc w:val="left"/>
      <w:lvlText w:val="%1."/>
      <w:numFmt w:val="decimal"/>
      <w:start w:val="9"/>
    </w:lvl>
  </w:abstractNum>
  <w:abstractNum w:abstractNumId="11">
    <w:nsid w:val="737B8DDC"/>
    <w:multiLevelType w:val="hybridMultilevel"/>
    <w:lvl w:ilvl="0">
      <w:lvlJc w:val="left"/>
      <w:lvlText w:val="%1."/>
      <w:numFmt w:val="decimal"/>
      <w:start w:val="10"/>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decimal"/>
      <w:start w:val="13"/>
    </w:lvl>
  </w:abstractNum>
  <w:abstractNum w:abstractNumId="16">
    <w:nsid w:val="614FD4A1"/>
    <w:multiLevelType w:val="hybridMultilevel"/>
    <w:lvl w:ilvl="0">
      <w:lvlJc w:val="left"/>
      <w:lvlText w:val="%1."/>
      <w:numFmt w:val="decimal"/>
      <w:start w:val="14"/>
    </w:lvl>
  </w:abstractNum>
  <w:abstractNum w:abstractNumId="17">
    <w:nsid w:val="419AC241"/>
    <w:multiLevelType w:val="hybridMultilevel"/>
    <w:lvl w:ilvl="0">
      <w:lvlJc w:val="left"/>
      <w:lvlText w:val="%1."/>
      <w:numFmt w:val="decimal"/>
      <w:start w:val="15"/>
    </w:lvl>
  </w:abstractNum>
  <w:abstractNum w:abstractNumId="18">
    <w:nsid w:val="5577F8E1"/>
    <w:multiLevelType w:val="hybridMultilevel"/>
    <w:lvl w:ilvl="0">
      <w:lvlJc w:val="left"/>
      <w:lvlText w:val="%1."/>
      <w:numFmt w:val="decimal"/>
      <w:start w:val="16"/>
    </w:lvl>
  </w:abstractNum>
  <w:abstractNum w:abstractNumId="19">
    <w:nsid w:val="440BADFC"/>
    <w:multiLevelType w:val="hybridMultilevel"/>
    <w:lvl w:ilvl="0">
      <w:lvlJc w:val="left"/>
      <w:lvlText w:val="Ÿ"/>
      <w:numFmt w:val="bullet"/>
      <w:start w:val="1"/>
    </w:lvl>
  </w:abstractNum>
  <w:abstractNum w:abstractNumId="20">
    <w:nsid w:val="5072367"/>
    <w:multiLevelType w:val="hybridMultilevel"/>
    <w:lvl w:ilvl="0">
      <w:lvlJc w:val="left"/>
      <w:lvlText w:val="Ÿ"/>
      <w:numFmt w:val="bullet"/>
      <w:start w:val="1"/>
    </w:lvl>
  </w:abstractNum>
  <w:abstractNum w:abstractNumId="21">
    <w:nsid w:val="3804823E"/>
    <w:multiLevelType w:val="hybridMultilevel"/>
    <w:lvl w:ilvl="0">
      <w:lvlJc w:val="left"/>
      <w:lvlText w:val="Ÿ"/>
      <w:numFmt w:val="bullet"/>
      <w:start w:val="1"/>
    </w:lvl>
  </w:abstractNum>
  <w:abstractNum w:abstractNumId="22">
    <w:nsid w:val="77465F01"/>
    <w:multiLevelType w:val="hybridMultilevel"/>
    <w:lvl w:ilvl="0">
      <w:lvlJc w:val="left"/>
      <w:lvlText w:val="Ÿ"/>
      <w:numFmt w:val="bullet"/>
      <w:start w:val="1"/>
    </w:lvl>
  </w:abstractNum>
  <w:abstractNum w:abstractNumId="23">
    <w:nsid w:val="7724C67E"/>
    <w:multiLevelType w:val="hybridMultilevel"/>
    <w:lvl w:ilvl="0">
      <w:lvlJc w:val="left"/>
      <w:lvlText w:val="Ÿ"/>
      <w:numFmt w:val="bullet"/>
      <w:start w:val="1"/>
    </w:lvl>
  </w:abstractNum>
  <w:abstractNum w:abstractNumId="24">
    <w:nsid w:val="5C482A97"/>
    <w:multiLevelType w:val="hybridMultilevel"/>
    <w:lvl w:ilvl="0">
      <w:lvlJc w:val="left"/>
      <w:lvlText w:val="Ÿ"/>
      <w:numFmt w:val="bullet"/>
      <w:start w:val="1"/>
    </w:lvl>
  </w:abstractNum>
  <w:abstractNum w:abstractNumId="25">
    <w:nsid w:val="2463B9EA"/>
    <w:multiLevelType w:val="hybridMultilevel"/>
    <w:lvl w:ilvl="0">
      <w:lvlJc w:val="left"/>
      <w:lvlText w:val="Ÿ"/>
      <w:numFmt w:val="bullet"/>
      <w:start w:val="1"/>
    </w:lvl>
  </w:abstractNum>
  <w:abstractNum w:abstractNumId="26">
    <w:nsid w:val="5E884ADC"/>
    <w:multiLevelType w:val="hybridMultilevel"/>
    <w:lvl w:ilvl="0">
      <w:lvlJc w:val="left"/>
      <w:lvlText w:val="Ÿ"/>
      <w:numFmt w:val="bullet"/>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2"/>
    </w:lvl>
  </w:abstractNum>
  <w:abstractNum w:abstractNumId="29">
    <w:nsid w:val="580BD78F"/>
    <w:multiLevelType w:val="hybridMultilevel"/>
    <w:lvl w:ilvl="0">
      <w:lvlJc w:val="left"/>
      <w:lvlText w:val="(%1)"/>
      <w:numFmt w:val="lowerRoman"/>
      <w:start w:val="1"/>
    </w:lvl>
  </w:abstractNum>
  <w:abstractNum w:abstractNumId="30">
    <w:nsid w:val="153EA438"/>
    <w:multiLevelType w:val="hybridMultilevel"/>
    <w:lvl w:ilvl="0">
      <w:lvlJc w:val="left"/>
      <w:lvlText w:val="(%1)"/>
      <w:numFmt w:val="lowerRoman"/>
      <w:start w:val="2"/>
    </w:lvl>
  </w:abstractNum>
  <w:abstractNum w:abstractNumId="31">
    <w:nsid w:val="3855585C"/>
    <w:multiLevelType w:val="hybridMultilevel"/>
    <w:lvl w:ilvl="0">
      <w:lvlJc w:val="left"/>
      <w:lvlText w:val="(%1)"/>
      <w:numFmt w:val="lowerRoman"/>
      <w:start w:val="2"/>
    </w:lvl>
  </w:abstractNum>
  <w:abstractNum w:abstractNumId="32">
    <w:nsid w:val="70A64E2A"/>
    <w:multiLevelType w:val="hybridMultilevel"/>
    <w:lvl w:ilvl="0">
      <w:lvlJc w:val="left"/>
      <w:lvlText w:val="Ÿ"/>
      <w:numFmt w:val="bullet"/>
      <w:start w:val="1"/>
    </w:lvl>
  </w:abstractNum>
  <w:abstractNum w:abstractNumId="33">
    <w:nsid w:val="6A2342EC"/>
    <w:multiLevelType w:val="hybridMultilevel"/>
    <w:lvl w:ilvl="0">
      <w:lvlJc w:val="left"/>
      <w:lvlText w:val="Ÿ"/>
      <w:numFmt w:val="bullet"/>
      <w:start w:val="1"/>
    </w:lvl>
  </w:abstractNum>
  <w:abstractNum w:abstractNumId="34">
    <w:nsid w:val="2A487CB0"/>
    <w:multiLevelType w:val="hybridMultilevel"/>
    <w:lvl w:ilvl="0">
      <w:lvlJc w:val="left"/>
      <w:lvlText w:val="Ÿ"/>
      <w:numFmt w:val="bullet"/>
      <w:start w:val="1"/>
    </w:lvl>
  </w:abstractNum>
  <w:abstractNum w:abstractNumId="35">
    <w:nsid w:val="1D4ED43B"/>
    <w:multiLevelType w:val="hybridMultilevel"/>
    <w:lvl w:ilvl="0">
      <w:lvlJc w:val="left"/>
      <w:lvlText w:val="Ÿ"/>
      <w:numFmt w:val="bullet"/>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Ÿ"/>
      <w:numFmt w:val="bullet"/>
      <w:start w:val="1"/>
    </w:lvl>
  </w:abstractNum>
  <w:abstractNum w:abstractNumId="40">
    <w:nsid w:val="4B588F54"/>
    <w:multiLevelType w:val="hybridMultilevel"/>
    <w:lvl w:ilvl="0">
      <w:lvlJc w:val="left"/>
      <w:lvlText w:val="Ÿ"/>
      <w:numFmt w:val="bullet"/>
      <w:start w:val="1"/>
    </w:lvl>
  </w:abstractNum>
  <w:abstractNum w:abstractNumId="41">
    <w:nsid w:val="542289EC"/>
    <w:multiLevelType w:val="hybridMultilevel"/>
    <w:lvl w:ilvl="0">
      <w:lvlJc w:val="left"/>
      <w:lvlText w:val="Ÿ"/>
      <w:numFmt w:val="bullet"/>
      <w:start w:val="1"/>
    </w:lvl>
  </w:abstractNum>
  <w:abstractNum w:abstractNumId="42">
    <w:nsid w:val="6DE91B18"/>
    <w:multiLevelType w:val="hybridMultilevel"/>
    <w:lvl w:ilvl="0">
      <w:lvlJc w:val="left"/>
      <w:lvlText w:val="Ÿ"/>
      <w:numFmt w:val="bullet"/>
      <w:start w:val="1"/>
    </w:lvl>
  </w:abstractNum>
  <w:abstractNum w:abstractNumId="43">
    <w:nsid w:val="38437FDB"/>
    <w:multiLevelType w:val="hybridMultilevel"/>
    <w:lvl w:ilvl="0">
      <w:lvlJc w:val="left"/>
      <w:lvlText w:val="Ÿ"/>
      <w:numFmt w:val="bullet"/>
      <w:start w:val="1"/>
    </w:lvl>
  </w:abstractNum>
  <w:abstractNum w:abstractNumId="44">
    <w:nsid w:val="7644A45C"/>
    <w:multiLevelType w:val="hybridMultilevel"/>
    <w:lvl w:ilvl="0">
      <w:lvlJc w:val="left"/>
      <w:lvlText w:val="Ÿ"/>
      <w:numFmt w:val="bullet"/>
      <w:start w:val="1"/>
    </w:lvl>
  </w:abstractNum>
  <w:abstractNum w:abstractNumId="45">
    <w:nsid w:val="32FFF902"/>
    <w:multiLevelType w:val="hybridMultilevel"/>
    <w:lvl w:ilvl="0">
      <w:lvlJc w:val="left"/>
      <w:lvlText w:val="Ÿ"/>
      <w:numFmt w:val="bullet"/>
      <w:start w:val="1"/>
    </w:lvl>
  </w:abstractNum>
  <w:abstractNum w:abstractNumId="46">
    <w:nsid w:val="684A481A"/>
    <w:multiLevelType w:val="hybridMultilevel"/>
    <w:lvl w:ilvl="0">
      <w:lvlJc w:val="left"/>
      <w:lvlText w:val="(%1)"/>
      <w:numFmt w:val="lowerRoman"/>
      <w:start w:val="1"/>
    </w:lvl>
  </w:abstractNum>
  <w:abstractNum w:abstractNumId="47">
    <w:nsid w:val="579478FE"/>
    <w:multiLevelType w:val="hybridMultilevel"/>
    <w:lvl w:ilvl="0">
      <w:lvlJc w:val="left"/>
      <w:lvlText w:val="%1."/>
      <w:numFmt w:val="lowerRoman"/>
      <w:start w:val="2"/>
    </w:lvl>
    <w:lvl w:ilvl="1">
      <w:lvlJc w:val="left"/>
      <w:lvlText w:val="%2."/>
      <w:numFmt w:val="upperLetter"/>
      <w:start w:val="1"/>
    </w:lvl>
  </w:abstractNum>
  <w:abstractNum w:abstractNumId="48">
    <w:nsid w:val="749ABB43"/>
    <w:multiLevelType w:val="hybridMultilevel"/>
    <w:lvl w:ilvl="0">
      <w:lvlJc w:val="left"/>
      <w:lvlText w:val="%1."/>
      <w:numFmt w:val="lowerRoman"/>
      <w:start w:val="2"/>
    </w:lvl>
    <w:lvl w:ilvl="1">
      <w:lvlJc w:val="left"/>
      <w:lvlText w:val="%2."/>
      <w:numFmt w:val="upp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2019-12-06T01:12:53Z</dcterms:created>
  <dcterms:modified xsi:type="dcterms:W3CDTF">2019-12-06T01:12:53Z</dcterms:modified>
</cp:coreProperties>
</file>