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182880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29,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Waste Management, Inc. (the “Company”) issued a press release this morning, July 29, 2008, announcing its earnings for the quarter ended June 30,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103"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Additionally, as previously announced, 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53383277. A replay of the conference call will be available through 4:00 p.m. Central time on August 12, 2008. The replay of the call may be heard over the Internet, by accessing the Company’s website at www.wm.com, or by telephone by dialing 800-642-1687 and entering conference code 533383277.</w:t>
      </w:r>
    </w:p>
    <w:p>
      <w:pPr>
        <w:spacing w:after="0" w:line="80"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also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dated July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29, 2008</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848"/>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Number</w:t>
            </w:r>
          </w:p>
        </w:tc>
        <w:tc>
          <w:tcPr>
            <w:tcW w:w="600" w:type="dxa"/>
            <w:vAlign w:val="bottom"/>
          </w:tcPr>
          <w:p>
            <w:pPr>
              <w:spacing w:after="0"/>
              <w:rPr>
                <w:sz w:val="14"/>
                <w:szCs w:val="14"/>
                <w:color w:val="auto"/>
              </w:rPr>
            </w:pPr>
          </w:p>
        </w:tc>
        <w:tc>
          <w:tcPr>
            <w:tcW w:w="9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50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Press Release dated July 29, 2008</w:t>
            </w:r>
          </w:p>
        </w:tc>
      </w:tr>
    </w:tbl>
    <w:p>
      <w:pPr>
        <w:sectPr>
          <w:pgSz w:w="11900" w:h="16838" w:orient="portrait"/>
          <w:cols w:equalWidth="0" w:num="1">
            <w:col w:w="11420"/>
          </w:cols>
          <w:pgMar w:left="240" w:top="95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2961640</wp:posOffset>
            </wp:positionH>
            <wp:positionV relativeFrom="page">
              <wp:posOffset>88900</wp:posOffset>
            </wp:positionV>
            <wp:extent cx="1637665" cy="5829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637665" cy="582930"/>
                    </a:xfrm>
                    <a:prstGeom prst="rect">
                      <a:avLst/>
                    </a:prstGeom>
                    <a:noFill/>
                  </pic:spPr>
                </pic:pic>
              </a:graphicData>
            </a:graphic>
          </wp:anchor>
        </w:drawing>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Greg Nikkel — 713.265.1358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#08-14</w:t>
      </w:r>
    </w:p>
    <w:p>
      <w:pPr>
        <w:spacing w:after="0" w:line="333" w:lineRule="exact"/>
        <w:rPr>
          <w:sz w:val="20"/>
          <w:szCs w:val="20"/>
          <w:color w:val="auto"/>
        </w:rPr>
      </w:pPr>
    </w:p>
    <w:p>
      <w:pPr>
        <w:jc w:val="center"/>
        <w:ind w:left="260" w:right="1920"/>
        <w:spacing w:after="0" w:line="375" w:lineRule="auto"/>
        <w:rPr>
          <w:sz w:val="20"/>
          <w:szCs w:val="20"/>
          <w:color w:val="auto"/>
        </w:rPr>
      </w:pPr>
      <w:r>
        <w:rPr>
          <w:rFonts w:ascii="Arial" w:cs="Arial" w:eastAsia="Arial" w:hAnsi="Arial"/>
          <w:sz w:val="18"/>
          <w:szCs w:val="18"/>
          <w:b w:val="1"/>
          <w:bCs w:val="1"/>
          <w:color w:val="auto"/>
        </w:rPr>
        <w:t>Waste Management Announces Second Quarter 2008 Earnings Company Posts Higher Revenue and Increased Cash from Operations Company Expresses Confidence in Achieving the Upper End of Full Year 2008 Earnings Guidance</w:t>
      </w:r>
    </w:p>
    <w:p>
      <w:pPr>
        <w:spacing w:after="0" w:line="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HOUSTON – July 29, 2008 – </w:t>
      </w:r>
      <w:r>
        <w:rPr>
          <w:rFonts w:ascii="Arial" w:cs="Arial" w:eastAsia="Arial" w:hAnsi="Arial"/>
          <w:sz w:val="17"/>
          <w:szCs w:val="17"/>
          <w:color w:val="auto"/>
        </w:rPr>
        <w:t>Waste Management, Inc. (NYSE: WMI) today announced financial results for its second quarter ended June 30, 2008.</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for the second quarter of 2008 was $3.49 billion compared with $3.36 billion in the year ago period, an increase of 3.9%. Net income for the quarter was $318 million, or $0.64 per diluted share, compared with $338 million, or $0.64 per diluted share, in the prior year period.</w:t>
      </w:r>
    </w:p>
    <w:p>
      <w:pPr>
        <w:spacing w:after="0" w:line="5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noted several items that impacted the results in the 2007 and 2008 second quarters. Results in the second quarter of 2008 included a net $0.01 per diluted share benefit from income tax items. Results in the second quarter of 2007 included a combined benefit of $0.08 per diluted share consisting of $0.05 per diluted share from income tax items and $0.03 per diluted share from divestitures of under-performing operations.</w:t>
      </w:r>
    </w:p>
    <w:p>
      <w:pPr>
        <w:spacing w:after="0" w:line="5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Excluding those items, earnings would have been $311 million, or $0.63 per diluted share, in the second quarter of 2008 compared with $296 million, or $0.56 per diluted share, in the second quarter of 2007. This is a 12.5% increase in adjusted earnings per diluted share.</w:t>
      </w:r>
      <w:r>
        <w:rPr>
          <w:rFonts w:ascii="Arial" w:cs="Arial" w:eastAsia="Arial" w:hAnsi="Arial"/>
          <w:sz w:val="15"/>
          <w:szCs w:val="15"/>
          <w:color w:val="auto"/>
        </w:rPr>
        <w:t>(a)</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Income from operations as a percent of revenue was 18.1% in the second quarter of 2008. This is a 20 basis point improvement compared with the second quarter of 2007, as adjusted for the items noted above.</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six months ended June 30, 2008, Waste Management reported operating revenue of $6.76 billion, compared with $6.55 billion for the same period last year. Net income was $559 million, or $1.13 per diluted share, for the six months ended June 30, 2008, compared with $576 million and $1.09 per diluted share, respectively, for the same period in 2007.</w:t>
      </w:r>
    </w:p>
    <w:p>
      <w:pPr>
        <w:spacing w:after="0" w:line="7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are pleased with our second quarter 2008 financial performance, as we again accomplished our primary goals of strong free cash flow, and adjusted earnings and operating margin expansion,” said David P. Steiner, Chief Executive Officer of Waste Management. “Our financial performance continues to reflect the strength of our managers and the success of our pricing and operational excellence programs. The 12.5% growth in 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5" w:name="page6"/>
    <w:bookmarkEnd w:id="5"/>
    <w:p>
      <w:pPr>
        <w:ind w:right="120"/>
        <w:spacing w:after="0" w:line="264" w:lineRule="auto"/>
        <w:rPr>
          <w:sz w:val="20"/>
          <w:szCs w:val="20"/>
          <w:color w:val="auto"/>
        </w:rPr>
      </w:pPr>
      <w:r>
        <w:rPr>
          <w:rFonts w:ascii="Arial" w:cs="Arial" w:eastAsia="Arial" w:hAnsi="Arial"/>
          <w:sz w:val="18"/>
          <w:szCs w:val="18"/>
          <w:color w:val="auto"/>
        </w:rPr>
        <w:t>is an impressive accomplishment in the current business environment. It is even more impressive when you consider that we had a $0.03 per diluted share benefit from Section 45K tax credits in the second quarter of 2007 and no benefit in 2008, as the program has expired. Excluding that benefit, year-over-year earnings per diluted share would have grown nearly 19% in the second quarter of 2008.</w:t>
      </w:r>
      <w:r>
        <w:rPr>
          <w:rFonts w:ascii="Arial" w:cs="Arial" w:eastAsia="Arial" w:hAnsi="Arial"/>
          <w:sz w:val="15"/>
          <w:szCs w:val="15"/>
          <w:color w:val="auto"/>
        </w:rPr>
        <w:t>(a)</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grew revenue by 3.9% during the second quarter of 2008, due mainly to our disciplined approach to pricing, which led to internal revenue growth from yield on base business of 3.1%. We also benefited from higher recycling commodity prices, which contributed 1.7% to revenue growth, and higher fuel surcharge revenue, which contributed an additional 2.2% to revenue growth. Internal revenue growth from yield for municipal solid waste stood at the highest level we have seen in the last two and one-half years. Internal revenue growth from volumes declined 3.8%, mostly in the collection lines of business. At our landfills, we saw positive year-over- year internal revenue growth for the first time since the first quarter of 2007.”</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“Steiner continued, “We once again met our goal of producing strong cash from operations during the second quarter of 2008, generating $570 million in net cash from operations, a 6% year-over-year increase. Capital expenditures were $273 million, a $64 million increase compared with the prior year quarter. This was an expected increase in accordance with our capital plan for the year, which includes increased fleet purchases. We received only $24 million in net proceeds from divestitures this quarter, a $123 million decline from the second quarter of 2007, as we have fewer under-performing operations for sale this year. As a result, we produced $321 million in free cash flow during the second quarter of 2008 compared with $475 million in the prior year quarter. At $683 million of free cash flow for the first six months of 2008, we are on track to meet our free cash flow goal for the year.</w:t>
      </w:r>
    </w:p>
    <w:p>
      <w:pPr>
        <w:spacing w:after="0" w:line="70"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“We overcame the impact of sharply rising diesel fuel prices and a slow economy during the second quarter of 2008. Higher diesel fuel prices caused an approximate $0.015 per diluted share reduction in earnings during the quarter because the increase in our fuel surcharge revenue lagged the sharp rise in diesel fuel prices. This also caused an approximate 80 basis point decline in income from operations as a percent of revenue. Excluding this 80 basis point impact, our income from operations as a percent of revenue increased to 18.9% in the second quarter of this year, a 100 basis point improvement when compared with the as adjusted prior year period. This is in line with our full year expectations.”</w:t>
      </w:r>
      <w:r>
        <w:rPr>
          <w:rFonts w:ascii="Arial" w:cs="Arial" w:eastAsia="Arial" w:hAnsi="Arial"/>
          <w:sz w:val="14"/>
          <w:szCs w:val="14"/>
          <w:color w:val="auto"/>
        </w:rPr>
        <w: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of 2008</w:t>
      </w:r>
    </w:p>
    <w:p>
      <w:pPr>
        <w:spacing w:after="0" w:line="121" w:lineRule="exact"/>
        <w:rPr>
          <w:sz w:val="20"/>
          <w:szCs w:val="20"/>
          <w:color w:val="auto"/>
        </w:rPr>
      </w:pPr>
    </w:p>
    <w:p>
      <w:pPr>
        <w:ind w:left="660" w:right="14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on base business was 3.1%. Including the positive impact of higher recycling commodity prices and higher fuel surcharge revenue, internal revenue growth from yield was 7.0%.</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volumes was a negative 3.8%.</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Acquisitions contributed 1.0% to higher revenue in the quarter, while divestitures caused a 0.8% decline in revenue in the quarter. Foreign currency translation contributed an additional 0.5% to revenue growth.</w:t>
      </w:r>
    </w:p>
    <w:p>
      <w:pPr>
        <w:spacing w:after="0" w:line="75"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were 62.5% of revenue, up from 62.3% of revenue in the same period in 2007. Excluding the impacts of higher diesel fuel prices and higher recycling commodity prices on both operating expenses and revenue, operating expenses were 61.0% of revenue in the second quarter of 2008, or a 130 basis point improvement compared with the prior year period.</w:t>
      </w: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Year-over-year operating expenses were reduced by $10 million due to gains realized on the sale of surplus real estate properties.</w:t>
      </w:r>
    </w:p>
    <w:p>
      <w:pPr>
        <w:spacing w:after="0" w:line="130"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expenses were 9.1% of revenue, down from 9.6% of revenue in the second quarter of 2007, due mainly to lower volumes.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 $10 million decrease in interest expense from terminated interest rate swaps associated with the senior notes that we elected to retire in May 2008.</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$570 million, compared with $537 million in the prior year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were $273 million, compared with $209 million in the prior year quarter.</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Proceeds from divestitures of businesses, net of cash divested, and other sales of assets, were $24 million, compared with $147 million in the prior year quarter.</w:t>
      </w:r>
    </w:p>
    <w:p>
      <w:pPr>
        <w:spacing w:after="0" w:line="75"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was $321 million, compared with $475 million in the prior year quarter due to our expected increase in capital expenditures and lower divestiture proceeds.</w:t>
      </w:r>
      <w:r>
        <w:rPr>
          <w:rFonts w:ascii="Arial" w:cs="Arial" w:eastAsia="Arial" w:hAnsi="Arial"/>
          <w:sz w:val="15"/>
          <w:szCs w:val="15"/>
          <w:color w:val="auto"/>
        </w:rPr>
        <w:t>(a)</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We returned $253 million to shareholders in the form of $133 million in dividend payments and $120 million, or over 3 million shares, in common stock repurchases.</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Steiner concluded, “We had a great first half of 2008, and our business remains healthy as we enter the last half of the year. Consequently, we are confident that we will meet the upper end of the range of our previously announced full-year earnings guidance of $2.19 to $2.23 per diluted share. We also expect to achieve our free cash flow guidance of $1.4 billion. In each case we exclude costs associated with our proposal to acquire Republic Services. We remain committed to making that acquisition in a timely manner, and we believe we can integrate their operations while at the same time continuing to produce strong financial results from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right="220" w:hanging="452"/>
        <w:spacing w:after="0" w:line="29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460" w:right="26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Earnings per diluted share;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Projected earnings per diluted share;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Income from operations as a percent of revenue;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Operating expenses as a percent of revenue.</w:t>
      </w:r>
    </w:p>
    <w:p>
      <w:pPr>
        <w:spacing w:after="0" w:line="117" w:lineRule="exact"/>
        <w:rPr>
          <w:sz w:val="20"/>
          <w:szCs w:val="20"/>
          <w:color w:val="auto"/>
        </w:rPr>
      </w:pPr>
    </w:p>
    <w:p>
      <w:pPr>
        <w:ind w:left="460" w:right="140"/>
        <w:spacing w:after="0" w:line="257" w:lineRule="auto"/>
        <w:rPr>
          <w:sz w:val="20"/>
          <w:szCs w:val="20"/>
          <w:color w:val="auto"/>
        </w:rPr>
      </w:pPr>
      <w:r>
        <w:rPr>
          <w:rFonts w:ascii="Arial" w:cs="Arial" w:eastAsia="Arial" w:hAnsi="Arial"/>
          <w:sz w:val="18"/>
          <w:szCs w:val="18"/>
          <w:color w:val="auto"/>
        </w:rPr>
        <w:t>The Company also discusses free cash flow and projected free cash flow, which are non-GAAP measures,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8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ind w:left="460" w:right="300"/>
        <w:spacing w:after="0" w:line="264" w:lineRule="auto"/>
        <w:rPr>
          <w:sz w:val="20"/>
          <w:szCs w:val="20"/>
          <w:color w:val="auto"/>
        </w:rPr>
      </w:pPr>
      <w:r>
        <w:rPr>
          <w:rFonts w:ascii="Arial" w:cs="Arial" w:eastAsia="Arial" w:hAnsi="Arial"/>
          <w:sz w:val="18"/>
          <w:szCs w:val="18"/>
          <w:color w:val="auto"/>
        </w:rPr>
        <w:t>The quantitative reconciliations of the non-GAAP measures to the most comparable GAAP measures, other than projections of earnings per diluted share, are included in the accompanying schedules. Investors are urged to take into account GAAP measures as well as non-GAAP measures in evaluating the Company.</w:t>
      </w:r>
    </w:p>
    <w:p>
      <w:pPr>
        <w:spacing w:after="0" w:line="73"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The 2008 full year adjusted earnings of $2.19 to $2.23 per diluted share projected by the Company excludes the first quarter impact of a $6 million income tax audit settlement and the second quarter impact of $7 million in income tax audit settlements. GAAP net earnings per diluted share for the remaining two quarters of 2008 may include other items that are not currently determinable, but may be significant, such as asset impairment and unusual items; charges, gains or losses from divestitures; additional resolution of income tax items; or any costs incurred as a result of our proposal to acquire all of the shares of Republic Services, Inc. that may be expensed. The full year 2008 adjusted projected earnings per diluted share reaffirmed today excludes the impact of any such items that may occur. GAAP net earnings per diluted share projected for the full year would require inclusion of the projected impact of these items. Due to the uncertainty of the likelihood, amount and timing of any such items, we do not believe we have the information available to provide projected full year GAAP net earnings per diluted share and the quantitative reconciliation to our current adjusted earnings per diluted share projection.</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53383277.” US/Canada Dial-In Number: (877) 710-6139. Int’l/Local Dial-In Number: (706) 643-7398. For those unable to listen to the live call, a replay will be available 24 hours a day beginning at approximately 1:00 p.m. Eastern time on July 29th through 5:00 p.m. Eastern time on August 12th.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53383277.</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2008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any forward-looking statements, which speak only as of their dates. The following are some of the risks that we face:</w:t>
      </w:r>
    </w:p>
    <w:p>
      <w:pPr>
        <w:spacing w:after="0" w:line="70" w:lineRule="exact"/>
        <w:rPr>
          <w:sz w:val="20"/>
          <w:szCs w:val="20"/>
          <w:color w:val="auto"/>
        </w:rPr>
      </w:pPr>
    </w:p>
    <w:p>
      <w:pPr>
        <w:ind w:left="660" w:right="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jc w:val="both"/>
        <w:ind w:left="440" w:right="640" w:hanging="436"/>
        <w:spacing w:after="0" w:line="312" w:lineRule="auto"/>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we may not be able to successfully execute or continue our operational or other margin improvement plans and programs, including pricing increases; passing on increased costs to our customers; reducing costs due to our operational improvement programs; and divesting under-performing assets and purchasing accretive businesses, any of which could negatively affect our revenue and margins;</w:t>
      </w:r>
    </w:p>
    <w:p>
      <w:pPr>
        <w:spacing w:after="0" w:line="52" w:lineRule="exact"/>
        <w:rPr>
          <w:rFonts w:ascii="Arial" w:cs="Arial" w:eastAsia="Arial" w:hAnsi="Arial"/>
          <w:sz w:val="16"/>
          <w:szCs w:val="16"/>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inflation, higher interest rates and other general and local economic conditions may negatively affect the volumes of waste generated, our financing costs and other expenses;</w:t>
      </w:r>
    </w:p>
    <w:p>
      <w:pPr>
        <w:spacing w:after="0" w:line="75" w:lineRule="exact"/>
        <w:rPr>
          <w:rFonts w:ascii="Arial" w:cs="Arial" w:eastAsia="Arial" w:hAnsi="Arial"/>
          <w:sz w:val="18"/>
          <w:szCs w:val="18"/>
          <w:b w:val="1"/>
          <w:bCs w:val="1"/>
          <w:color w:val="auto"/>
        </w:rPr>
      </w:pPr>
    </w:p>
    <w:p>
      <w:pPr>
        <w:ind w:left="440" w:right="3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requirements may increase our expenses;</w:t>
      </w:r>
    </w:p>
    <w:p>
      <w:pPr>
        <w:spacing w:after="0" w:line="75" w:lineRule="exact"/>
        <w:rPr>
          <w:rFonts w:ascii="Arial" w:cs="Arial" w:eastAsia="Arial" w:hAnsi="Arial"/>
          <w:sz w:val="18"/>
          <w:szCs w:val="18"/>
          <w:b w:val="1"/>
          <w:bCs w:val="1"/>
          <w:color w:val="auto"/>
        </w:rPr>
      </w:pPr>
    </w:p>
    <w:p>
      <w:pPr>
        <w:ind w:left="440" w:right="52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44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440" w:right="28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440" w:right="8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440" w:right="7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fluctuating commodity prices may have negative effects on our operating revenue and expenses;</w:t>
      </w:r>
    </w:p>
    <w:p>
      <w:pPr>
        <w:spacing w:after="0" w:line="130" w:lineRule="exact"/>
        <w:rPr>
          <w:rFonts w:ascii="Arial" w:cs="Arial" w:eastAsia="Arial" w:hAnsi="Arial"/>
          <w:sz w:val="18"/>
          <w:szCs w:val="18"/>
          <w:b w:val="1"/>
          <w:bCs w:val="1"/>
          <w:color w:val="auto"/>
        </w:rPr>
      </w:pPr>
    </w:p>
    <w:p>
      <w:pPr>
        <w:ind w:left="440" w:right="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trends toward recycling, waste reduction at the source and prohibiting the disposal of certain types of wastes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right="24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been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40" w:right="16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right="20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increase our costs, or lead to an impairment charge;</w:t>
      </w:r>
    </w:p>
    <w:p>
      <w:pPr>
        <w:spacing w:after="0" w:line="75"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right="100" w:hanging="436"/>
        <w:spacing w:after="0" w:line="264" w:lineRule="auto"/>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eliminate our dividend or share repurchase program or we may need to raise additional capital if cash flows are less than we expect or capital expenditures or acquisition spending are more than we expect, and we may not be able to obtain any needed capital on acceptable terms.</w:t>
      </w:r>
    </w:p>
    <w:p>
      <w:pPr>
        <w:spacing w:after="0" w:line="73" w:lineRule="exact"/>
        <w:rPr>
          <w:sz w:val="20"/>
          <w:szCs w:val="20"/>
          <w:color w:val="auto"/>
        </w:rPr>
      </w:pPr>
    </w:p>
    <w:p>
      <w:pPr>
        <w:ind w:left="20" w:right="6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2007.</w:t>
      </w: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407035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93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3,489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0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358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(Income) expense from divestitures, asset impairments and unusual items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632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439"/>
        </w:trPr>
        <w:tc>
          <w:tcPr>
            <w:tcW w:w="55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0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earnings (losses) of unconsolidated entities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Minority interest</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318</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3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0.65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490.7</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3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494.6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
        </w:trPr>
        <w:tc>
          <w:tcPr>
            <w:tcW w:w="55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3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0.27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vMerge w:val="restart"/>
          </w:tcPr>
          <w:p>
            <w:pPr>
              <w:jc w:val="right"/>
              <w:ind w:right="267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490.7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0.65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0.64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jc w:val="right"/>
              <w:ind w:right="3070"/>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6,755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6,546</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4,273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726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in net earnings (losses) of unconsolidated entities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1.13</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493.3</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496.6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0.54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5600"/>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559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493.3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warrants and other contingently issuable shares</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1.13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jc w:val="right"/>
              <w:ind w:right="3070"/>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w:t>
            </w: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1,904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5,444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20,050</w:t>
            </w: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2,145</w:t>
            </w:r>
          </w:p>
        </w:tc>
        <w:tc>
          <w:tcPr>
            <w:tcW w:w="5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14,026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Minority interest in subsidiaries and variable interest entities</w:t>
            </w: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3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20,050</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720" w:type="dxa"/>
            <w:vAlign w:val="bottom"/>
            <w:vMerge w:val="restart"/>
          </w:tcPr>
          <w:p>
            <w:pPr>
              <w:jc w:val="right"/>
              <w:ind w:right="28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559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 and warrants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8"/>
                <w:szCs w:val="18"/>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4"/>
                <w:szCs w:val="2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jc w:val="right"/>
              <w:ind w:right="307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5"/>
              </w:rPr>
              <w:t>Quarters Ended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gridSpan w:val="5"/>
          </w:tcPr>
          <w:p>
            <w:pPr>
              <w:jc w:val="right"/>
              <w:ind w:right="480"/>
              <w:spacing w:after="0" w:line="119" w:lineRule="exact"/>
              <w:rPr>
                <w:sz w:val="20"/>
                <w:szCs w:val="20"/>
                <w:color w:val="auto"/>
              </w:rPr>
            </w:pPr>
            <w:r>
              <w:rPr>
                <w:rFonts w:ascii="Arial" w:cs="Arial" w:eastAsia="Arial" w:hAnsi="Arial"/>
                <w:sz w:val="13"/>
                <w:szCs w:val="13"/>
                <w:b w:val="1"/>
                <w:bCs w:val="1"/>
                <w:color w:val="auto"/>
              </w:rPr>
              <w:t>June 30,</w:t>
            </w:r>
          </w:p>
        </w:tc>
        <w:tc>
          <w:tcPr>
            <w:tcW w:w="340" w:type="dxa"/>
            <w:vAlign w:val="bottom"/>
          </w:tcPr>
          <w:p>
            <w:pPr>
              <w:spacing w:after="0"/>
              <w:rPr>
                <w:sz w:val="10"/>
                <w:szCs w:val="10"/>
                <w:color w:val="auto"/>
              </w:rPr>
            </w:pPr>
          </w:p>
        </w:tc>
        <w:tc>
          <w:tcPr>
            <w:tcW w:w="1120" w:type="dxa"/>
            <w:vAlign w:val="bottom"/>
            <w:gridSpan w:val="5"/>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34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jc w:val="center"/>
              <w:ind w:left="25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Collection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2,237</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2,138</w:t>
            </w:r>
          </w:p>
        </w:tc>
        <w:tc>
          <w:tcPr>
            <w:tcW w:w="340" w:type="dxa"/>
            <w:vAlign w:val="bottom"/>
          </w:tcPr>
          <w:p>
            <w:pPr>
              <w:spacing w:after="0"/>
              <w:rPr>
                <w:sz w:val="24"/>
                <w:szCs w:val="24"/>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Landfill</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Transfer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Wheelabrator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Recycling</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3,266</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growth</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200"/>
              <w:spacing w:after="0" w:line="201" w:lineRule="exact"/>
              <w:rPr>
                <w:sz w:val="20"/>
                <w:szCs w:val="20"/>
                <w:color w:val="auto"/>
              </w:rPr>
            </w:pPr>
            <w:r>
              <w:rPr>
                <w:rFonts w:ascii="Arial" w:cs="Arial" w:eastAsia="Arial" w:hAnsi="Arial"/>
                <w:sz w:val="18"/>
                <w:szCs w:val="18"/>
                <w:color w:val="auto"/>
                <w:w w:val="90"/>
              </w:rPr>
              <w:t>Less: Yield changes due to recycling commodities, electricity (IPP), fuel surcharge and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400"/>
              <w:spacing w:after="0"/>
              <w:rPr>
                <w:sz w:val="20"/>
                <w:szCs w:val="20"/>
                <w:color w:val="auto"/>
              </w:rPr>
            </w:pPr>
            <w:r>
              <w:rPr>
                <w:rFonts w:ascii="Arial" w:cs="Arial" w:eastAsia="Arial" w:hAnsi="Arial"/>
                <w:sz w:val="18"/>
                <w:szCs w:val="18"/>
                <w:color w:val="auto"/>
              </w:rPr>
              <w:t>mandated fees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internal growth</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-0.7%</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Acquisition Summary (b)</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annualized revenue acquired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Total consideration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acquisitions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WMRA Segment Supplemental Data (c)</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revenues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24"/>
                <w:szCs w:val="24"/>
                <w:color w:val="auto"/>
              </w:rPr>
            </w:pPr>
          </w:p>
        </w:tc>
        <w:tc>
          <w:tcPr>
            <w:tcW w:w="46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9"/>
              </w:rPr>
              <w:t>Quarters Ended June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537</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1,131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(486)</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8"/>
              </w:rPr>
              <w:t>Proceeds from divestitures of businesses (net of cash divested) and other sales of</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assets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provided is after the elimination of intercompany revenues and related expenses.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210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8,393</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8,719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14,115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14,330</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67.6%</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40" w:type="dxa"/>
            <w:vAlign w:val="bottom"/>
          </w:tcPr>
          <w:p>
            <w:pPr>
              <w:spacing w:after="0"/>
              <w:rPr>
                <w:sz w:val="24"/>
                <w:szCs w:val="2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279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 (b)</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13.5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quarters ended June 30, 2008, March 31, 2008, and June 30, 2007 include short-term investments available for use of $0 million, $0 million, and $124 million, respectively.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year amounts have been revised to exclude amounts from closed landfills not included in our Operating groups.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June 30, 2008, as compared with the quarter ended March 31, 2008 reflects a $20.8 million increase in amortization expense, of which $17.1 million was primarily due to the seasonal increase in landfill volumes. Additionally, there was a sequential rate increase primarily due to a reduction in the first quarter of 2008 resulting from changes in our estimates of capping costs.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Quarter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7"/>
          </w:tcPr>
          <w:p>
            <w:pPr>
              <w:spacing w:after="0"/>
              <w:rPr>
                <w:sz w:val="20"/>
                <w:szCs w:val="20"/>
                <w:color w:val="auto"/>
              </w:rPr>
            </w:pPr>
            <w:r>
              <w:rPr>
                <w:rFonts w:ascii="Arial" w:cs="Arial" w:eastAsia="Arial" w:hAnsi="Arial"/>
                <w:sz w:val="14"/>
                <w:szCs w:val="14"/>
                <w:b w:val="1"/>
                <w:bCs w:val="1"/>
                <w:color w:val="auto"/>
              </w:rPr>
              <w:t>Quarter Ended</w:t>
            </w:r>
          </w:p>
        </w:tc>
      </w:t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June 30, 2008</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June 30, 2007</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5"/>
          </w:tcPr>
          <w:p>
            <w:pPr>
              <w:jc w:val="center"/>
              <w:ind w:right="620"/>
              <w:spacing w:after="0" w:line="119" w:lineRule="exact"/>
              <w:rPr>
                <w:sz w:val="20"/>
                <w:szCs w:val="20"/>
                <w:color w:val="auto"/>
              </w:rPr>
            </w:pPr>
            <w:r>
              <w:rPr>
                <w:rFonts w:ascii="Arial" w:cs="Arial" w:eastAsia="Arial" w:hAnsi="Arial"/>
                <w:sz w:val="13"/>
                <w:szCs w:val="13"/>
                <w:b w:val="1"/>
                <w:bCs w:val="1"/>
                <w:color w:val="auto"/>
              </w:rPr>
              <w:t>After-tax</w:t>
            </w:r>
          </w:p>
        </w:tc>
        <w:tc>
          <w:tcPr>
            <w:tcW w:w="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reported</w:t>
            </w:r>
          </w:p>
        </w:tc>
        <w:tc>
          <w:tcPr>
            <w:tcW w:w="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318</w:t>
            </w:r>
          </w:p>
        </w:tc>
        <w:tc>
          <w:tcPr>
            <w:tcW w:w="520" w:type="dxa"/>
            <w:vAlign w:val="bottom"/>
            <w:gridSpan w:val="2"/>
          </w:tcPr>
          <w:p>
            <w:pPr>
              <w:jc w:val="right"/>
              <w:ind w:right="49"/>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0.64</w:t>
            </w:r>
          </w:p>
        </w:tc>
        <w:tc>
          <w:tcPr>
            <w:tcW w:w="360" w:type="dxa"/>
            <w:vAlign w:val="bottom"/>
          </w:tcPr>
          <w:p>
            <w:pPr>
              <w:spacing w:after="0"/>
              <w:rPr>
                <w:sz w:val="24"/>
                <w:szCs w:val="24"/>
                <w:color w:val="auto"/>
              </w:rPr>
            </w:pPr>
          </w:p>
        </w:tc>
        <w:tc>
          <w:tcPr>
            <w:tcW w:w="580" w:type="dxa"/>
            <w:vAlign w:val="bottom"/>
            <w:gridSpan w:val="2"/>
          </w:tcPr>
          <w:p>
            <w:pPr>
              <w:jc w:val="right"/>
              <w:ind w:right="222"/>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86"/>
              </w:rPr>
              <w:t>338</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0.64</w:t>
            </w:r>
          </w:p>
        </w:tc>
      </w:tr>
      <w:tr>
        <w:trPr>
          <w:trHeight w:val="216"/>
        </w:trPr>
        <w:tc>
          <w:tcPr>
            <w:tcW w:w="6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Net income and Diluted EPS: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Income tax audit settlements and adjustments to deferred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(Income) expense from divestitures, asset impairments and unusual items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(18)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r>
      <w:tr>
        <w:trPr>
          <w:trHeight w:val="228"/>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Net income and Diluted EPS, as adjusted (a)</w:t>
            </w:r>
          </w:p>
        </w:tc>
        <w:tc>
          <w:tcPr>
            <w:tcW w:w="4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ind w:right="222"/>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296</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19"/>
                <w:szCs w:val="19"/>
                <w:color w:val="auto"/>
              </w:rPr>
            </w:pPr>
          </w:p>
        </w:tc>
      </w:tr>
      <w:tr>
        <w:trPr>
          <w:trHeight w:val="211"/>
        </w:trPr>
        <w:tc>
          <w:tcPr>
            <w:tcW w:w="6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Additional adjustment: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ind w:left="420"/>
              <w:spacing w:after="0"/>
              <w:rPr>
                <w:sz w:val="20"/>
                <w:szCs w:val="20"/>
                <w:color w:val="auto"/>
              </w:rPr>
            </w:pPr>
            <w:r>
              <w:rPr>
                <w:rFonts w:ascii="Arial" w:cs="Arial" w:eastAsia="Arial" w:hAnsi="Arial"/>
                <w:sz w:val="18"/>
                <w:szCs w:val="18"/>
                <w:color w:val="auto"/>
              </w:rPr>
              <w:t>Section 45K tax credit impact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09"/>
        </w:trPr>
        <w:tc>
          <w:tcPr>
            <w:tcW w:w="6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and Diluted EPS, as further adjusted (b)</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311</w:t>
            </w:r>
          </w:p>
        </w:tc>
        <w:tc>
          <w:tcPr>
            <w:tcW w:w="52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0.63</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6"/>
              </w:rPr>
              <w:t>280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0.53</w:t>
            </w:r>
          </w:p>
        </w:tc>
      </w:tr>
      <w:tr>
        <w:trPr>
          <w:trHeight w:val="20"/>
        </w:trPr>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6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ind w:left="300"/>
              <w:spacing w:after="0"/>
              <w:rPr>
                <w:sz w:val="20"/>
                <w:szCs w:val="20"/>
                <w:color w:val="auto"/>
              </w:rPr>
            </w:pPr>
            <w:r>
              <w:rPr>
                <w:rFonts w:ascii="Arial" w:cs="Arial" w:eastAsia="Arial" w:hAnsi="Arial"/>
                <w:sz w:val="14"/>
                <w:szCs w:val="14"/>
                <w:b w:val="1"/>
                <w:bCs w:val="1"/>
                <w:color w:val="auto"/>
                <w:w w:val="93"/>
              </w:rPr>
              <w:t>Quarters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w w:val="96"/>
              </w:rPr>
              <w:t>2008</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As reported: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51"/>
              <w:spacing w:after="0"/>
              <w:rPr>
                <w:sz w:val="20"/>
                <w:szCs w:val="20"/>
                <w:color w:val="auto"/>
              </w:rPr>
            </w:pPr>
            <w:r>
              <w:rPr>
                <w:rFonts w:ascii="Arial" w:cs="Arial" w:eastAsia="Arial" w:hAnsi="Arial"/>
                <w:sz w:val="18"/>
                <w:szCs w:val="18"/>
                <w:color w:val="auto"/>
                <w:w w:val="87"/>
              </w:rPr>
              <w:t>$3,358</w:t>
            </w: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2"/>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r>
      <w:tr>
        <w:trPr>
          <w:trHeight w:val="202"/>
        </w:trPr>
        <w:tc>
          <w:tcPr>
            <w:tcW w:w="6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18.9%</w:t>
            </w: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Adjustment to Income from Operations: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(Income) expense from divestitures, asset impairments and unusual items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As adjusted: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$3,489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51"/>
              <w:spacing w:after="0"/>
              <w:rPr>
                <w:sz w:val="20"/>
                <w:szCs w:val="20"/>
                <w:color w:val="auto"/>
              </w:rPr>
            </w:pPr>
            <w:r>
              <w:rPr>
                <w:rFonts w:ascii="Arial" w:cs="Arial" w:eastAsia="Arial" w:hAnsi="Arial"/>
                <w:sz w:val="18"/>
                <w:szCs w:val="18"/>
                <w:color w:val="auto"/>
                <w:w w:val="87"/>
              </w:rPr>
              <w:t>$3,358</w:t>
            </w: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2"/>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5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r>
      <w:tr>
        <w:trPr>
          <w:trHeight w:val="202"/>
        </w:trPr>
        <w:tc>
          <w:tcPr>
            <w:tcW w:w="6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Adjusted Income from Operations as a percent of Revenues (c)</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17.9%</w:t>
            </w: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rPr>
              <w:t>Additional Adjustment for Fuel Impact: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tcPr>
          <w:p>
            <w:pPr>
              <w:ind w:left="42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2"/>
        </w:trPr>
        <w:tc>
          <w:tcPr>
            <w:tcW w:w="6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further adjusted: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22"/>
              <w:spacing w:after="0"/>
              <w:rPr>
                <w:sz w:val="20"/>
                <w:szCs w:val="20"/>
                <w:color w:val="auto"/>
              </w:rPr>
            </w:pPr>
            <w:r>
              <w:rPr>
                <w:rFonts w:ascii="Arial" w:cs="Arial" w:eastAsia="Arial" w:hAnsi="Arial"/>
                <w:sz w:val="18"/>
                <w:szCs w:val="18"/>
                <w:color w:val="auto"/>
              </w:rPr>
              <w:t>$3,408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3"/>
          </w:tcPr>
          <w:p>
            <w:pPr>
              <w:jc w:val="right"/>
              <w:ind w:right="151"/>
              <w:spacing w:after="0"/>
              <w:rPr>
                <w:sz w:val="20"/>
                <w:szCs w:val="20"/>
                <w:color w:val="auto"/>
              </w:rPr>
            </w:pPr>
            <w:r>
              <w:rPr>
                <w:rFonts w:ascii="Arial" w:cs="Arial" w:eastAsia="Arial" w:hAnsi="Arial"/>
                <w:sz w:val="18"/>
                <w:szCs w:val="18"/>
                <w:color w:val="auto"/>
                <w:w w:val="87"/>
              </w:rPr>
              <w:t>$3,358</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432"/>
        </w:trPr>
        <w:tc>
          <w:tcPr>
            <w:tcW w:w="6120" w:type="dxa"/>
            <w:vAlign w:val="bottom"/>
          </w:tcPr>
          <w:p>
            <w:pPr>
              <w:ind w:left="220"/>
              <w:spacing w:after="0"/>
              <w:rPr>
                <w:sz w:val="20"/>
                <w:szCs w:val="20"/>
                <w:color w:val="auto"/>
              </w:rPr>
            </w:pPr>
            <w:r>
              <w:rPr>
                <w:rFonts w:ascii="Arial" w:cs="Arial" w:eastAsia="Arial" w:hAnsi="Arial"/>
                <w:sz w:val="18"/>
                <w:szCs w:val="18"/>
                <w:b w:val="1"/>
                <w:bCs w:val="1"/>
                <w:color w:val="auto"/>
                <w:w w:val="96"/>
              </w:rPr>
              <w:t>Further Adjusted Income from Operations as a percent of Revenues (d)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7"/>
              </w:rPr>
              <w:t>17.9%</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Diluted EPS, as adjusted, of 12.5%.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Diluted EPS, as further adjusted, of 18.9%.</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of 20 basis points.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for fuel impact, of 100 basis points.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Full Year 2008 Free Cash Flow Reconciliation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 (a)</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w:t>
            </w: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 (b)</w:t>
            </w: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0" w:type="dxa"/>
            <w:vAlign w:val="bottom"/>
          </w:tcPr>
          <w:p>
            <w:pPr>
              <w:spacing w:after="0"/>
              <w:rPr>
                <w:sz w:val="14"/>
                <w:szCs w:val="14"/>
                <w:color w:val="auto"/>
              </w:rPr>
            </w:pP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r>
      <w:tr>
        <w:trPr>
          <w:trHeight w:val="149"/>
        </w:trPr>
        <w:tc>
          <w:tcPr>
            <w:tcW w:w="102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10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11"/>
              <w:spacing w:after="0"/>
              <w:rPr>
                <w:sz w:val="20"/>
                <w:szCs w:val="20"/>
                <w:color w:val="auto"/>
              </w:rPr>
            </w:pPr>
            <w:r>
              <w:rPr>
                <w:rFonts w:ascii="Arial" w:cs="Arial" w:eastAsia="Arial" w:hAnsi="Arial"/>
                <w:sz w:val="14"/>
                <w:szCs w:val="14"/>
                <w:b w:val="1"/>
                <w:bCs w:val="1"/>
                <w:color w:val="auto"/>
                <w:w w:val="96"/>
              </w:rPr>
              <w:t>2008</w:t>
            </w:r>
          </w:p>
        </w:tc>
      </w:tr>
      <w:tr>
        <w:trPr>
          <w:trHeight w:val="210"/>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3"/>
              </w:rPr>
              <w:t>Impacts of Rising Diesel Fuel Prices and Higher Recycling Commodity Prices on Operating Expenses as a percent of Revenues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432"/>
        </w:trPr>
        <w:tc>
          <w:tcPr>
            <w:tcW w:w="10200" w:type="dxa"/>
            <w:vAlign w:val="bottom"/>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Revenues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10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As reported:</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020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1"/>
              <w:spacing w:after="0"/>
              <w:rPr>
                <w:sz w:val="20"/>
                <w:szCs w:val="20"/>
                <w:color w:val="auto"/>
              </w:rPr>
            </w:pPr>
            <w:r>
              <w:rPr>
                <w:rFonts w:ascii="Arial" w:cs="Arial" w:eastAsia="Arial" w:hAnsi="Arial"/>
                <w:sz w:val="18"/>
                <w:szCs w:val="18"/>
                <w:color w:val="auto"/>
                <w:w w:val="88"/>
              </w:rPr>
              <w:t>3,489</w:t>
            </w:r>
          </w:p>
        </w:tc>
      </w:tr>
      <w:tr>
        <w:trPr>
          <w:trHeight w:val="216"/>
        </w:trPr>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8"/>
              </w:rPr>
              <w:t>2,181</w:t>
            </w:r>
          </w:p>
        </w:tc>
      </w:tr>
      <w:tr>
        <w:trPr>
          <w:trHeight w:val="432"/>
        </w:trPr>
        <w:tc>
          <w:tcPr>
            <w:tcW w:w="10200" w:type="dxa"/>
            <w:vAlign w:val="bottom"/>
          </w:tcPr>
          <w:p>
            <w:pPr>
              <w:ind w:left="220"/>
              <w:spacing w:after="0"/>
              <w:rPr>
                <w:sz w:val="20"/>
                <w:szCs w:val="20"/>
                <w:color w:val="auto"/>
              </w:rPr>
            </w:pPr>
            <w:r>
              <w:rPr>
                <w:rFonts w:ascii="Arial" w:cs="Arial" w:eastAsia="Arial" w:hAnsi="Arial"/>
                <w:sz w:val="18"/>
                <w:szCs w:val="18"/>
                <w:b w:val="1"/>
                <w:bCs w:val="1"/>
                <w:color w:val="auto"/>
              </w:rPr>
              <w:t>Operating Expenses as a percent of Revenues</w:t>
            </w:r>
          </w:p>
        </w:tc>
        <w:tc>
          <w:tcPr>
            <w:tcW w:w="40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8"/>
                <w:szCs w:val="18"/>
                <w:b w:val="1"/>
                <w:bCs w:val="1"/>
                <w:color w:val="auto"/>
              </w:rPr>
              <w:t>62.5%</w:t>
            </w:r>
          </w:p>
        </w:tc>
      </w:tr>
      <w:tr>
        <w:trPr>
          <w:trHeight w:val="216"/>
        </w:trPr>
        <w:tc>
          <w:tcPr>
            <w:tcW w:w="10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0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Adjustments to Operating Revenues: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0200" w:type="dxa"/>
            <w:vAlign w:val="bottom"/>
          </w:tcPr>
          <w:p>
            <w:pPr>
              <w:ind w:left="420"/>
              <w:spacing w:after="0"/>
              <w:rPr>
                <w:sz w:val="20"/>
                <w:szCs w:val="20"/>
                <w:color w:val="auto"/>
              </w:rPr>
            </w:pPr>
            <w:r>
              <w:rPr>
                <w:rFonts w:ascii="Arial" w:cs="Arial" w:eastAsia="Arial" w:hAnsi="Arial"/>
                <w:sz w:val="18"/>
                <w:szCs w:val="18"/>
                <w:color w:val="auto"/>
              </w:rPr>
              <w:t>Fuel surcharges (c)</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(81)</w:t>
            </w:r>
          </w:p>
        </w:tc>
      </w:tr>
      <w:tr>
        <w:trPr>
          <w:trHeight w:val="216"/>
        </w:trPr>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Recycling commodity prices (d)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(56)</w:t>
            </w:r>
          </w:p>
        </w:tc>
      </w:tr>
      <w:tr>
        <w:trPr>
          <w:trHeight w:val="432"/>
        </w:trPr>
        <w:tc>
          <w:tcPr>
            <w:tcW w:w="10200" w:type="dxa"/>
            <w:vAlign w:val="bottom"/>
          </w:tcPr>
          <w:p>
            <w:pPr>
              <w:ind w:left="220"/>
              <w:spacing w:after="0"/>
              <w:rPr>
                <w:sz w:val="20"/>
                <w:szCs w:val="20"/>
                <w:color w:val="auto"/>
              </w:rPr>
            </w:pPr>
            <w:r>
              <w:rPr>
                <w:rFonts w:ascii="Arial" w:cs="Arial" w:eastAsia="Arial" w:hAnsi="Arial"/>
                <w:sz w:val="18"/>
                <w:szCs w:val="18"/>
                <w:b w:val="1"/>
                <w:bCs w:val="1"/>
                <w:color w:val="auto"/>
              </w:rPr>
              <w:t>Adjustments to Operating Expenses: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Fuel (e)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(77)</w:t>
            </w:r>
          </w:p>
        </w:tc>
      </w:tr>
      <w:tr>
        <w:trPr>
          <w:trHeight w:val="216"/>
        </w:trPr>
        <w:tc>
          <w:tcPr>
            <w:tcW w:w="10200" w:type="dxa"/>
            <w:vAlign w:val="bottom"/>
          </w:tcPr>
          <w:p>
            <w:pPr>
              <w:ind w:left="420"/>
              <w:spacing w:after="0"/>
              <w:rPr>
                <w:sz w:val="20"/>
                <w:szCs w:val="20"/>
                <w:color w:val="auto"/>
              </w:rPr>
            </w:pPr>
            <w:r>
              <w:rPr>
                <w:rFonts w:ascii="Arial" w:cs="Arial" w:eastAsia="Arial" w:hAnsi="Arial"/>
                <w:sz w:val="18"/>
                <w:szCs w:val="18"/>
                <w:color w:val="auto"/>
              </w:rPr>
              <w:t>Subcontractor costs — fuel pass-through (f)</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1"/>
              <w:spacing w:after="0"/>
              <w:rPr>
                <w:sz w:val="20"/>
                <w:szCs w:val="20"/>
                <w:color w:val="auto"/>
              </w:rPr>
            </w:pPr>
            <w:r>
              <w:rPr>
                <w:rFonts w:ascii="Arial" w:cs="Arial" w:eastAsia="Arial" w:hAnsi="Arial"/>
                <w:sz w:val="18"/>
                <w:szCs w:val="18"/>
                <w:color w:val="auto"/>
              </w:rPr>
              <w:t>(16)</w:t>
            </w:r>
          </w:p>
        </w:tc>
      </w:tr>
      <w:tr>
        <w:trPr>
          <w:trHeight w:val="216"/>
        </w:trPr>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 due to recycling commodity prices (g)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(42)</w:t>
            </w:r>
          </w:p>
        </w:tc>
      </w:tr>
      <w:tr>
        <w:trPr>
          <w:trHeight w:val="432"/>
        </w:trPr>
        <w:tc>
          <w:tcPr>
            <w:tcW w:w="10200" w:type="dxa"/>
            <w:vAlign w:val="bottom"/>
          </w:tcPr>
          <w:p>
            <w:pPr>
              <w:ind w:left="220"/>
              <w:spacing w:after="0"/>
              <w:rPr>
                <w:sz w:val="20"/>
                <w:szCs w:val="20"/>
                <w:color w:val="auto"/>
              </w:rPr>
            </w:pPr>
            <w:r>
              <w:rPr>
                <w:rFonts w:ascii="Arial" w:cs="Arial" w:eastAsia="Arial" w:hAnsi="Arial"/>
                <w:sz w:val="18"/>
                <w:szCs w:val="18"/>
                <w:b w:val="1"/>
                <w:bCs w:val="1"/>
                <w:color w:val="auto"/>
              </w:rPr>
              <w:t>As adjusted:</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10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88"/>
              </w:rPr>
              <w:t>3,352</w:t>
            </w:r>
          </w:p>
        </w:tc>
      </w:tr>
      <w:tr>
        <w:trPr>
          <w:trHeight w:val="230"/>
        </w:trPr>
        <w:tc>
          <w:tcPr>
            <w:tcW w:w="1020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1"/>
              <w:spacing w:after="0"/>
              <w:rPr>
                <w:sz w:val="20"/>
                <w:szCs w:val="20"/>
                <w:color w:val="auto"/>
              </w:rPr>
            </w:pPr>
            <w:r>
              <w:rPr>
                <w:rFonts w:ascii="Arial" w:cs="Arial" w:eastAsia="Arial" w:hAnsi="Arial"/>
                <w:sz w:val="18"/>
                <w:szCs w:val="18"/>
                <w:color w:val="auto"/>
                <w:w w:val="88"/>
              </w:rPr>
              <w:t>2,046</w:t>
            </w:r>
          </w:p>
        </w:tc>
      </w:tr>
      <w:tr>
        <w:trPr>
          <w:trHeight w:val="202"/>
        </w:trPr>
        <w:tc>
          <w:tcPr>
            <w:tcW w:w="10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02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Adjusted Operating Expenses as a percent of Revenues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61.0%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year 2008 net cash provided by operating activities exclude costs associated with our proposal to acquire Republic Services.</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year 2008 proceeds from divestitures of businesses exclude any divestiture proceeds that may be received in connection with our proposal to acquire Republic Services.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Increase in fuel surcharge revenue due to higher diesel fuel prices. Excludes changes in fuel surcharge revenue caused by volume fluctuations.</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 in revenues due to increase in recycling commodity prices. Excludes changes in recycling commodity revenues caused by volume fluctuations.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fuel costs due to higher diesel fuel prices. Excludes changes in fuel costs caused by volume fluctuations.</w:t>
      </w:r>
    </w:p>
    <w:p>
      <w:pPr>
        <w:spacing w:after="0" w:line="76" w:lineRule="exact"/>
        <w:rPr>
          <w:rFonts w:ascii="Arial" w:cs="Arial" w:eastAsia="Arial" w:hAnsi="Arial"/>
          <w:sz w:val="18"/>
          <w:szCs w:val="18"/>
          <w:color w:val="auto"/>
        </w:rPr>
      </w:pPr>
    </w:p>
    <w:p>
      <w:pPr>
        <w:ind w:left="460" w:right="58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Estimated impact of higher diesel fuel prices on fuel costs passed-through by subcontractors. Excludes changes in subcontractor costs caused by volume fluctuations.</w:t>
      </w:r>
    </w:p>
    <w:p>
      <w:pPr>
        <w:spacing w:after="0" w:line="21"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cost of goods sold due to increase in recycling commodity prices. Excludes changes in cost of goods sold caused by recycling commodity volume fluctuations.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2019-12-20T04:48:54Z</dcterms:created>
  <dcterms:modified xsi:type="dcterms:W3CDTF">2019-12-20T04:48:54Z</dcterms:modified>
</cp:coreProperties>
</file>