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15,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73-1309529</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 2014 STOCK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gridSpan w:val="2"/>
          </w:tcPr>
          <w:p>
            <w:pPr>
              <w:spacing w:after="0"/>
              <w:rPr>
                <w:sz w:val="20"/>
                <w:szCs w:val="20"/>
                <w:color w:val="auto"/>
              </w:rPr>
            </w:pPr>
            <w:r>
              <w:rPr>
                <w:rFonts w:ascii="Arial" w:cs="Arial" w:eastAsia="Arial" w:hAnsi="Arial"/>
                <w:sz w:val="18"/>
                <w:szCs w:val="18"/>
                <w:color w:val="auto"/>
                <w:w w:val="99"/>
              </w:rPr>
              <w:t>Large accelerated filer</w:t>
            </w:r>
          </w:p>
        </w:tc>
        <w:tc>
          <w:tcPr>
            <w:tcW w:w="17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2"/>
          </w:tcPr>
          <w:p>
            <w:pPr>
              <w:ind w:left="600"/>
              <w:spacing w:after="0"/>
              <w:rPr>
                <w:sz w:val="20"/>
                <w:szCs w:val="20"/>
                <w:color w:val="auto"/>
              </w:rPr>
            </w:pPr>
            <w:r>
              <w:rPr>
                <w:rFonts w:ascii="Arial" w:cs="Arial" w:eastAsia="Arial" w:hAnsi="Arial"/>
                <w:sz w:val="18"/>
                <w:szCs w:val="18"/>
                <w:color w:val="auto"/>
                <w:w w:val="94"/>
              </w:rPr>
              <w:t>Accelerated filer</w:t>
            </w:r>
          </w:p>
        </w:tc>
        <w:tc>
          <w:tcPr>
            <w:tcW w:w="1160" w:type="dxa"/>
            <w:vAlign w:val="bottom"/>
          </w:tcPr>
          <w:p>
            <w:pPr>
              <w:spacing w:after="0"/>
              <w:rPr>
                <w:sz w:val="24"/>
                <w:szCs w:val="24"/>
                <w:color w:val="auto"/>
              </w:rPr>
            </w:pP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80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00" w:type="dxa"/>
            <w:vAlign w:val="bottom"/>
            <w:gridSpan w:val="5"/>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300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160" w:type="dxa"/>
            <w:vAlign w:val="bottom"/>
          </w:tcPr>
          <w:p>
            <w:pP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740" w:type="dxa"/>
            <w:vAlign w:val="bottom"/>
            <w:gridSpan w:val="5"/>
          </w:tcPr>
          <w:p>
            <w:pPr>
              <w:ind w:left="4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66"/>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22"/>
              <w:spacing w:after="0" w:line="149" w:lineRule="exact"/>
              <w:rPr>
                <w:sz w:val="20"/>
                <w:szCs w:val="20"/>
                <w:color w:val="auto"/>
              </w:rPr>
            </w:pPr>
            <w:r>
              <w:rPr>
                <w:rFonts w:ascii="Arial" w:cs="Arial" w:eastAsia="Arial" w:hAnsi="Arial"/>
                <w:sz w:val="14"/>
                <w:szCs w:val="14"/>
                <w:b w:val="1"/>
                <w:bCs w:val="1"/>
                <w:color w:val="auto"/>
                <w:w w:val="94"/>
              </w:rPr>
              <w:t>maximum</w:t>
            </w: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2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Title of securities</w:t>
            </w:r>
          </w:p>
        </w:tc>
        <w:tc>
          <w:tcPr>
            <w:tcW w:w="10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60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3"/>
                <w:szCs w:val="13"/>
                <w:color w:val="auto"/>
              </w:rPr>
            </w:pPr>
          </w:p>
        </w:tc>
        <w:tc>
          <w:tcPr>
            <w:tcW w:w="1360" w:type="dxa"/>
            <w:vAlign w:val="bottom"/>
            <w:tcBorders>
              <w:right w:val="single" w:sz="8" w:color="auto"/>
            </w:tcBorders>
          </w:tcPr>
          <w:p>
            <w:pPr>
              <w:jc w:val="center"/>
              <w:ind w:right="86"/>
              <w:spacing w:after="0" w:line="158"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2"/>
              <w:spacing w:after="0" w:line="158" w:lineRule="exact"/>
              <w:rPr>
                <w:sz w:val="20"/>
                <w:szCs w:val="20"/>
                <w:color w:val="auto"/>
              </w:rPr>
            </w:pPr>
            <w:r>
              <w:rPr>
                <w:rFonts w:ascii="Arial" w:cs="Arial" w:eastAsia="Arial" w:hAnsi="Arial"/>
                <w:sz w:val="14"/>
                <w:szCs w:val="14"/>
                <w:b w:val="1"/>
                <w:bCs w:val="1"/>
                <w:color w:val="auto"/>
                <w:w w:val="89"/>
              </w:rPr>
              <w:t>aggregate</w:t>
            </w:r>
          </w:p>
        </w:tc>
        <w:tc>
          <w:tcPr>
            <w:tcW w:w="240" w:type="dxa"/>
            <w:vAlign w:val="bottom"/>
          </w:tcPr>
          <w:p>
            <w:pPr>
              <w:spacing w:after="0"/>
              <w:rPr>
                <w:sz w:val="13"/>
                <w:szCs w:val="13"/>
                <w:color w:val="auto"/>
              </w:rPr>
            </w:pP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to be registered</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2"/>
              </w:rPr>
              <w:t>per share (2)</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4"/>
              </w:rPr>
              <w:t>offering price (2)</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(2)</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8"/>
              </w:rPr>
              <w:t>24,942,050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66"/>
              <w:spacing w:after="0"/>
              <w:rPr>
                <w:sz w:val="20"/>
                <w:szCs w:val="20"/>
                <w:color w:val="auto"/>
              </w:rPr>
            </w:pPr>
            <w:r>
              <w:rPr>
                <w:rFonts w:ascii="Arial" w:cs="Arial" w:eastAsia="Arial" w:hAnsi="Arial"/>
                <w:sz w:val="18"/>
                <w:szCs w:val="18"/>
                <w:color w:val="auto"/>
                <w:w w:val="90"/>
              </w:rPr>
              <w:t>$43.96</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color w:val="auto"/>
                <w:w w:val="89"/>
              </w:rPr>
              <w:t>$1,046,248,000</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$134,756.74</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20" w:hanging="452"/>
        <w:spacing w:after="0" w:line="284"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described in the Explanatory Note in this Registration Statement, the number of shares of common stock, par value $0.01 per share, of Waste Management, Inc. (the “Common Stock”) registered hereby consists of (a) 23,800,000 shares being registered for the first time pursuant to approval of the 2014 Stock Incentive Plan, plus (b) 1,142,050 shares that were previously registered under the Waste Management, Inc. 2009 Stock Incentive Plan on a Registration Statement on Form S-8, filed with the Securities and Exchange Commission on May 26, 2009 (File No. 333-159476) (the “Prior Registration Statement”), and are not subject to outstanding awards. A post-effective amendment to the Prior Registration Statement to deregister such shares is being filed. contemporaneously with the filing of this Registration Statement. In addition, pursuant to Rule 416 under the Securities Act of 1933, as amended (the “Securities Act”), this Registration Statement also covers an indeterminate number of additional shares of Common Stock to be offered or sold as a result of the anti-dilution provisions of the 2014 Stock Incentive Plan.</w:t>
      </w: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offering price per share is estimated solely for the purpose of calculating the registration fee pursuant to</w:t>
      </w:r>
    </w:p>
    <w:p>
      <w:pPr>
        <w:spacing w:after="0" w:line="9" w:lineRule="exact"/>
        <w:rPr>
          <w:rFonts w:ascii="Arial" w:cs="Arial" w:eastAsia="Arial" w:hAnsi="Arial"/>
          <w:sz w:val="18"/>
          <w:szCs w:val="18"/>
          <w:color w:val="auto"/>
        </w:rPr>
      </w:pPr>
    </w:p>
    <w:p>
      <w:pPr>
        <w:ind w:left="460" w:right="240"/>
        <w:spacing w:after="0" w:line="277" w:lineRule="auto"/>
        <w:rPr>
          <w:rFonts w:ascii="Arial" w:cs="Arial" w:eastAsia="Arial" w:hAnsi="Arial"/>
          <w:sz w:val="18"/>
          <w:szCs w:val="18"/>
          <w:color w:val="auto"/>
        </w:rPr>
      </w:pPr>
      <w:r>
        <w:rPr>
          <w:rFonts w:ascii="Arial" w:cs="Arial" w:eastAsia="Arial" w:hAnsi="Arial"/>
          <w:sz w:val="17"/>
          <w:szCs w:val="17"/>
          <w:color w:val="auto"/>
        </w:rPr>
        <w:t>Rule 457(c) and Rule 457(h) under the Securities Act, based on the average of the high and low sales prices of the Common Stock as reported on the New York Stock Exchange on May 12, 2014. Registration fees are being paid solely with respect to the 23,800,000 shares being newly registered hereby, as the registration fee for shares being carried over from the Prior Registration Statement were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75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40" w:firstLine="913"/>
        <w:spacing w:after="0" w:line="272" w:lineRule="auto"/>
        <w:rPr>
          <w:sz w:val="20"/>
          <w:szCs w:val="20"/>
          <w:color w:val="auto"/>
        </w:rPr>
      </w:pPr>
      <w:r>
        <w:rPr>
          <w:rFonts w:ascii="Arial" w:cs="Arial" w:eastAsia="Arial" w:hAnsi="Arial"/>
          <w:sz w:val="17"/>
          <w:szCs w:val="17"/>
          <w:color w:val="auto"/>
        </w:rPr>
        <w:t>On May 13, 2014, the stockholders of Waste Management, Inc. (the “Registrant”) approved the 2014 Stock Incentive Plan (the “2014 Plan”) which, among other things, authorized 23,800,000 shares for issuance pursuant to the 2014 Plan (the “New Shares”), plus any shares then available for issuance under the 2009 Stock Incentive Plan (the “Prior Plan”) and any shares subject to outstanding awards under the Prior Plan that are subsequently canceled, forfeited, or terminate, expire or lapse for any reason or otherwise subsequently become available under the Prior Plan. As of the May 13, 2014, which is the effective date of the 2014 Plan, the Company’s authority to grant new awards under the Prior Plan terminated, and 1,142,050 shares previously registered for issuance and not subject to outstanding awards remained (the “Carryover Shares”). This registrant statement is being filed to register the New Shares and the Carryover Shares for issuance pursuant to the 2014 Plan.</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REQUIRED IN THE SECTION 10(a) PROSPECTUS</w:t>
      </w:r>
    </w:p>
    <w:p>
      <w:pPr>
        <w:spacing w:after="0" w:line="229"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As permitted by the rules of the Securities and Exchange Commission (the “Commission”), this Registration Statement omits the information specified in Part I of Form S-8. The documents containing the information specified in Part I will be delivered to the participants in the plan as required by Rule 428(b)</w:t>
      </w:r>
    </w:p>
    <w:p>
      <w:pPr>
        <w:jc w:val="both"/>
        <w:ind w:right="100" w:firstLine="8"/>
        <w:spacing w:after="0" w:line="277"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under the Securities Act. Such documents are not being filed with the Commission as part of this Registration Statement or as a prospectus or prospectus supplement pursuant to Rule 424. These documents and the documents incorporated by reference in this Registration Statement pursuant to Item 3 of Part II hereof, taken together, constitute a prospectus that meets the requirements of Section 10(a) of the Securities Act.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documents filed with the Commission by the Registrant are hereby incorporated by reference into this Registration Statement:</w:t>
      </w:r>
    </w:p>
    <w:p>
      <w:pPr>
        <w:spacing w:after="0" w:line="154"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2013 filed February 18,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2014 filed April 24, 2014.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the Registrant’s Common Stock on Form 8-B filed with the Commission on July 13, 1995;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Current Reports on Form 8-K filed with the Commission on March 12, 2014 and May 15, 2014.</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 The Registrant is not, however, incorporating, in each case, any documents or information that the Registrant is deemed to furnish and not file in accordance with Commission rules.</w:t>
      </w:r>
    </w:p>
    <w:p>
      <w:pPr>
        <w:sectPr>
          <w:pgSz w:w="11900" w:h="16838" w:orient="portrait"/>
          <w:cols w:equalWidth="0" w:num="1">
            <w:col w:w="11360"/>
          </w:cols>
          <w:pgMar w:left="240" w:top="270"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 Description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Courtney Tippy will issue an opinion regarding the validity of the Registrant’s Common Stock offered hereby. Ms. Tippy is the Registrant’s Senior Legal Counsel – Corporate &amp; Securities. Ms. Tippy currently owns less than .01% of the Registrant’s outstanding Common Stock and is eligible to participate in the 2014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179"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The Registrant’s Certificate of Incorporation and By-laws require that it provide indemnification to the maximum extent permitted from time to time under DCGL,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Registrant or any of its direct or indirect subsidiaries or while such a director or officer is or was serving at the request of the Registrant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Registrant is not required to indemnify or advance expenses to any person in connection with any action, suit, proceeding, claim or counterclaim initiated by or on behalf of such person. Such indemnification is not exclusive of other indemnification rights arising under any By-laws, agreement, vote of directors or stockholders or otherwise and shall inure to the benefit of the heirs and legal representatives of such person. Additionally, the Registrant has entered into separate indemnification agreements with each of the members of its Board of Directors, its Chief Executive Officer and each of its executive vice presidents, and the employment agreements between the Registrant and its Chief Executive Officer and other executive and senior vice presidents contain a direct contractual obligation of the Registrant to provide indemnification to the executive. These agreements provide directors and officers with the same indemnification by the Registrant as described above and assure directors and officers that indemnification will continue to be provided despite future changes in the By-laws of the Registrant.</w:t>
      </w:r>
    </w:p>
    <w:p>
      <w:pPr>
        <w:spacing w:after="0" w:line="18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redemptions or other distributions, or (iv) for any transaction from which the director derived an improper personal benefit. The Registrant’s Certificate of Incorporation provides that no director will be liable to the Registrant or its stockholders for any breach of fiduciary duty, except as limited under DGCL.</w:t>
      </w:r>
    </w:p>
    <w:p>
      <w:pPr>
        <w:sectPr>
          <w:pgSz w:w="11900" w:h="16838" w:orient="portrait"/>
          <w:cols w:equalWidth="0" w:num="1">
            <w:col w:w="11420"/>
          </w:cols>
          <w:pgMar w:left="240" w:top="270" w:right="239" w:bottom="1440" w:gutter="0" w:footer="0" w:header="0"/>
        </w:sectPr>
      </w:pPr>
    </w:p>
    <w:bookmarkStart w:id="3" w:name="page4"/>
    <w:bookmarkEnd w:id="3"/>
    <w:p>
      <w:pPr>
        <w:ind w:right="440" w:firstLine="91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Registrant’s directors and officers are covered by insurance policies indemnifying against certain liabilities, including certain liabilities arising under the Securities Act that might be incurred by them in such capacities and against which the Registrant may not indemnify them.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52" w:lineRule="exact"/>
        <w:rPr>
          <w:sz w:val="20"/>
          <w:szCs w:val="20"/>
          <w:color w:val="auto"/>
        </w:rPr>
      </w:pPr>
    </w:p>
    <w:p>
      <w:pPr>
        <w:ind w:left="560" w:right="120" w:hanging="836"/>
        <w:spacing w:after="0" w:line="277"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Third Restated Certificate of Incorporation (Incorporated by reference to Exhibit 3.1 to the Quarterly Report on Form 10-Q for the quarter ended June 30, 2010).</w:t>
      </w:r>
    </w:p>
    <w:p>
      <w:pPr>
        <w:spacing w:after="0" w:line="62" w:lineRule="exact"/>
        <w:rPr>
          <w:sz w:val="20"/>
          <w:szCs w:val="20"/>
          <w:color w:val="auto"/>
        </w:rPr>
      </w:pPr>
    </w:p>
    <w:p>
      <w:pPr>
        <w:ind w:left="560" w:right="280" w:hanging="836"/>
        <w:spacing w:after="0" w:line="277" w:lineRule="auto"/>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Amended and Restated By-laws of Waste Management, Inc. (Incorporated by reference to Exhibit 3.2 to the Current Report on Form 8-K filed December 12, 2012).</w:t>
      </w:r>
    </w:p>
    <w:p>
      <w:pPr>
        <w:spacing w:after="0" w:line="6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 Waste Management, Inc. 2014 Stock Incentive Plan (Incorporated by reference to Exhibit 10.1 to the Current Report on Form 8-K filed May 15,</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2014).</w:t>
      </w:r>
    </w:p>
    <w:p>
      <w:pPr>
        <w:spacing w:after="0" w:line="10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 Opinion of Courtney Tippy.</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 Consent of Ernst &amp; Young LLP.</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 Consent of Courtney Tippy (included in Exhibit 5.1).</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 Power of Attorney.</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920" w:right="100" w:firstLine="421"/>
        <w:spacing w:after="0" w:line="255" w:lineRule="auto"/>
        <w:tabs>
          <w:tab w:leader="none" w:pos="1605"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1" w:lineRule="exact"/>
        <w:rPr>
          <w:rFonts w:ascii="Arial" w:cs="Arial" w:eastAsia="Arial" w:hAnsi="Arial"/>
          <w:sz w:val="18"/>
          <w:szCs w:val="18"/>
          <w:color w:val="auto"/>
        </w:rPr>
      </w:pPr>
    </w:p>
    <w:p>
      <w:pPr>
        <w:ind w:left="920" w:firstLine="421"/>
        <w:spacing w:after="0" w:line="277" w:lineRule="auto"/>
        <w:tabs>
          <w:tab w:leader="none" w:pos="1655"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right="580" w:firstLine="438"/>
        <w:spacing w:after="0" w:line="286" w:lineRule="auto"/>
        <w:rPr>
          <w:sz w:val="20"/>
          <w:szCs w:val="20"/>
          <w:color w:val="auto"/>
        </w:rPr>
      </w:pP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paragraphs (a)(1)(i) and (a)(1)(ii) above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Commission by the registrant pursuant to Section 13 or Section 15(d) of the Securities Exchange Act of 1934 that are incorporated by reference in the registration statement.</w:t>
      </w:r>
    </w:p>
    <w:p>
      <w:pPr>
        <w:sectPr>
          <w:pgSz w:w="11900" w:h="16838" w:orient="portrait"/>
          <w:cols w:equalWidth="0" w:num="1">
            <w:col w:w="11400"/>
          </w:cols>
          <w:pgMar w:left="240" w:top="274" w:right="259" w:bottom="1440" w:gutter="0" w:footer="0" w:header="0"/>
        </w:sectPr>
      </w:pPr>
    </w:p>
    <w:bookmarkStart w:id="4" w:name="page5"/>
    <w:bookmarkEnd w:id="4"/>
    <w:p>
      <w:pPr>
        <w:ind w:left="-4" w:firstLine="443"/>
        <w:spacing w:after="0" w:line="264" w:lineRule="auto"/>
        <w:tabs>
          <w:tab w:leader="none" w:pos="689"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3" w:lineRule="exact"/>
        <w:rPr>
          <w:rFonts w:ascii="Arial" w:cs="Arial" w:eastAsia="Arial" w:hAnsi="Arial"/>
          <w:sz w:val="18"/>
          <w:szCs w:val="18"/>
          <w:color w:val="auto"/>
        </w:rPr>
      </w:pPr>
    </w:p>
    <w:p>
      <w:pPr>
        <w:ind w:left="-4" w:right="540" w:firstLine="443"/>
        <w:spacing w:after="0" w:line="277" w:lineRule="auto"/>
        <w:tabs>
          <w:tab w:leader="none" w:pos="689"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64" w:right="20" w:firstLine="464"/>
        <w:spacing w:after="0" w:line="259" w:lineRule="auto"/>
        <w:tabs>
          <w:tab w:leader="none" w:pos="247"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further undertakes that, for the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6" w:lineRule="exact"/>
        <w:rPr>
          <w:rFonts w:ascii="Arial" w:cs="Arial" w:eastAsia="Arial" w:hAnsi="Arial"/>
          <w:sz w:val="18"/>
          <w:szCs w:val="18"/>
          <w:color w:val="auto"/>
        </w:rPr>
      </w:pPr>
    </w:p>
    <w:p>
      <w:pPr>
        <w:ind w:left="-464" w:firstLine="464"/>
        <w:spacing w:after="0" w:line="271" w:lineRule="auto"/>
        <w:tabs>
          <w:tab w:leader="none" w:pos="237"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916"/>
          </w:cols>
          <w:pgMar w:left="704" w:top="274"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The Registrant. </w:t>
      </w:r>
      <w:r>
        <w:rPr>
          <w:rFonts w:ascii="Arial" w:cs="Arial" w:eastAsia="Arial" w:hAnsi="Arial"/>
          <w:sz w:val="18"/>
          <w:szCs w:val="18"/>
          <w:color w:val="auto"/>
        </w:rPr>
        <w:t>Pursuant to the requirements of the Securities Act of 1933, the Registrant certifies that it has reasonable grounds to believe that it meets</w:t>
      </w:r>
      <w:r>
        <w:rPr>
          <w:rFonts w:ascii="Arial" w:cs="Arial" w:eastAsia="Arial" w:hAnsi="Arial"/>
          <w:sz w:val="18"/>
          <w:szCs w:val="18"/>
          <w:i w:val="1"/>
          <w:iCs w:val="1"/>
          <w:color w:val="auto"/>
        </w:rPr>
        <w:t xml:space="preserve"> </w:t>
      </w:r>
      <w:r>
        <w:rPr>
          <w:rFonts w:ascii="Arial" w:cs="Arial" w:eastAsia="Arial" w:hAnsi="Arial"/>
          <w:sz w:val="18"/>
          <w:szCs w:val="18"/>
          <w:color w:val="auto"/>
        </w:rPr>
        <w:t>all requirements for filing on Form S-8 and has duly caused this Registration Statement on Form S-8 to be signed on its behalf by the undersigned, thereunto duly authorized, in the City of Houston, State of Texas on the 15th day of May, 2014.</w:t>
      </w:r>
    </w:p>
    <w:p>
      <w:pPr>
        <w:spacing w:after="0" w:line="204"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indicated on the 15th day of May 2014.</w:t>
      </w:r>
    </w:p>
    <w:p>
      <w:pPr>
        <w:sectPr>
          <w:pgSz w:w="11900" w:h="16838" w:orient="portrait"/>
          <w:cols w:equalWidth="0" w:num="1">
            <w:col w:w="11380"/>
          </w:cols>
          <w:pgMar w:left="240" w:top="270" w:right="279" w:bottom="1440" w:gutter="0" w:footer="0" w:header="0"/>
        </w:sectPr>
      </w:pPr>
    </w:p>
    <w:p>
      <w:pPr>
        <w:spacing w:after="0" w:line="189"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David P. Steiner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James C. Fish, Jr.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Don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Don P. Carpenter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 Bradbury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76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Bradbury H. Anderson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Frank M. Clark,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Frank M. Clark, Jr.</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Patrick W.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Patrick W. Gross</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Victoria M. 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Victoria M. Holt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John C. Pope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John C. Pope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 W. Robert Reum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616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 Robert Reum</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 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616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Thomas H. Weidemeyer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580"/>
        <w:spacing w:after="0"/>
        <w:rPr>
          <w:sz w:val="20"/>
          <w:szCs w:val="20"/>
          <w:color w:val="auto"/>
        </w:rPr>
      </w:pPr>
      <w:r>
        <w:rPr>
          <w:rFonts w:ascii="Arial" w:cs="Arial" w:eastAsia="Arial" w:hAnsi="Arial"/>
          <w:sz w:val="14"/>
          <w:szCs w:val="14"/>
          <w:b w:val="1"/>
          <w:bCs w:val="1"/>
          <w:u w:val="single" w:color="auto"/>
          <w:color w:val="auto"/>
        </w:rPr>
        <w:t>Title</w:t>
      </w:r>
    </w:p>
    <w:p>
      <w:pPr>
        <w:spacing w:after="0" w:line="253"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President, Chief Executive Officer and Director</w:t>
      </w:r>
    </w:p>
    <w:p>
      <w:pPr>
        <w:spacing w:after="0" w:line="46" w:lineRule="exact"/>
        <w:rPr>
          <w:sz w:val="20"/>
          <w:szCs w:val="20"/>
          <w:color w:val="auto"/>
        </w:rPr>
      </w:pPr>
    </w:p>
    <w:p>
      <w:pPr>
        <w:jc w:val="center"/>
        <w:ind w:right="16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jc w:val="center"/>
        <w:ind w:right="1660"/>
        <w:spacing w:after="0"/>
        <w:rPr>
          <w:sz w:val="20"/>
          <w:szCs w:val="20"/>
          <w:color w:val="auto"/>
        </w:rPr>
      </w:pPr>
      <w:r>
        <w:rPr>
          <w:rFonts w:ascii="Arial" w:cs="Arial" w:eastAsia="Arial" w:hAnsi="Arial"/>
          <w:sz w:val="17"/>
          <w:szCs w:val="17"/>
          <w:color w:val="auto"/>
        </w:rPr>
        <w:t>Executive Vice President and Chief Financial</w:t>
      </w:r>
    </w:p>
    <w:p>
      <w:pPr>
        <w:spacing w:after="0" w:line="35" w:lineRule="exact"/>
        <w:rPr>
          <w:sz w:val="20"/>
          <w:szCs w:val="20"/>
          <w:color w:val="auto"/>
        </w:rPr>
      </w:pPr>
    </w:p>
    <w:p>
      <w:pPr>
        <w:jc w:val="center"/>
        <w:ind w:right="1660"/>
        <w:spacing w:after="0"/>
        <w:rPr>
          <w:sz w:val="20"/>
          <w:szCs w:val="20"/>
          <w:color w:val="auto"/>
        </w:rPr>
      </w:pPr>
      <w:r>
        <w:rPr>
          <w:rFonts w:ascii="Arial" w:cs="Arial" w:eastAsia="Arial" w:hAnsi="Arial"/>
          <w:sz w:val="18"/>
          <w:szCs w:val="18"/>
          <w:color w:val="auto"/>
        </w:rPr>
        <w:t>Officer (Principal Financial Officer)</w:t>
      </w:r>
    </w:p>
    <w:p>
      <w:pPr>
        <w:spacing w:after="0" w:line="238" w:lineRule="exact"/>
        <w:rPr>
          <w:sz w:val="20"/>
          <w:szCs w:val="20"/>
          <w:color w:val="auto"/>
        </w:rPr>
      </w:pPr>
    </w:p>
    <w:p>
      <w:pPr>
        <w:jc w:val="center"/>
        <w:ind w:right="1660"/>
        <w:spacing w:after="0"/>
        <w:rPr>
          <w:sz w:val="20"/>
          <w:szCs w:val="20"/>
          <w:color w:val="auto"/>
        </w:rPr>
      </w:pPr>
      <w:r>
        <w:rPr>
          <w:rFonts w:ascii="Arial" w:cs="Arial" w:eastAsia="Arial" w:hAnsi="Arial"/>
          <w:sz w:val="17"/>
          <w:szCs w:val="17"/>
          <w:color w:val="auto"/>
        </w:rPr>
        <w:t>Vice President and Chief Accounting Officer</w:t>
      </w:r>
    </w:p>
    <w:p>
      <w:pPr>
        <w:spacing w:after="0" w:line="35" w:lineRule="exact"/>
        <w:rPr>
          <w:sz w:val="20"/>
          <w:szCs w:val="20"/>
          <w:color w:val="auto"/>
        </w:rPr>
      </w:pPr>
    </w:p>
    <w:p>
      <w:pPr>
        <w:jc w:val="center"/>
        <w:ind w:right="166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Chairman of the Board and Director</w:t>
      </w:r>
    </w:p>
    <w:p>
      <w:pPr>
        <w:spacing w:after="0" w:line="200" w:lineRule="exact"/>
        <w:rPr>
          <w:sz w:val="20"/>
          <w:szCs w:val="20"/>
          <w:color w:val="auto"/>
        </w:rPr>
      </w:pPr>
    </w:p>
    <w:p>
      <w:pPr>
        <w:spacing w:after="0" w:line="2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560" w:space="720"/>
            <w:col w:w="5100"/>
          </w:cols>
          <w:pgMar w:left="240" w:top="270" w:right="279" w:bottom="1440" w:gutter="0" w:footer="0" w:header="0"/>
          <w:type w:val="continuous"/>
        </w:sectPr>
      </w:pPr>
    </w:p>
    <w:bookmarkStart w:id="6" w:name="page7"/>
    <w:bookmarkEnd w:id="6"/>
    <w:p>
      <w:pPr>
        <w:jc w:val="center"/>
        <w:ind w:right="-2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56" w:lineRule="exact"/>
        <w:rPr>
          <w:sz w:val="20"/>
          <w:szCs w:val="20"/>
          <w:color w:val="auto"/>
        </w:rPr>
      </w:pPr>
    </w:p>
    <w:p>
      <w:pPr>
        <w:ind w:left="420" w:hanging="715"/>
        <w:spacing w:after="0" w:line="277" w:lineRule="auto"/>
        <w:tabs>
          <w:tab w:leader="none" w:pos="400" w:val="left"/>
        </w:tabs>
        <w:rPr>
          <w:sz w:val="20"/>
          <w:szCs w:val="20"/>
          <w:color w:val="auto"/>
        </w:rPr>
      </w:pPr>
      <w:r>
        <w:rPr>
          <w:rFonts w:ascii="Arial" w:cs="Arial" w:eastAsia="Arial" w:hAnsi="Arial"/>
          <w:sz w:val="18"/>
          <w:szCs w:val="18"/>
          <w:color w:val="auto"/>
        </w:rPr>
        <w:t>4.1</w:t>
        <w:tab/>
        <w:t>— Third Restated Certificate of Incorporation (Incorporated by reference to Exhibit 3.1 to the Quarterly Report on Form 10-Q for the quarter ended June 30, 2010).</w:t>
      </w:r>
    </w:p>
    <w:p>
      <w:pPr>
        <w:spacing w:after="0" w:line="62" w:lineRule="exact"/>
        <w:rPr>
          <w:sz w:val="20"/>
          <w:szCs w:val="20"/>
          <w:color w:val="auto"/>
        </w:rPr>
      </w:pPr>
    </w:p>
    <w:p>
      <w:pPr>
        <w:ind w:left="420" w:right="160" w:hanging="715"/>
        <w:spacing w:after="0" w:line="277" w:lineRule="auto"/>
        <w:tabs>
          <w:tab w:leader="none" w:pos="400" w:val="left"/>
        </w:tabs>
        <w:rPr>
          <w:sz w:val="20"/>
          <w:szCs w:val="20"/>
          <w:color w:val="auto"/>
        </w:rPr>
      </w:pPr>
      <w:r>
        <w:rPr>
          <w:rFonts w:ascii="Arial" w:cs="Arial" w:eastAsia="Arial" w:hAnsi="Arial"/>
          <w:sz w:val="18"/>
          <w:szCs w:val="18"/>
          <w:color w:val="auto"/>
        </w:rPr>
        <w:t>4.2</w:t>
        <w:tab/>
        <w:t>— Amended and Restated By-laws of Waste Management, Inc. (Incorporated by reference to Exhibit 3.2 to the Current Report on Form 8-K filed December 12, 2012).</w:t>
      </w:r>
    </w:p>
    <w:p>
      <w:pPr>
        <w:spacing w:after="0" w:line="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  Waste Management, Inc. 2014 Stock Incentive Plan (Incorporated by reference to Exhibit 10.1 to the Current Report on Form 8-K filed May 15,</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2014).</w:t>
      </w:r>
    </w:p>
    <w:p>
      <w:pPr>
        <w:spacing w:after="0" w:line="10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  Opinion of Courtney Tippy.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23.1 —  Consent of Ernst &amp; Young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23.2 —  Consent of Courtney Tippy (included in Exhibit 5.1).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24.1 —  Power of Attorney.</w:t>
      </w:r>
    </w:p>
    <w:p>
      <w:pPr>
        <w:sectPr>
          <w:pgSz w:w="11900" w:h="16838" w:orient="portrait"/>
          <w:cols w:equalWidth="0" w:num="1">
            <w:col w:w="11160"/>
          </w:cols>
          <w:pgMar w:left="240" w:top="270" w:right="4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 am Senior Legal Counsel - Corporate &amp; Securities for Waste Management, Inc., a Delaware corporation (the “Company”), and have acted in such capacity in connection with the registration under the Securities Act of 1933, as amended (the “Act”), of 24,942,050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or about May 15, 2014.</w:t>
      </w:r>
    </w:p>
    <w:p>
      <w:pPr>
        <w:spacing w:after="0" w:line="15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connection therewith, I have examined originals or copies certified or otherwise identified to my satisfaction of the Registration Statement, the Certificate of Incorporation of the Company, as restated to date, the By-laws of the Company, as amended and restated to date, the Waste Management, Inc. 2014 Stock Incentive Plan (the “Plan”), the resolutions of the Board of Directors and records of the Annual Meeting of Stockholders of the Company relating to adoption and approval of the Plan, and such other documents and instruments as I have deemed necessary or appropriate for the expression of the opinions contained herein.</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 have assumed the genuineness of all signatures, the authenticity and completeness of all records, certificates and other instruments submitted to me as originals, the conformity to original documents of all records, certificates and other instruments submitted to me as copies, the correctness of all statements of fact contained in all records, certificates and other instruments that I have examined and the legal capacity to sign of all individuals executing records, certificates and other instruments.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the foregoing, and having a regard for such legal considerations as I have deemed relevant, I am of the opinion that any original issuance shares of Common Stock that may be issued pursuant to the Plan have been duly authorized, and subject to the effectiveness of the Registration Statement, the shares of Common Stock issued and paid for in accordance with the Registration Statement and the Plan for the consideration provided for therein will be validly issued, fully paid and non-assessable.</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 hereby consent to the filing of this opinion as an exhibit to the Registration Statement, and I further consent to the use of my name in the Registration Statement and the prospectus that forms a part thereof. In giving this consent, I do not admit thereby that I come within the category of person whose consent is required under Section 7 of the Securities Act of 1933, as amended, or the rules and regulations of the Securities and Exchange Commission promulgated thereunder.</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Courtney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Courtney Tippy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Legal Counsel – Corporate &amp; Securities</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Waste Management, Inc. 2014 Stock Incentive Plan of our reports dated February 18, 2014, with respect to the consolidated financial statements and schedule of Waste Management, Inc. and the effectiveness of internal control over financial reporting of Waste Management, Inc. included in its Annual Report (Form 10-K) for the year ended December 31, 2013, filed with the Securities and Exchange Commission.</w:t>
      </w:r>
    </w:p>
    <w:p>
      <w:pPr>
        <w:spacing w:after="0" w:line="29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14, 2014</w:t>
      </w:r>
    </w:p>
    <w:p>
      <w:pPr>
        <w:sectPr>
          <w:pgSz w:w="11900" w:h="16838" w:orient="portrait"/>
          <w:cols w:equalWidth="0" w:num="1">
            <w:col w:w="11420"/>
          </w:cols>
          <w:pgMar w:left="240" w:top="12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15, 2014</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Each person whose signature appears below appoints David P. Steiner, James C. Fish, Jr. and Rick L Wittenbraker, and each of them severally, as his true and lawful attorney or attorneys-in-fact and agent or agents, each of whom shall be authorized to act with or without the other, with full power of substitution and resubstitution, for him and in his name, place and stead in his capacity as a director or officer or both, as the case may be, to sign a Registration Statement on Form S-8 and any and all amendments to the Registration Statement and all documents or instruments necessary to comply with the Securities Act of 1933, as amended, and to file the same with the Securities and Exchange Commission, with full power and authority to each of said attorneys-in-fact and agents to do and perform in the name and on behalf of each such director or officer, or both, as the case may be, each and every act whatsoever that is necessary, appropriate or advisable in connection with any or all of the above-described matters and to all intents and purposes as he might or could do in person, hereby ratifying and confirming all that said attorneys-in-fact and agents or any of them or their substitutes, may lawfully do or cause to be done by virtue hereof.</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9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6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7"/>
              </w:rPr>
              <w:t>Title</w:t>
            </w:r>
          </w:p>
        </w:tc>
      </w:tr>
      <w:tr>
        <w:trPr>
          <w:trHeight w:val="20"/>
        </w:trPr>
        <w:tc>
          <w:tcPr>
            <w:tcW w:w="1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26"/>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David P. Steiner</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0"/>
              </w:rPr>
              <w:t>David P. Steiner</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3"/>
              </w:rPr>
              <w:t>(Principal Executive Officer)</w:t>
            </w:r>
          </w:p>
        </w:tc>
      </w:tr>
      <w:tr>
        <w:trPr>
          <w:trHeight w:val="431"/>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James C. Fish, Jr.</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1"/>
              </w:rPr>
              <w:t>Executive Vice President and Chief Financial</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86"/>
              </w:rPr>
              <w:t>James C. Fish, Jr.</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4"/>
              </w:rPr>
              <w:t>Officer (Principal Financial Officer)</w:t>
            </w:r>
          </w:p>
        </w:tc>
      </w:tr>
      <w:tr>
        <w:trPr>
          <w:trHeight w:val="431"/>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Don P. Carpenter</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2"/>
              </w:rPr>
              <w:t>Vice President and Chief Accounting Officer</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87"/>
              </w:rPr>
              <w:t>Don P. Carpenter</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4"/>
              </w:rPr>
              <w:t>(Principal Accounting Officer)</w:t>
            </w:r>
          </w:p>
        </w:tc>
      </w:tr>
      <w:tr>
        <w:trPr>
          <w:trHeight w:val="431"/>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Bradbury H. Anderson</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5"/>
              </w:rPr>
              <w:t>Director</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3"/>
              </w:rPr>
              <w:t>Bradbury H. Anderson</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Frank M. Clark, Jr.</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5"/>
              </w:rPr>
              <w:t>Director</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3"/>
              </w:rPr>
              <w:t>Frank M. Clark, Jr.</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Patrick W. Gross</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5"/>
              </w:rPr>
              <w:t>Director</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0"/>
              </w:rPr>
              <w:t>Patrick W. Gross</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/s/ Victoria M. Holt</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5"/>
              </w:rPr>
              <w:t>Director</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6"/>
              </w:rPr>
              <w:t>Victoria M. Holt</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John C. Pope</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5"/>
              </w:rPr>
              <w:t>Director</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86"/>
              </w:rPr>
              <w:t>John C. Pope</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W. Robert Reum</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1"/>
              </w:rPr>
              <w:t>Chairman of the Board and Director</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90"/>
              </w:rPr>
              <w:t>W. Robert Reum</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31"/>
        </w:trPr>
        <w:tc>
          <w:tcPr>
            <w:tcW w:w="4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Thomas H. Weidemeyer</w:t>
            </w:r>
          </w:p>
        </w:tc>
        <w:tc>
          <w:tcPr>
            <w:tcW w:w="5480" w:type="dxa"/>
            <w:vAlign w:val="bottom"/>
            <w:gridSpan w:val="3"/>
          </w:tcPr>
          <w:p>
            <w:pPr>
              <w:jc w:val="center"/>
              <w:ind w:left="1950"/>
              <w:spacing w:after="0"/>
              <w:rPr>
                <w:sz w:val="20"/>
                <w:szCs w:val="20"/>
                <w:color w:val="auto"/>
              </w:rPr>
            </w:pPr>
            <w:r>
              <w:rPr>
                <w:rFonts w:ascii="Arial" w:cs="Arial" w:eastAsia="Arial" w:hAnsi="Arial"/>
                <w:sz w:val="18"/>
                <w:szCs w:val="18"/>
                <w:color w:val="auto"/>
                <w:w w:val="95"/>
              </w:rPr>
              <w:t>Director</w:t>
            </w:r>
          </w:p>
        </w:tc>
      </w:tr>
      <w:tr>
        <w:trPr>
          <w:trHeight w:val="224"/>
        </w:trPr>
        <w:tc>
          <w:tcPr>
            <w:tcW w:w="4460" w:type="dxa"/>
            <w:vAlign w:val="bottom"/>
            <w:gridSpan w:val="3"/>
          </w:tcPr>
          <w:p>
            <w:pPr>
              <w:jc w:val="center"/>
              <w:spacing w:after="0"/>
              <w:rPr>
                <w:sz w:val="20"/>
                <w:szCs w:val="20"/>
                <w:color w:val="auto"/>
              </w:rPr>
            </w:pPr>
            <w:r>
              <w:rPr>
                <w:rFonts w:ascii="Arial" w:cs="Arial" w:eastAsia="Arial" w:hAnsi="Arial"/>
                <w:sz w:val="18"/>
                <w:szCs w:val="18"/>
                <w:color w:val="auto"/>
                <w:w w:val="89"/>
              </w:rPr>
              <w:t>Thomas H. Weidemeyer</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2019-12-06T00:59:14Z</dcterms:created>
  <dcterms:modified xsi:type="dcterms:W3CDTF">2019-12-06T00:59:14Z</dcterms:modified>
</cp:coreProperties>
</file>