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July 31, 2025</w:t>
      </w:r>
    </w:p>
    <w:p>
      <w:pPr>
        <w:spacing w:after="0" w:line="61"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Registration Number 333-                ​</w:t>
      </w:r>
    </w:p>
    <w:p>
      <w:pPr>
        <w:spacing w:after="0" w:line="74"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452755</wp:posOffset>
            </wp:positionH>
            <wp:positionV relativeFrom="paragraph">
              <wp:posOffset>1905</wp:posOffset>
            </wp:positionV>
            <wp:extent cx="481520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15205" cy="1333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34925</wp:posOffset>
            </wp:positionV>
            <wp:extent cx="48152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15205" cy="698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88265</wp:posOffset>
            </wp:positionV>
            <wp:extent cx="9601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UNDER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73660</wp:posOffset>
            </wp:positionV>
            <wp:extent cx="9601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18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3"/>
          <w:szCs w:val="13"/>
          <w:color w:val="auto"/>
        </w:rPr>
        <w:t>​</w:t>
      </w:r>
    </w:p>
    <w:p>
      <w:pPr>
        <w:spacing w:after="0" w:line="47" w:lineRule="exact"/>
        <w:rPr>
          <w:sz w:val="24"/>
          <w:szCs w:val="24"/>
          <w:color w:val="auto"/>
        </w:rPr>
      </w:pPr>
    </w:p>
    <w:tbl>
      <w:tblPr>
        <w:tblLayout w:type="fixed"/>
        <w:tblInd w:w="72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320" w:type="dxa"/>
            <w:vAlign w:val="bottom"/>
            <w:gridSpan w:val="3"/>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8"/>
              </w:rPr>
              <w:t>SEE TABLE OF ADDITIONAL REGISTRANT GUARANTOR</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244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b w:val="1"/>
                <w:bCs w:val="1"/>
                <w:color w:val="auto"/>
              </w:rPr>
              <w:t>Delaware</w:t>
            </w: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spacing w:after="0"/>
              <w:rPr>
                <w:sz w:val="10"/>
                <w:szCs w:val="10"/>
                <w:color w:val="auto"/>
              </w:rPr>
            </w:pPr>
          </w:p>
        </w:tc>
        <w:tc>
          <w:tcPr>
            <w:tcW w:w="2360" w:type="dxa"/>
            <w:vAlign w:val="bottom"/>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73-1309529</w:t>
            </w: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440" w:type="dxa"/>
            <w:vAlign w:val="bottom"/>
            <w:vMerge w:val="continue"/>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w:t>
            </w:r>
          </w:p>
        </w:tc>
        <w:tc>
          <w:tcPr>
            <w:tcW w:w="2360" w:type="dxa"/>
            <w:vAlign w:val="bottom"/>
            <w:vMerge w:val="continue"/>
          </w:tcPr>
          <w:p>
            <w:pPr>
              <w:spacing w:after="0"/>
              <w:rPr>
                <w:sz w:val="20"/>
                <w:szCs w:val="20"/>
                <w:color w:val="auto"/>
              </w:rPr>
            </w:pPr>
          </w:p>
        </w:tc>
        <w:tc>
          <w:tcPr>
            <w:tcW w:w="680" w:type="dxa"/>
            <w:vAlign w:val="bottom"/>
          </w:tcPr>
          <w:p>
            <w:pPr>
              <w:ind w:left="6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244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15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244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4"/>
                <w:szCs w:val="14"/>
                <w:color w:val="auto"/>
              </w:rPr>
              <w:t>​</w:t>
            </w:r>
          </w:p>
        </w:tc>
        <w:tc>
          <w:tcPr>
            <w:tcW w:w="15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Number)</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800 Capitol Street, Suite 3000</w:t>
      </w:r>
    </w:p>
    <w:p>
      <w:pPr>
        <w:spacing w:after="0" w:line="1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Houston, Texas 77002</w:t>
      </w:r>
    </w:p>
    <w:p>
      <w:pPr>
        <w:ind w:left="4100"/>
        <w:spacing w:after="0" w:line="236" w:lineRule="auto"/>
        <w:rPr>
          <w:sz w:val="20"/>
          <w:szCs w:val="20"/>
          <w:color w:val="auto"/>
        </w:rPr>
      </w:pPr>
      <w:r>
        <w:rPr>
          <w:rFonts w:ascii="Times New Roman" w:cs="Times New Roman" w:eastAsia="Times New Roman" w:hAnsi="Times New Roman"/>
          <w:sz w:val="13"/>
          <w:szCs w:val="13"/>
          <w:b w:val="1"/>
          <w:bCs w:val="1"/>
          <w:color w:val="auto"/>
        </w:rPr>
        <w:t>(713) 512-6200</w:t>
      </w:r>
    </w:p>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67310</wp:posOffset>
            </wp:positionV>
            <wp:extent cx="9601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19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Charles C. Boettcher</w:t>
      </w:r>
    </w:p>
    <w:p>
      <w:pPr>
        <w:spacing w:after="0" w:line="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Chief Legal Officer</w:t>
      </w:r>
    </w:p>
    <w:p>
      <w:pPr>
        <w:ind w:left="3820"/>
        <w:spacing w:after="0" w:line="236" w:lineRule="auto"/>
        <w:rPr>
          <w:sz w:val="20"/>
          <w:szCs w:val="20"/>
          <w:color w:val="auto"/>
        </w:rPr>
      </w:pPr>
      <w:r>
        <w:rPr>
          <w:rFonts w:ascii="Times New Roman" w:cs="Times New Roman" w:eastAsia="Times New Roman" w:hAnsi="Times New Roman"/>
          <w:sz w:val="13"/>
          <w:szCs w:val="13"/>
          <w:b w:val="1"/>
          <w:bCs w:val="1"/>
          <w:color w:val="auto"/>
        </w:rPr>
        <w:t>Waste Management, Inc.</w:t>
      </w:r>
    </w:p>
    <w:p>
      <w:pPr>
        <w:ind w:left="3680"/>
        <w:spacing w:after="0" w:line="236" w:lineRule="auto"/>
        <w:rPr>
          <w:sz w:val="20"/>
          <w:szCs w:val="20"/>
          <w:color w:val="auto"/>
        </w:rPr>
      </w:pPr>
      <w:r>
        <w:rPr>
          <w:rFonts w:ascii="Times New Roman" w:cs="Times New Roman" w:eastAsia="Times New Roman" w:hAnsi="Times New Roman"/>
          <w:sz w:val="13"/>
          <w:szCs w:val="13"/>
          <w:b w:val="1"/>
          <w:bCs w:val="1"/>
          <w:color w:val="auto"/>
        </w:rPr>
        <w:t>800 Capitol Street, Suite 3000</w:t>
      </w:r>
    </w:p>
    <w:p>
      <w:pPr>
        <w:ind w:left="3900"/>
        <w:spacing w:after="0" w:line="236" w:lineRule="auto"/>
        <w:rPr>
          <w:sz w:val="20"/>
          <w:szCs w:val="20"/>
          <w:color w:val="auto"/>
        </w:rPr>
      </w:pPr>
      <w:r>
        <w:rPr>
          <w:rFonts w:ascii="Times New Roman" w:cs="Times New Roman" w:eastAsia="Times New Roman" w:hAnsi="Times New Roman"/>
          <w:sz w:val="13"/>
          <w:szCs w:val="13"/>
          <w:b w:val="1"/>
          <w:bCs w:val="1"/>
          <w:color w:val="auto"/>
        </w:rPr>
        <w:t>Houston, Texas 77002</w:t>
      </w:r>
    </w:p>
    <w:p>
      <w:pPr>
        <w:ind w:left="4100"/>
        <w:spacing w:after="0"/>
        <w:rPr>
          <w:sz w:val="20"/>
          <w:szCs w:val="20"/>
          <w:color w:val="auto"/>
        </w:rPr>
      </w:pPr>
      <w:r>
        <w:rPr>
          <w:rFonts w:ascii="Times New Roman" w:cs="Times New Roman" w:eastAsia="Times New Roman" w:hAnsi="Times New Roman"/>
          <w:sz w:val="13"/>
          <w:szCs w:val="13"/>
          <w:b w:val="1"/>
          <w:bCs w:val="1"/>
          <w:color w:val="auto"/>
        </w:rPr>
        <w:t>(713) 512-6200</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67310</wp:posOffset>
            </wp:positionV>
            <wp:extent cx="9601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193" w:lineRule="exact"/>
        <w:rPr>
          <w:sz w:val="24"/>
          <w:szCs w:val="24"/>
          <w:color w:val="auto"/>
        </w:rPr>
      </w:pPr>
    </w:p>
    <w:p>
      <w:pPr>
        <w:ind w:left="720" w:right="899" w:firstLine="280"/>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the Registration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Statement.</w:t>
      </w:r>
    </w:p>
    <w:p>
      <w:pPr>
        <w:spacing w:after="0" w:line="15" w:lineRule="exact"/>
        <w:rPr>
          <w:sz w:val="24"/>
          <w:szCs w:val="24"/>
          <w:color w:val="auto"/>
        </w:rPr>
      </w:pPr>
    </w:p>
    <w:p>
      <w:pPr>
        <w:ind w:left="720" w:right="919" w:firstLine="280"/>
        <w:spacing w:after="0" w:line="17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720" w:right="739" w:firstLine="280"/>
        <w:spacing w:after="0" w:line="175"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55" w:lineRule="exact"/>
        <w:rPr>
          <w:sz w:val="24"/>
          <w:szCs w:val="24"/>
          <w:color w:val="auto"/>
        </w:rPr>
      </w:pPr>
    </w:p>
    <w:p>
      <w:pPr>
        <w:ind w:left="720" w:right="799" w:firstLine="280"/>
        <w:spacing w:after="0" w:line="175"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55" w:lineRule="exact"/>
        <w:rPr>
          <w:sz w:val="24"/>
          <w:szCs w:val="24"/>
          <w:color w:val="auto"/>
        </w:rPr>
      </w:pPr>
    </w:p>
    <w:p>
      <w:pPr>
        <w:ind w:left="720" w:right="759" w:firstLine="280"/>
        <w:spacing w:after="0" w:line="170"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 w:lineRule="exact"/>
        <w:rPr>
          <w:sz w:val="24"/>
          <w:szCs w:val="24"/>
          <w:color w:val="auto"/>
        </w:rPr>
      </w:pPr>
    </w:p>
    <w:p>
      <w:pPr>
        <w:ind w:left="720" w:right="1119" w:firstLine="280"/>
        <w:spacing w:after="0" w:line="170"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720" w:right="939" w:firstLine="280"/>
        <w:spacing w:after="0" w:line="170"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720" w:right="759" w:firstLine="280"/>
        <w:spacing w:after="0" w:line="25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720" w:type="dxa"/>
        <w:tblCellMar>
          <w:top w:w="0" w:type="dxa"/>
          <w:left w:w="0" w:type="dxa"/>
          <w:bottom w:w="0" w:type="dxa"/>
          <w:right w:w="0" w:type="dxa"/>
        </w:tblCellMar>
      </w:tblPr>
      <w:tr>
        <w:trPr>
          <w:trHeight w:val="16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Large​</w:t>
            </w:r>
          </w:p>
        </w:tc>
        <w:tc>
          <w:tcPr>
            <w:tcW w:w="126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1780" w:type="dxa"/>
            <w:vAlign w:val="bottom"/>
          </w:tcPr>
          <w:p>
            <w:pPr>
              <w:ind w:left="160"/>
              <w:spacing w:after="0" w:line="150" w:lineRule="exact"/>
              <w:rPr>
                <w:sz w:val="20"/>
                <w:szCs w:val="20"/>
                <w:color w:val="auto"/>
              </w:rPr>
            </w:pPr>
            <w:r>
              <w:rPr>
                <w:rFonts w:ascii="Times New Roman" w:cs="Times New Roman" w:eastAsia="Times New Roman" w:hAnsi="Times New Roman"/>
                <w:sz w:val="13"/>
                <w:szCs w:val="13"/>
                <w:color w:val="auto"/>
              </w:rPr>
              <w:t xml:space="preserve">​ ​ Accelerated filer </w:t>
            </w:r>
            <w:r>
              <w:rPr>
                <w:rFonts w:ascii="MS PGothic" w:cs="MS PGothic" w:eastAsia="MS PGothic" w:hAnsi="MS PGothic"/>
                <w:sz w:val="13"/>
                <w:szCs w:val="13"/>
                <w:color w:val="auto"/>
              </w:rPr>
              <w:t>☐</w:t>
            </w:r>
          </w:p>
        </w:tc>
        <w:tc>
          <w:tcPr>
            <w:tcW w:w="2040" w:type="dxa"/>
            <w:vAlign w:val="bottom"/>
          </w:tcPr>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 ​ Non-accelerated filer </w:t>
            </w:r>
            <w:r>
              <w:rPr>
                <w:rFonts w:ascii="MS PGothic" w:cs="MS PGothic" w:eastAsia="MS PGothic" w:hAnsi="MS PGothic"/>
                <w:sz w:val="13"/>
                <w:szCs w:val="13"/>
                <w:color w:val="auto"/>
              </w:rPr>
              <w:t>☐</w:t>
            </w:r>
          </w:p>
        </w:tc>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 ​ Smaller reporting company</w:t>
            </w:r>
          </w:p>
        </w:tc>
        <w:tc>
          <w:tcPr>
            <w:tcW w:w="240" w:type="dxa"/>
            <w:vAlign w:val="bottom"/>
          </w:tcPr>
          <w:p>
            <w:pPr>
              <w:ind w:left="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tc>
      </w:tr>
      <w:tr>
        <w:trPr>
          <w:trHeight w:val="350"/>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24"/>
                <w:szCs w:val="24"/>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 ​</w:t>
            </w:r>
          </w:p>
        </w:tc>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 ​ ​</w:t>
            </w:r>
          </w:p>
        </w:tc>
        <w:tc>
          <w:tcPr>
            <w:tcW w:w="1940" w:type="dxa"/>
            <w:vAlign w:val="bottom"/>
          </w:tcPr>
          <w:p>
            <w:pPr>
              <w:ind w:left="200"/>
              <w:spacing w:after="0"/>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240" w:type="dxa"/>
            <w:vAlign w:val="bottom"/>
          </w:tcPr>
          <w:p>
            <w:pPr>
              <w:ind w:left="80"/>
              <w:spacing w:after="0" w:line="299"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26"/>
                <w:szCs w:val="26"/>
                <w:color w:val="auto"/>
                <w:vertAlign w:val="superscript"/>
              </w:rPr>
              <w:t>​</w:t>
            </w:r>
          </w:p>
        </w:tc>
      </w:tr>
    </w:tbl>
    <w:p>
      <w:pPr>
        <w:spacing w:after="0" w:line="17" w:lineRule="exact"/>
        <w:rPr>
          <w:sz w:val="24"/>
          <w:szCs w:val="24"/>
          <w:color w:val="auto"/>
        </w:rPr>
      </w:pPr>
    </w:p>
    <w:p>
      <w:pPr>
        <w:ind w:left="720" w:right="859" w:firstLine="280"/>
        <w:spacing w:after="0" w:line="17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452755</wp:posOffset>
            </wp:positionH>
            <wp:positionV relativeFrom="paragraph">
              <wp:posOffset>35560</wp:posOffset>
            </wp:positionV>
            <wp:extent cx="48152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15205" cy="6985"/>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452755</wp:posOffset>
            </wp:positionH>
            <wp:positionV relativeFrom="paragraph">
              <wp:posOffset>1905</wp:posOffset>
            </wp:positionV>
            <wp:extent cx="48152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15205" cy="133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195580</wp:posOffset>
            </wp:positionV>
            <wp:extent cx="53206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ADDITIONAL REGISTRANT GUARANTOR</w:t>
      </w:r>
    </w:p>
    <w:p>
      <w:pPr>
        <w:spacing w:after="0" w:line="151"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State or Other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Jurisdiction of</w:t>
            </w:r>
          </w:p>
        </w:tc>
        <w:tc>
          <w:tcPr>
            <w:tcW w:w="18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I.R.S. Employer</w:t>
            </w:r>
          </w:p>
        </w:tc>
      </w:tr>
      <w:tr>
        <w:trPr>
          <w:trHeight w:val="126"/>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Incorporation or</w:t>
            </w:r>
          </w:p>
        </w:tc>
        <w:tc>
          <w:tcPr>
            <w:tcW w:w="180" w:type="dxa"/>
            <w:vAlign w:val="bottom"/>
          </w:tcPr>
          <w:p>
            <w:pPr>
              <w:spacing w:after="0"/>
              <w:rPr>
                <w:sz w:val="10"/>
                <w:szCs w:val="10"/>
                <w:color w:val="auto"/>
              </w:rPr>
            </w:pPr>
          </w:p>
        </w:tc>
        <w:tc>
          <w:tcPr>
            <w:tcW w:w="800" w:type="dxa"/>
            <w:vAlign w:val="bottom"/>
            <w:gridSpan w:val="2"/>
          </w:tcPr>
          <w:p>
            <w:pPr>
              <w:jc w:val="center"/>
              <w:ind w:right="10"/>
              <w:spacing w:after="0"/>
              <w:rPr>
                <w:sz w:val="20"/>
                <w:szCs w:val="20"/>
                <w:color w:val="auto"/>
              </w:rPr>
            </w:pPr>
            <w:r>
              <w:rPr>
                <w:rFonts w:ascii="Times New Roman" w:cs="Times New Roman" w:eastAsia="Times New Roman" w:hAnsi="Times New Roman"/>
                <w:sz w:val="11"/>
                <w:szCs w:val="11"/>
                <w:b w:val="1"/>
                <w:bCs w:val="1"/>
                <w:color w:val="auto"/>
                <w:w w:val="94"/>
              </w:rPr>
              <w:t>Identification</w:t>
            </w:r>
          </w:p>
        </w:tc>
      </w:tr>
      <w:tr>
        <w:trPr>
          <w:trHeight w:val="166"/>
        </w:trPr>
        <w:tc>
          <w:tcPr>
            <w:tcW w:w="4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Exact Name of Additional Registrant as Specified in its Charter*</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Organization</w:t>
            </w:r>
          </w:p>
        </w:tc>
        <w:tc>
          <w:tcPr>
            <w:tcW w:w="980" w:type="dxa"/>
            <w:vAlign w:val="bottom"/>
            <w:gridSpan w:val="3"/>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Number   </w:t>
            </w:r>
            <w:r>
              <w:rPr>
                <w:rFonts w:ascii="Times New Roman" w:cs="Times New Roman" w:eastAsia="Times New Roman" w:hAnsi="Times New Roman"/>
                <w:sz w:val="19"/>
                <w:szCs w:val="19"/>
                <w:b w:val="1"/>
                <w:bCs w:val="1"/>
                <w:color w:val="auto"/>
                <w:vertAlign w:val="subscript"/>
              </w:rPr>
              <w:t>​</w:t>
            </w:r>
          </w:p>
        </w:tc>
      </w:tr>
      <w:tr>
        <w:trPr>
          <w:trHeight w:val="20"/>
        </w:trPr>
        <w:tc>
          <w:tcPr>
            <w:tcW w:w="4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Waste Management Holdings, Inc.</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Delaware</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36-2660763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-132715</wp:posOffset>
            </wp:positionV>
            <wp:extent cx="1066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-132715</wp:posOffset>
            </wp:positionV>
            <wp:extent cx="1066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113665</wp:posOffset>
            </wp:positionV>
            <wp:extent cx="96012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259" w:lineRule="exact"/>
        <w:rPr>
          <w:sz w:val="20"/>
          <w:szCs w:val="20"/>
          <w:color w:val="auto"/>
        </w:rPr>
      </w:pPr>
    </w:p>
    <w:p>
      <w:pPr>
        <w:ind w:left="1600" w:right="1439" w:hanging="289"/>
        <w:spacing w:after="0" w:line="257" w:lineRule="auto"/>
        <w:tabs>
          <w:tab w:leader="none" w:pos="1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additional registrant is a direct wholly owned subsidiary of Waste Management, Inc. The address, including zip code, and telephone number, including area code, of the additional registrant’s principal executive offices is 800 Capitol Street, Suite 3000, Houston, Texas 77002, telephone (713) 512-6200. The name, address, including zip code, and telephone number, including area code, of the agent for service for the additional registrant is Charles C. Boettcher, Chief Legal Officer, Waste Management, Inc., 800 Capitol Street, Suite 3000, Houston, Texas 77002, telephone (713)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4828540</wp:posOffset>
            </wp:positionV>
            <wp:extent cx="53206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p>
    <w:p>
      <w:pPr>
        <w:spacing w:after="0" w:line="38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101600</wp:posOffset>
            </wp:positionV>
            <wp:extent cx="1920875" cy="513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8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COMMON STOCK</w:t>
      </w:r>
    </w:p>
    <w:p>
      <w:pPr>
        <w:ind w:left="3540"/>
        <w:spacing w:after="0" w:line="230" w:lineRule="auto"/>
        <w:rPr>
          <w:sz w:val="20"/>
          <w:szCs w:val="20"/>
          <w:color w:val="auto"/>
        </w:rPr>
      </w:pPr>
      <w:r>
        <w:rPr>
          <w:rFonts w:ascii="Times New Roman" w:cs="Times New Roman" w:eastAsia="Times New Roman" w:hAnsi="Times New Roman"/>
          <w:sz w:val="20"/>
          <w:szCs w:val="20"/>
          <w:b w:val="1"/>
          <w:bCs w:val="1"/>
          <w:color w:val="auto"/>
        </w:rPr>
        <w:t>PREFERRED STOCK</w:t>
      </w:r>
    </w:p>
    <w:p>
      <w:pPr>
        <w:ind w:left="3940"/>
        <w:spacing w:after="0"/>
        <w:rPr>
          <w:sz w:val="20"/>
          <w:szCs w:val="20"/>
          <w:color w:val="auto"/>
        </w:rPr>
      </w:pPr>
      <w:r>
        <w:rPr>
          <w:rFonts w:ascii="Times New Roman" w:cs="Times New Roman" w:eastAsia="Times New Roman" w:hAnsi="Times New Roman"/>
          <w:sz w:val="20"/>
          <w:szCs w:val="20"/>
          <w:b w:val="1"/>
          <w:bCs w:val="1"/>
          <w:color w:val="auto"/>
        </w:rPr>
        <w:t>WARRANTS</w:t>
      </w:r>
    </w:p>
    <w:p>
      <w:pPr>
        <w:ind w:left="3820"/>
        <w:spacing w:after="0" w:line="231" w:lineRule="auto"/>
        <w:rPr>
          <w:sz w:val="20"/>
          <w:szCs w:val="20"/>
          <w:color w:val="auto"/>
        </w:rPr>
      </w:pPr>
      <w:r>
        <w:rPr>
          <w:rFonts w:ascii="Times New Roman" w:cs="Times New Roman" w:eastAsia="Times New Roman" w:hAnsi="Times New Roman"/>
          <w:sz w:val="20"/>
          <w:szCs w:val="20"/>
          <w:b w:val="1"/>
          <w:bCs w:val="1"/>
          <w:color w:val="auto"/>
        </w:rPr>
        <w:t>GUARANTEES</w:t>
      </w:r>
    </w:p>
    <w:p>
      <w:pPr>
        <w:ind w:left="42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87" w:lineRule="exact"/>
        <w:rPr>
          <w:sz w:val="20"/>
          <w:szCs w:val="20"/>
          <w:color w:val="auto"/>
        </w:rPr>
      </w:pPr>
    </w:p>
    <w:p>
      <w:pPr>
        <w:ind w:left="1320" w:right="1319" w:firstLine="280"/>
        <w:spacing w:after="0" w:line="261" w:lineRule="auto"/>
        <w:rPr>
          <w:sz w:val="20"/>
          <w:szCs w:val="20"/>
          <w:color w:val="auto"/>
        </w:rPr>
      </w:pPr>
      <w:r>
        <w:rPr>
          <w:rFonts w:ascii="Times New Roman" w:cs="Times New Roman" w:eastAsia="Times New Roman" w:hAnsi="Times New Roman"/>
          <w:sz w:val="14"/>
          <w:szCs w:val="14"/>
          <w:color w:val="auto"/>
        </w:rPr>
        <w:t>We or selling securityholders may from time to time offer to sell the following securities in one or more classes or series in amounts, at prices and on terms that will be determined at the time of the offering:</w:t>
      </w:r>
    </w:p>
    <w:p>
      <w:pPr>
        <w:spacing w:after="0" w:line="1" w:lineRule="exact"/>
        <w:rPr>
          <w:sz w:val="20"/>
          <w:szCs w:val="20"/>
          <w:color w:val="auto"/>
        </w:rPr>
      </w:pPr>
    </w:p>
    <w:p>
      <w:pPr>
        <w:ind w:left="1320" w:right="1379" w:hanging="9"/>
        <w:spacing w:after="0" w:line="253" w:lineRule="auto"/>
        <w:tabs>
          <w:tab w:leader="none" w:pos="149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of Waste Management, Inc., (ii) common stock, par value $0.01 per share (“common stock”), (iii) preferred stock, $0.01 par value per share (“preferred stock”), (iv) warrants to purchase any of the other securities that may be sold under this prospectus, (v) guarantees with respect to our debt securities issued by Waste Management Holdings, Inc. (“Waste Management Holdings”), a direct wholly owned subsidiary of Waste Management, Inc., and (vi) units consisting of any of the securities listed herein.</w:t>
      </w:r>
    </w:p>
    <w:p>
      <w:pPr>
        <w:spacing w:after="0" w:line="93" w:lineRule="exact"/>
        <w:rPr>
          <w:sz w:val="20"/>
          <w:szCs w:val="20"/>
          <w:color w:val="auto"/>
        </w:rPr>
      </w:pPr>
    </w:p>
    <w:p>
      <w:pPr>
        <w:ind w:left="1320" w:right="1379" w:firstLine="280"/>
        <w:spacing w:after="0" w:line="261" w:lineRule="auto"/>
        <w:rPr>
          <w:sz w:val="20"/>
          <w:szCs w:val="20"/>
          <w:color w:val="auto"/>
        </w:rPr>
      </w:pPr>
      <w:r>
        <w:rPr>
          <w:rFonts w:ascii="Times New Roman" w:cs="Times New Roman" w:eastAsia="Times New Roman" w:hAnsi="Times New Roman"/>
          <w:sz w:val="14"/>
          <w:szCs w:val="14"/>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77" w:lineRule="exact"/>
        <w:rPr>
          <w:sz w:val="20"/>
          <w:szCs w:val="20"/>
          <w:color w:val="auto"/>
        </w:rPr>
      </w:pPr>
    </w:p>
    <w:p>
      <w:pPr>
        <w:ind w:left="1320" w:right="1559" w:firstLine="280"/>
        <w:spacing w:after="0" w:line="282"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“WM.” The closing price for our common stock on July 29, 2025, was $235.56 per share, as reported on the NYSE.</w:t>
      </w:r>
    </w:p>
    <w:p>
      <w:pPr>
        <w:spacing w:after="0" w:line="73" w:lineRule="exact"/>
        <w:rPr>
          <w:sz w:val="20"/>
          <w:szCs w:val="20"/>
          <w:color w:val="auto"/>
        </w:rPr>
      </w:pPr>
    </w:p>
    <w:p>
      <w:pPr>
        <w:ind w:left="1320" w:right="1559" w:firstLine="280"/>
        <w:spacing w:after="0" w:line="282" w:lineRule="auto"/>
        <w:rPr>
          <w:sz w:val="20"/>
          <w:szCs w:val="20"/>
          <w:color w:val="auto"/>
        </w:rPr>
      </w:pPr>
      <w:r>
        <w:rPr>
          <w:rFonts w:ascii="Times New Roman" w:cs="Times New Roman" w:eastAsia="Times New Roman" w:hAnsi="Times New Roman"/>
          <w:sz w:val="14"/>
          <w:szCs w:val="14"/>
          <w:color w:val="auto"/>
        </w:rPr>
        <w:t>Our principal executive offices are located at 800 Capitol Street, Suite 3000, Houston, Texas 77002, and our telephone number at that address is (713) 512-6200.</w:t>
      </w:r>
    </w:p>
    <w:p>
      <w:pPr>
        <w:spacing w:after="0" w:line="71" w:lineRule="exact"/>
        <w:rPr>
          <w:sz w:val="20"/>
          <w:szCs w:val="20"/>
          <w:color w:val="auto"/>
        </w:rPr>
      </w:pPr>
    </w:p>
    <w:p>
      <w:pPr>
        <w:jc w:val="both"/>
        <w:ind w:left="1320" w:right="1439" w:firstLine="280"/>
        <w:spacing w:after="0" w:line="298"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See “</w:t>
      </w:r>
      <w:r>
        <w:rPr>
          <w:rFonts w:ascii="Times New Roman" w:cs="Times New Roman" w:eastAsia="Times New Roman" w:hAnsi="Times New Roman"/>
          <w:sz w:val="13"/>
          <w:szCs w:val="13"/>
          <w:b w:val="1"/>
          <w:bCs w:val="1"/>
          <w:i w:val="1"/>
          <w:iCs w:val="1"/>
          <w:color w:val="auto"/>
        </w:rPr>
        <w:t>Risk Factors</w:t>
      </w:r>
      <w:r>
        <w:rPr>
          <w:rFonts w:ascii="Times New Roman" w:cs="Times New Roman" w:eastAsia="Times New Roman" w:hAnsi="Times New Roman"/>
          <w:sz w:val="13"/>
          <w:szCs w:val="13"/>
          <w:b w:val="1"/>
          <w:bCs w:val="1"/>
          <w:color w:val="auto"/>
        </w:rPr>
        <w:t xml:space="preserve">” on page </w:t>
      </w:r>
      <w:r>
        <w:rPr>
          <w:rFonts w:ascii="Times New Roman" w:cs="Times New Roman" w:eastAsia="Times New Roman" w:hAnsi="Times New Roman"/>
          <w:sz w:val="13"/>
          <w:szCs w:val="13"/>
          <w:b w:val="1"/>
          <w:bCs w:val="1"/>
          <w:u w:val="single" w:color="auto"/>
          <w:color w:val="0000EE"/>
        </w:rPr>
        <w:t>7</w:t>
      </w:r>
      <w:r>
        <w:rPr>
          <w:rFonts w:ascii="Times New Roman" w:cs="Times New Roman" w:eastAsia="Times New Roman" w:hAnsi="Times New Roman"/>
          <w:sz w:val="13"/>
          <w:szCs w:val="13"/>
          <w:b w:val="1"/>
          <w:bCs w:val="1"/>
          <w:color w:val="auto"/>
        </w:rPr>
        <w:t xml:space="preserve"> of this prospectus, the risk factors included in our periodic reports that we file with the Securities and Exchange Commission and incorporate by reference herein and the applicable prospectus supplement before you invest in our securities.</w:t>
      </w:r>
    </w:p>
    <w:p>
      <w:pPr>
        <w:spacing w:after="0" w:line="52" w:lineRule="exact"/>
        <w:rPr>
          <w:sz w:val="20"/>
          <w:szCs w:val="20"/>
          <w:color w:val="auto"/>
        </w:rPr>
      </w:pPr>
    </w:p>
    <w:p>
      <w:pPr>
        <w:jc w:val="both"/>
        <w:ind w:left="1320" w:right="139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This prospectus is dated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to make any representations other than those contained in, or incorporate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U.S.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163830</wp:posOffset>
            </wp:positionV>
            <wp:extent cx="96012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000" w:type="dxa"/>
            <w:vAlign w:val="bottom"/>
            <w:gridSpan w:val="15"/>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Forward-Looking Statements</w:t>
            </w:r>
          </w:p>
        </w:tc>
        <w:tc>
          <w:tcPr>
            <w:tcW w:w="13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1</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66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EE"/>
              </w:rPr>
              <w:t>About this Prospectus</w:t>
            </w:r>
          </w:p>
        </w:tc>
        <w:tc>
          <w:tcPr>
            <w:tcW w:w="3340" w:type="dxa"/>
            <w:vAlign w:val="bottom"/>
            <w:gridSpan w:val="5"/>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940" w:type="dxa"/>
            <w:vAlign w:val="bottom"/>
            <w:tcBorders>
              <w:bottom w:val="single" w:sz="8" w:color="CCEEFF"/>
            </w:tcBorders>
            <w:gridSpan w:val="1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06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20" w:type="dxa"/>
            <w:vAlign w:val="bottom"/>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680" w:type="dxa"/>
            <w:vAlign w:val="bottom"/>
            <w:gridSpan w:val="2"/>
          </w:tcPr>
          <w:p>
            <w:pPr>
              <w:spacing w:after="0" w:line="20" w:lineRule="exact"/>
              <w:rPr>
                <w:sz w:val="1"/>
                <w:szCs w:val="1"/>
                <w:color w:val="auto"/>
              </w:rPr>
            </w:pPr>
          </w:p>
        </w:tc>
        <w:tc>
          <w:tcPr>
            <w:tcW w:w="130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The Company</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0" w:type="dxa"/>
            <w:vAlign w:val="bottom"/>
            <w:tcBorders>
              <w:bottom w:val="single" w:sz="8" w:color="CCEEFF"/>
            </w:tcBorders>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gridSpan w:val="2"/>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3000" w:type="dxa"/>
            <w:vAlign w:val="bottom"/>
            <w:tcBorders>
              <w:bottom w:val="single" w:sz="8" w:color="CCEEFF"/>
            </w:tcBorders>
            <w:gridSpan w:val="3"/>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20" w:type="dxa"/>
            <w:vAlign w:val="bottom"/>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30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gridSpan w:val="2"/>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3000" w:type="dxa"/>
            <w:vAlign w:val="bottom"/>
            <w:tcBorders>
              <w:bottom w:val="single" w:sz="8" w:color="CCEEFF"/>
            </w:tcBorders>
            <w:gridSpan w:val="3"/>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Description of the Debt Securities</w:t>
            </w: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xml:space="preserve">​ </w:t>
            </w:r>
            <w:r>
              <w:rPr>
                <w:rFonts w:ascii="Times New Roman" w:cs="Times New Roman" w:eastAsia="Times New Roman" w:hAnsi="Times New Roman"/>
                <w:sz w:val="11"/>
                <w:szCs w:val="11"/>
                <w:color w:val="0000EE"/>
                <w:w w:val="72"/>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000" w:type="dxa"/>
            <w:vAlign w:val="bottom"/>
            <w:gridSpan w:val="3"/>
          </w:tcPr>
          <w:p>
            <w:pPr>
              <w:spacing w:after="0" w:line="20" w:lineRule="exact"/>
              <w:rPr>
                <w:sz w:val="1"/>
                <w:szCs w:val="1"/>
                <w:color w:val="auto"/>
              </w:rPr>
            </w:pPr>
          </w:p>
        </w:tc>
        <w:tc>
          <w:tcPr>
            <w:tcW w:w="130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Guarantees</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3180" w:type="dxa"/>
            <w:vAlign w:val="bottom"/>
            <w:tcBorders>
              <w:bottom w:val="single" w:sz="8" w:color="CCEEFF"/>
            </w:tcBorders>
            <w:gridSpan w:val="4"/>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6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130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Other Securities</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820" w:type="dxa"/>
            <w:vAlign w:val="bottom"/>
            <w:tcBorders>
              <w:bottom w:val="single" w:sz="8" w:color="CCEEFF"/>
            </w:tcBorders>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180" w:type="dxa"/>
            <w:vAlign w:val="bottom"/>
            <w:tcBorders>
              <w:bottom w:val="single" w:sz="8" w:color="CCEEFF"/>
            </w:tcBorders>
            <w:gridSpan w:val="4"/>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60" w:type="dxa"/>
            <w:vAlign w:val="bottom"/>
            <w:gridSpan w:val="6"/>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gridSpan w:val="2"/>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30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Selling Securityholders</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CCEEFF"/>
            </w:tcBorders>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640" w:type="dxa"/>
            <w:vAlign w:val="bottom"/>
            <w:tcBorders>
              <w:bottom w:val="single" w:sz="8" w:color="CCEEFF"/>
            </w:tcBorders>
            <w:gridSpan w:val="7"/>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200" w:type="dxa"/>
            <w:vAlign w:val="bottom"/>
            <w:gridSpan w:val="12"/>
          </w:tcPr>
          <w:p>
            <w:pPr>
              <w:spacing w:after="0" w:line="20" w:lineRule="exact"/>
              <w:rPr>
                <w:sz w:val="1"/>
                <w:szCs w:val="1"/>
                <w:color w:val="auto"/>
              </w:rPr>
            </w:pPr>
          </w:p>
        </w:tc>
        <w:tc>
          <w:tcPr>
            <w:tcW w:w="130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4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60" w:type="dxa"/>
            <w:vAlign w:val="bottom"/>
            <w:tcBorders>
              <w:bottom w:val="single" w:sz="8" w:color="CCEEFF"/>
            </w:tcBorders>
            <w:gridSpan w:val="14"/>
            <w:shd w:val="clear" w:color="auto" w:fill="CCEEFF"/>
          </w:tcPr>
          <w:p>
            <w:pPr>
              <w:spacing w:after="0" w:line="20" w:lineRule="exact"/>
              <w:rPr>
                <w:sz w:val="1"/>
                <w:szCs w:val="1"/>
                <w:color w:val="auto"/>
              </w:rPr>
            </w:pPr>
          </w:p>
        </w:tc>
        <w:tc>
          <w:tcPr>
            <w:tcW w:w="130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ind w:left="1320" w:right="1459" w:firstLine="280"/>
        <w:spacing w:after="0" w:line="25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95" w:lineRule="exact"/>
        <w:rPr>
          <w:sz w:val="20"/>
          <w:szCs w:val="20"/>
          <w:color w:val="auto"/>
        </w:rPr>
      </w:pPr>
    </w:p>
    <w:p>
      <w:pPr>
        <w:ind w:left="1320" w:right="1379" w:firstLine="280"/>
        <w:spacing w:after="0" w:line="254" w:lineRule="auto"/>
        <w:rPr>
          <w:sz w:val="20"/>
          <w:szCs w:val="20"/>
          <w:color w:val="auto"/>
        </w:rPr>
      </w:pPr>
      <w:r>
        <w:rPr>
          <w:rFonts w:ascii="Times New Roman" w:cs="Times New Roman" w:eastAsia="Times New Roman" w:hAnsi="Times New Roman"/>
          <w:sz w:val="14"/>
          <w:szCs w:val="14"/>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2024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Strategy and Operational Risks</w:t>
      </w:r>
    </w:p>
    <w:p>
      <w:pPr>
        <w:spacing w:after="0" w:line="93" w:lineRule="exact"/>
        <w:rPr>
          <w:sz w:val="20"/>
          <w:szCs w:val="20"/>
          <w:color w:val="auto"/>
        </w:rPr>
      </w:pPr>
    </w:p>
    <w:p>
      <w:pPr>
        <w:ind w:left="1740" w:right="1599" w:hanging="149"/>
        <w:spacing w:after="0" w:line="282"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implement our business strategy, our financial performance and our growth could be materially and adversely affected.</w:t>
      </w:r>
    </w:p>
    <w:p>
      <w:pPr>
        <w:spacing w:after="0" w:line="41" w:lineRule="exact"/>
        <w:rPr>
          <w:rFonts w:ascii="Times New Roman" w:cs="Times New Roman" w:eastAsia="Times New Roman" w:hAnsi="Times New Roman"/>
          <w:sz w:val="14"/>
          <w:szCs w:val="14"/>
          <w:color w:val="auto"/>
        </w:rPr>
      </w:pPr>
    </w:p>
    <w:p>
      <w:pPr>
        <w:ind w:left="1740" w:right="1939" w:hanging="149"/>
        <w:spacing w:after="0" w:line="282"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realize the strategic benefits and cost synergies anticipated from the Stericycle acquisition.</w:t>
      </w:r>
    </w:p>
    <w:p>
      <w:pPr>
        <w:spacing w:after="0" w:line="41" w:lineRule="exact"/>
        <w:rPr>
          <w:rFonts w:ascii="Times New Roman" w:cs="Times New Roman" w:eastAsia="Times New Roman" w:hAnsi="Times New Roman"/>
          <w:sz w:val="14"/>
          <w:szCs w:val="14"/>
          <w:color w:val="auto"/>
        </w:rPr>
      </w:pPr>
    </w:p>
    <w:p>
      <w:pPr>
        <w:ind w:left="1740" w:right="1499" w:hanging="149"/>
        <w:spacing w:after="0" w:line="26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operations must comply with extensive existing regulations, and changes in regulations, including with respect to emerging contaminants, such as per- and polyfluoroalkyl substances, and extended producer responsibility, can restrict or alter our operations, increase our operating costs, increase our tax liabilities, reduce revenues, or require us to make additional capital expenditures.</w:t>
      </w:r>
    </w:p>
    <w:p>
      <w:pPr>
        <w:spacing w:after="0" w:line="55" w:lineRule="exact"/>
        <w:rPr>
          <w:rFonts w:ascii="Times New Roman" w:cs="Times New Roman" w:eastAsia="Times New Roman" w:hAnsi="Times New Roman"/>
          <w:sz w:val="14"/>
          <w:szCs w:val="14"/>
          <w:color w:val="auto"/>
        </w:rPr>
      </w:pPr>
    </w:p>
    <w:p>
      <w:pPr>
        <w:ind w:left="1740" w:right="1419" w:hanging="149"/>
        <w:spacing w:after="0" w:line="282"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operational and safety risks, including the risk of injury to employees and others.</w:t>
      </w:r>
    </w:p>
    <w:p>
      <w:pPr>
        <w:spacing w:after="0" w:line="41" w:lineRule="exact"/>
        <w:rPr>
          <w:rFonts w:ascii="Times New Roman" w:cs="Times New Roman" w:eastAsia="Times New Roman" w:hAnsi="Times New Roman"/>
          <w:sz w:val="14"/>
          <w:szCs w:val="14"/>
          <w:color w:val="auto"/>
        </w:rPr>
      </w:pPr>
    </w:p>
    <w:p>
      <w:pPr>
        <w:ind w:left="1740" w:right="1559" w:hanging="149"/>
        <w:spacing w:after="0" w:line="266"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spacing w:after="0" w:line="52" w:lineRule="exact"/>
        <w:rPr>
          <w:rFonts w:ascii="Times New Roman" w:cs="Times New Roman" w:eastAsia="Times New Roman" w:hAnsi="Times New Roman"/>
          <w:sz w:val="14"/>
          <w:szCs w:val="14"/>
          <w:color w:val="auto"/>
        </w:rPr>
      </w:pPr>
    </w:p>
    <w:p>
      <w:pPr>
        <w:ind w:left="1740" w:right="1499" w:hanging="149"/>
        <w:spacing w:after="0" w:line="26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55" w:lineRule="exact"/>
        <w:rPr>
          <w:rFonts w:ascii="Times New Roman" w:cs="Times New Roman" w:eastAsia="Times New Roman" w:hAnsi="Times New Roman"/>
          <w:sz w:val="14"/>
          <w:szCs w:val="14"/>
          <w:color w:val="auto"/>
        </w:rPr>
      </w:pPr>
    </w:p>
    <w:p>
      <w:pPr>
        <w:ind w:left="1740" w:right="1499" w:hanging="149"/>
        <w:spacing w:after="0" w:line="282"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our labor costs as a result of labor unions organizing, changes in regulations related to labor unions or increases in employee minimum wages, could adversely affect our future results.</w:t>
      </w:r>
    </w:p>
    <w:p>
      <w:pPr>
        <w:spacing w:after="0" w:line="41" w:lineRule="exact"/>
        <w:rPr>
          <w:rFonts w:ascii="Times New Roman" w:cs="Times New Roman" w:eastAsia="Times New Roman" w:hAnsi="Times New Roman"/>
          <w:sz w:val="14"/>
          <w:szCs w:val="14"/>
          <w:color w:val="auto"/>
        </w:rPr>
      </w:pPr>
    </w:p>
    <w:p>
      <w:pPr>
        <w:ind w:left="1740" w:right="1439" w:hanging="149"/>
        <w:spacing w:after="0" w:line="266"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seasonal nature of our business, severe weather events resulting from climate change and event driven projects cause our results to fluctuate, and prior performance may not be indicative of our future results.</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and the value of our brand would negatively impact our business.</w:t>
      </w:r>
    </w:p>
    <w:p>
      <w:pPr>
        <w:spacing w:after="0" w:line="91" w:lineRule="exact"/>
        <w:rPr>
          <w:rFonts w:ascii="Times New Roman" w:cs="Times New Roman" w:eastAsia="Times New Roman" w:hAnsi="Times New Roman"/>
          <w:sz w:val="14"/>
          <w:szCs w:val="14"/>
          <w:color w:val="auto"/>
        </w:rPr>
      </w:pPr>
    </w:p>
    <w:p>
      <w:pPr>
        <w:ind w:left="1740" w:right="1359" w:hanging="149"/>
        <w:spacing w:after="0" w:line="259"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519" w:hanging="149"/>
        <w:spacing w:after="0" w:line="261"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achieve our sustainability-related goals, including reduction of our greenhouse gas emissions, or execute on our sustainability-related growth strategy and initiatives, within planned timelines or anticipated budget, which could damage our reputation and negatively impact the benefits anticipated from our investments.</w:t>
      </w:r>
    </w:p>
    <w:p>
      <w:pPr>
        <w:spacing w:after="0" w:line="66" w:lineRule="exact"/>
        <w:rPr>
          <w:rFonts w:ascii="Times New Roman" w:cs="Times New Roman" w:eastAsia="Times New Roman" w:hAnsi="Times New Roman"/>
          <w:sz w:val="14"/>
          <w:szCs w:val="14"/>
          <w:color w:val="auto"/>
        </w:rPr>
      </w:pPr>
    </w:p>
    <w:p>
      <w:pPr>
        <w:ind w:left="1740" w:right="1439" w:hanging="149"/>
        <w:spacing w:after="0" w:line="282"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on, and regulation of, sustainability performance and disclosure can result in increased costs, risk of noncompliance, damage to our reputation and related adverse effects.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External Economic and Industry Risks</w:t>
      </w:r>
    </w:p>
    <w:p>
      <w:pPr>
        <w:spacing w:after="0" w:line="93" w:lineRule="exact"/>
        <w:rPr>
          <w:sz w:val="20"/>
          <w:szCs w:val="20"/>
          <w:color w:val="auto"/>
        </w:rPr>
      </w:pPr>
    </w:p>
    <w:p>
      <w:pPr>
        <w:jc w:val="both"/>
        <w:ind w:left="1740" w:right="1639" w:hanging="149"/>
        <w:spacing w:after="0" w:line="266"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disruption, including labor shortages, external strikes, and supply chain constraints, and macroeconomic pressures, including inflation, have recently had, and may in the future have, an adverse impact on our business and results of operations.</w:t>
      </w:r>
    </w:p>
    <w:p>
      <w:pPr>
        <w:spacing w:after="0" w:line="52" w:lineRule="exact"/>
        <w:rPr>
          <w:rFonts w:ascii="Times New Roman" w:cs="Times New Roman" w:eastAsia="Times New Roman" w:hAnsi="Times New Roman"/>
          <w:sz w:val="14"/>
          <w:szCs w:val="14"/>
          <w:color w:val="auto"/>
        </w:rPr>
      </w:pPr>
    </w:p>
    <w:p>
      <w:pPr>
        <w:jc w:val="both"/>
        <w:ind w:left="1740" w:right="1379" w:hanging="149"/>
        <w:spacing w:after="0" w:line="266"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environmental services industry is highly competitive, and if we cannot successfully compete in the marketplace, our business, financial condition and operating results may be materially adversely affected.</w:t>
      </w:r>
    </w:p>
    <w:p>
      <w:pPr>
        <w:spacing w:after="0" w:line="63" w:lineRule="exact"/>
        <w:rPr>
          <w:rFonts w:ascii="Times New Roman" w:cs="Times New Roman" w:eastAsia="Times New Roman" w:hAnsi="Times New Roman"/>
          <w:sz w:val="14"/>
          <w:szCs w:val="14"/>
          <w:color w:val="auto"/>
        </w:rPr>
      </w:pPr>
    </w:p>
    <w:p>
      <w:pPr>
        <w:ind w:left="1740" w:right="1419" w:hanging="149"/>
        <w:spacing w:after="0" w:line="282"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earnings and cash flows fluctuate based on changes in commodity prices and demand and may fluctuate substantially without notice in the future.</w:t>
      </w:r>
    </w:p>
    <w:p>
      <w:pPr>
        <w:spacing w:after="0" w:line="41" w:lineRule="exact"/>
        <w:rPr>
          <w:rFonts w:ascii="Times New Roman" w:cs="Times New Roman" w:eastAsia="Times New Roman" w:hAnsi="Times New Roman"/>
          <w:sz w:val="14"/>
          <w:szCs w:val="14"/>
          <w:color w:val="auto"/>
        </w:rPr>
      </w:pPr>
    </w:p>
    <w:p>
      <w:pPr>
        <w:ind w:left="1740" w:right="1339" w:hanging="149"/>
        <w:spacing w:after="0" w:line="282"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customer preference for alternatives to landfill disposal and bans on certain types of waste could reduce our landfill volumes and cause our revenues and operating results to decline.</w:t>
      </w:r>
    </w:p>
    <w:p>
      <w:pPr>
        <w:spacing w:after="0" w:line="52" w:lineRule="exact"/>
        <w:rPr>
          <w:rFonts w:ascii="Times New Roman" w:cs="Times New Roman" w:eastAsia="Times New Roman" w:hAnsi="Times New Roman"/>
          <w:sz w:val="14"/>
          <w:szCs w:val="14"/>
          <w:color w:val="auto"/>
        </w:rPr>
      </w:pPr>
    </w:p>
    <w:p>
      <w:pPr>
        <w:ind w:left="1740" w:right="1639" w:hanging="149"/>
        <w:spacing w:after="0" w:line="282"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can directly and adversely affect revenues for our services and our income from operations margins.</w:t>
      </w:r>
    </w:p>
    <w:p>
      <w:pPr>
        <w:spacing w:after="0" w:line="41" w:lineRule="exact"/>
        <w:rPr>
          <w:rFonts w:ascii="Times New Roman" w:cs="Times New Roman" w:eastAsia="Times New Roman" w:hAnsi="Times New Roman"/>
          <w:sz w:val="14"/>
          <w:szCs w:val="14"/>
          <w:color w:val="auto"/>
        </w:rPr>
      </w:pPr>
    </w:p>
    <w:p>
      <w:pPr>
        <w:jc w:val="both"/>
        <w:ind w:left="1740" w:right="1399" w:hanging="149"/>
        <w:spacing w:after="0" w:line="266"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volumes of medical waste, controlled substances wastes, and personal and confidential information, and changing conditions in the healthcare industry, could adversely affect our financial results.</w:t>
      </w:r>
    </w:p>
    <w:p>
      <w:pPr>
        <w:spacing w:after="0" w:line="52" w:lineRule="exact"/>
        <w:rPr>
          <w:rFonts w:ascii="Times New Roman" w:cs="Times New Roman" w:eastAsia="Times New Roman" w:hAnsi="Times New Roman"/>
          <w:sz w:val="14"/>
          <w:szCs w:val="14"/>
          <w:color w:val="auto"/>
        </w:rPr>
      </w:pPr>
    </w:p>
    <w:p>
      <w:pPr>
        <w:ind w:left="1740" w:right="1499" w:hanging="149"/>
        <w:spacing w:after="0" w:line="282"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Weakness in the economy may expose us to credit risk of governmental entities and municipalities and other major customers, which could negatively impact our financial results.</w:t>
      </w:r>
    </w:p>
    <w:p>
      <w:pPr>
        <w:spacing w:after="0" w:line="52" w:lineRule="exact"/>
        <w:rPr>
          <w:rFonts w:ascii="Times New Roman" w:cs="Times New Roman" w:eastAsia="Times New Roman" w:hAnsi="Times New Roman"/>
          <w:sz w:val="14"/>
          <w:szCs w:val="14"/>
          <w:color w:val="auto"/>
        </w:rPr>
      </w:pPr>
    </w:p>
    <w:p>
      <w:pPr>
        <w:jc w:val="both"/>
        <w:ind w:left="1740" w:right="1479" w:hanging="149"/>
        <w:spacing w:after="0" w:line="266"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applicable tax laws and regulation or interpretation thereof or the imposition of new or increased taxes may increase our tax liabilities and could adversely affect our operating results and cash flows.</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in diesel fuel supply or increases in diesel fuel prices may increase our operating expenses</w:t>
      </w:r>
    </w:p>
    <w:p>
      <w:pPr>
        <w:spacing w:after="0" w:line="91" w:lineRule="exact"/>
        <w:rPr>
          <w:rFonts w:ascii="Times New Roman" w:cs="Times New Roman" w:eastAsia="Times New Roman" w:hAnsi="Times New Roman"/>
          <w:sz w:val="14"/>
          <w:szCs w:val="14"/>
          <w:color w:val="auto"/>
        </w:rPr>
      </w:pPr>
    </w:p>
    <w:p>
      <w:pPr>
        <w:ind w:left="1740" w:right="1459" w:hanging="149"/>
        <w:spacing w:after="0" w:line="282"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Large-scale disruption of social and commercial activity and financial markets may have a material adverse impact on our business, financial condition, results of operations and cash flows.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Technology and Information Security Risks</w:t>
      </w:r>
    </w:p>
    <w:p>
      <w:pPr>
        <w:spacing w:after="0" w:line="93" w:lineRule="exact"/>
        <w:rPr>
          <w:sz w:val="20"/>
          <w:szCs w:val="20"/>
          <w:color w:val="auto"/>
        </w:rPr>
      </w:pPr>
    </w:p>
    <w:p>
      <w:pPr>
        <w:ind w:left="1740" w:right="1319" w:hanging="149"/>
        <w:spacing w:after="0" w:line="266"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technology could trigger a fundamental change in our industry, as waste streams are increasingly viewed as a resource, which may adversely impact volumes at our landfills and our profitability.</w:t>
      </w:r>
    </w:p>
    <w:p>
      <w:pPr>
        <w:spacing w:after="0" w:line="63" w:lineRule="exact"/>
        <w:rPr>
          <w:rFonts w:ascii="Times New Roman" w:cs="Times New Roman" w:eastAsia="Times New Roman" w:hAnsi="Times New Roman"/>
          <w:sz w:val="14"/>
          <w:szCs w:val="14"/>
          <w:color w:val="auto"/>
        </w:rPr>
      </w:pPr>
    </w:p>
    <w:p>
      <w:pPr>
        <w:ind w:left="1740" w:right="1519" w:hanging="149"/>
        <w:spacing w:after="0" w:line="275"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develop new service offerings and protect intellectual property or if a competitor develops or obtains exclusive rights to a breakthrough technology, our financial results may suffer.</w:t>
      </w:r>
    </w:p>
    <w:p>
      <w:pPr>
        <w:spacing w:after="0" w:line="219" w:lineRule="exact"/>
        <w:rPr>
          <w:rFonts w:ascii="Times New Roman" w:cs="Times New Roman" w:eastAsia="Times New Roman" w:hAnsi="Times New Roman"/>
          <w:sz w:val="14"/>
          <w:szCs w:val="14"/>
          <w:color w:val="auto"/>
        </w:rPr>
      </w:pPr>
    </w:p>
    <w:p>
      <w:pPr>
        <w:ind w:left="1740" w:right="1779" w:hanging="149"/>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technology, and if our technology fails, our business would be adversely affected.</w:t>
      </w:r>
    </w:p>
    <w:p>
      <w:pPr>
        <w:spacing w:after="0" w:line="41" w:lineRule="exact"/>
        <w:rPr>
          <w:rFonts w:ascii="Times New Roman" w:cs="Times New Roman" w:eastAsia="Times New Roman" w:hAnsi="Times New Roman"/>
          <w:sz w:val="14"/>
          <w:szCs w:val="14"/>
          <w:color w:val="auto"/>
        </w:rPr>
      </w:pPr>
    </w:p>
    <w:p>
      <w:pPr>
        <w:ind w:left="1740" w:right="1559" w:hanging="149"/>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adapt to and manage the benefits and risks of artificial intelligence could expose us to liability or put us at a disadvantage.</w:t>
      </w:r>
    </w:p>
    <w:p>
      <w:pPr>
        <w:spacing w:after="0" w:line="52" w:lineRule="exact"/>
        <w:rPr>
          <w:rFonts w:ascii="Times New Roman" w:cs="Times New Roman" w:eastAsia="Times New Roman" w:hAnsi="Times New Roman"/>
          <w:sz w:val="14"/>
          <w:szCs w:val="14"/>
          <w:color w:val="auto"/>
        </w:rPr>
      </w:pPr>
    </w:p>
    <w:p>
      <w:pPr>
        <w:ind w:left="1740" w:right="1539" w:hanging="149"/>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cybersecurity incidents may negatively impact our business and our relationships with customers, vendors and employees and expose us to increased liability.</w:t>
      </w:r>
    </w:p>
    <w:p>
      <w:pPr>
        <w:spacing w:after="0" w:line="41" w:lineRule="exact"/>
        <w:rPr>
          <w:rFonts w:ascii="Times New Roman" w:cs="Times New Roman" w:eastAsia="Times New Roman" w:hAnsi="Times New Roman"/>
          <w:sz w:val="14"/>
          <w:szCs w:val="14"/>
          <w:color w:val="auto"/>
        </w:rPr>
      </w:pPr>
    </w:p>
    <w:p>
      <w:pPr>
        <w:ind w:left="1740" w:right="1899" w:hanging="149"/>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regulatory focus on privacy and data protection issues and expanding laws could negatively impact our business, subject us to criticism and expose us to increased liability.</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201295</wp:posOffset>
            </wp:positionV>
            <wp:extent cx="53206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Legal, Regulatory and Compliance Risks</w:t>
      </w:r>
    </w:p>
    <w:p>
      <w:pPr>
        <w:spacing w:after="0" w:line="93" w:lineRule="exact"/>
        <w:rPr>
          <w:sz w:val="20"/>
          <w:szCs w:val="20"/>
          <w:color w:val="auto"/>
        </w:rPr>
      </w:pPr>
    </w:p>
    <w:p>
      <w:pPr>
        <w:ind w:left="1740" w:right="1739" w:hanging="149"/>
        <w:spacing w:after="0" w:line="28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operations are subject to environmental, health and safety laws and regulations, as well as contractual obligations that may result in significant liabilities.</w:t>
      </w:r>
    </w:p>
    <w:p>
      <w:pPr>
        <w:spacing w:after="0" w:line="41" w:lineRule="exact"/>
        <w:rPr>
          <w:rFonts w:ascii="Times New Roman" w:cs="Times New Roman" w:eastAsia="Times New Roman" w:hAnsi="Times New Roman"/>
          <w:sz w:val="14"/>
          <w:szCs w:val="14"/>
          <w:color w:val="auto"/>
        </w:rPr>
      </w:pPr>
    </w:p>
    <w:p>
      <w:pPr>
        <w:ind w:left="1740" w:right="1419" w:hanging="149"/>
        <w:spacing w:after="0" w:line="266"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pacing w:after="0" w:line="52" w:lineRule="exact"/>
        <w:rPr>
          <w:rFonts w:ascii="Times New Roman" w:cs="Times New Roman" w:eastAsia="Times New Roman" w:hAnsi="Times New Roman"/>
          <w:sz w:val="14"/>
          <w:szCs w:val="14"/>
          <w:color w:val="auto"/>
        </w:rPr>
      </w:pPr>
    </w:p>
    <w:p>
      <w:pPr>
        <w:ind w:left="1740" w:right="1919" w:hanging="149"/>
        <w:spacing w:after="0" w:line="28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change, and the adoption of climate change legislation or regulations restricting emissions of greenhouse gases, could increase our costs to operate.</w:t>
      </w:r>
    </w:p>
    <w:p>
      <w:pPr>
        <w:spacing w:after="0" w:line="41" w:lineRule="exact"/>
        <w:rPr>
          <w:rFonts w:ascii="Times New Roman" w:cs="Times New Roman" w:eastAsia="Times New Roman" w:hAnsi="Times New Roman"/>
          <w:sz w:val="14"/>
          <w:szCs w:val="14"/>
          <w:color w:val="auto"/>
        </w:rPr>
      </w:pPr>
    </w:p>
    <w:p>
      <w:pPr>
        <w:ind w:left="1740" w:right="1339" w:hanging="149"/>
        <w:spacing w:after="0" w:line="261"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spacing w:after="0" w:line="55" w:lineRule="exact"/>
        <w:rPr>
          <w:rFonts w:ascii="Times New Roman" w:cs="Times New Roman" w:eastAsia="Times New Roman" w:hAnsi="Times New Roman"/>
          <w:sz w:val="14"/>
          <w:szCs w:val="14"/>
          <w:color w:val="auto"/>
        </w:rPr>
      </w:pPr>
    </w:p>
    <w:p>
      <w:pPr>
        <w:ind w:left="1740" w:right="1319" w:hanging="149"/>
        <w:spacing w:after="0" w:line="266"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significant fines and penalties, and our reputation could be adversely affected, if we or third parties with whom we have a relationship fail to comply with U.S. or foreign laws or regulations.</w:t>
      </w:r>
    </w:p>
    <w:p>
      <w:pPr>
        <w:spacing w:after="0" w:line="52" w:lineRule="exact"/>
        <w:rPr>
          <w:rFonts w:ascii="Times New Roman" w:cs="Times New Roman" w:eastAsia="Times New Roman" w:hAnsi="Times New Roman"/>
          <w:sz w:val="14"/>
          <w:szCs w:val="14"/>
          <w:color w:val="auto"/>
        </w:rPr>
      </w:pPr>
    </w:p>
    <w:p>
      <w:pPr>
        <w:ind w:left="1740" w:right="1479" w:hanging="149"/>
        <w:spacing w:after="0" w:line="28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Currently pending or future litigation or governmental proceedings could result in material adverse consequences, including judgments or settlements.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Financial Risks</w:t>
      </w:r>
    </w:p>
    <w:p>
      <w:pPr>
        <w:spacing w:after="0" w:line="93" w:lineRule="exact"/>
        <w:rPr>
          <w:sz w:val="20"/>
          <w:szCs w:val="20"/>
          <w:color w:val="auto"/>
        </w:rPr>
      </w:pPr>
    </w:p>
    <w:p>
      <w:pPr>
        <w:ind w:left="1740" w:right="1459" w:hanging="149"/>
        <w:spacing w:after="0" w:line="28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 requirements and our business strategy could increase our expenses, cause us to change our growth and development plans, or result in an inability to maintain our desired credit profile.</w:t>
      </w:r>
    </w:p>
    <w:p>
      <w:pPr>
        <w:spacing w:after="0" w:line="41" w:lineRule="exact"/>
        <w:rPr>
          <w:rFonts w:ascii="Times New Roman" w:cs="Times New Roman" w:eastAsia="Times New Roman" w:hAnsi="Times New Roman"/>
          <w:sz w:val="14"/>
          <w:szCs w:val="14"/>
          <w:color w:val="auto"/>
        </w:rPr>
      </w:pPr>
    </w:p>
    <w:p>
      <w:pPr>
        <w:ind w:left="1740" w:right="1459" w:hanging="149"/>
        <w:spacing w:after="0" w:line="28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costs of obtaining adequate financial assurance, or the inadequacy of our insurance coverages, could negatively impact our liquidity and increase our liabilities.</w:t>
      </w:r>
    </w:p>
    <w:p>
      <w:pPr>
        <w:spacing w:after="0" w:line="4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record material charges against our earnings due to impairments to our assets.</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face significant liabilities for withdrawal from multiemployer pension plans.</w:t>
      </w:r>
    </w:p>
    <w:p>
      <w:pPr>
        <w:spacing w:after="0" w:line="123" w:lineRule="exact"/>
        <w:rPr>
          <w:sz w:val="20"/>
          <w:szCs w:val="20"/>
          <w:color w:val="auto"/>
        </w:rPr>
      </w:pPr>
    </w:p>
    <w:p>
      <w:pPr>
        <w:ind w:left="1320" w:right="1519" w:firstLine="280"/>
        <w:spacing w:after="0" w:line="282" w:lineRule="auto"/>
        <w:rPr>
          <w:sz w:val="20"/>
          <w:szCs w:val="20"/>
          <w:color w:val="auto"/>
        </w:rPr>
      </w:pPr>
      <w:r>
        <w:rPr>
          <w:rFonts w:ascii="Times New Roman" w:cs="Times New Roman" w:eastAsia="Times New Roman" w:hAnsi="Times New Roman"/>
          <w:sz w:val="14"/>
          <w:szCs w:val="14"/>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20" w:right="1479" w:firstLine="280"/>
        <w:spacing w:after="0" w:line="266"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4" w:lineRule="exact"/>
        <w:rPr>
          <w:sz w:val="20"/>
          <w:szCs w:val="20"/>
          <w:color w:val="auto"/>
        </w:rPr>
      </w:pPr>
    </w:p>
    <w:p>
      <w:pPr>
        <w:ind w:left="1320" w:right="1399" w:firstLine="280"/>
        <w:spacing w:after="0" w:line="282" w:lineRule="auto"/>
        <w:rPr>
          <w:sz w:val="20"/>
          <w:szCs w:val="20"/>
          <w:color w:val="auto"/>
        </w:rPr>
      </w:pPr>
      <w:r>
        <w:rPr>
          <w:rFonts w:ascii="Times New Roman" w:cs="Times New Roman" w:eastAsia="Times New Roman" w:hAnsi="Times New Roman"/>
          <w:sz w:val="14"/>
          <w:szCs w:val="14"/>
          <w:color w:val="auto"/>
        </w:rPr>
        <w:t>The types of securities that we or selling securityholders may offer and sell from time to time pursuant to this prospectus are:</w:t>
      </w:r>
    </w:p>
    <w:p>
      <w:pPr>
        <w:spacing w:after="0" w:line="42" w:lineRule="exact"/>
        <w:rPr>
          <w:sz w:val="20"/>
          <w:szCs w:val="20"/>
          <w:color w:val="auto"/>
        </w:rPr>
      </w:pPr>
    </w:p>
    <w:p>
      <w:pPr>
        <w:ind w:left="1740" w:hanging="149"/>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and</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of the securities listed above.</w:t>
      </w:r>
    </w:p>
    <w:p>
      <w:pPr>
        <w:spacing w:after="0" w:line="112" w:lineRule="exact"/>
        <w:rPr>
          <w:sz w:val="20"/>
          <w:szCs w:val="20"/>
          <w:color w:val="auto"/>
        </w:rPr>
      </w:pPr>
    </w:p>
    <w:p>
      <w:pPr>
        <w:ind w:left="1320" w:right="1359" w:firstLine="280"/>
        <w:spacing w:after="0" w:line="261" w:lineRule="auto"/>
        <w:rPr>
          <w:sz w:val="20"/>
          <w:szCs w:val="20"/>
          <w:color w:val="auto"/>
        </w:rPr>
      </w:pPr>
      <w:r>
        <w:rPr>
          <w:rFonts w:ascii="Times New Roman" w:cs="Times New Roman" w:eastAsia="Times New Roman" w:hAnsi="Times New Roman"/>
          <w:sz w:val="14"/>
          <w:szCs w:val="14"/>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56" w:lineRule="exact"/>
        <w:rPr>
          <w:sz w:val="20"/>
          <w:szCs w:val="20"/>
          <w:color w:val="auto"/>
        </w:rPr>
      </w:pPr>
    </w:p>
    <w:p>
      <w:pPr>
        <w:ind w:left="1740" w:hanging="149"/>
        <w:spacing w:after="0"/>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amount of securities that we or selling securityholders propose to sell;</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of the securities;</w:t>
      </w:r>
    </w:p>
    <w:p>
      <w:pPr>
        <w:spacing w:after="0" w:line="91" w:lineRule="exact"/>
        <w:rPr>
          <w:rFonts w:ascii="Times New Roman" w:cs="Times New Roman" w:eastAsia="Times New Roman" w:hAnsi="Times New Roman"/>
          <w:sz w:val="14"/>
          <w:szCs w:val="14"/>
          <w:color w:val="auto"/>
        </w:rPr>
      </w:pPr>
    </w:p>
    <w:p>
      <w:pPr>
        <w:ind w:left="1740" w:right="1499" w:hanging="149"/>
        <w:spacing w:after="0" w:line="28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 through or to which we or selling securityholders will sell the securities;</w:t>
      </w:r>
    </w:p>
    <w:p>
      <w:pPr>
        <w:spacing w:after="0" w:line="4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compensation of those underwriters or agents; and</w:t>
      </w:r>
    </w:p>
    <w:p>
      <w:pPr>
        <w:spacing w:after="0" w:line="91" w:lineRule="exact"/>
        <w:rPr>
          <w:rFonts w:ascii="Times New Roman" w:cs="Times New Roman" w:eastAsia="Times New Roman" w:hAnsi="Times New Roman"/>
          <w:sz w:val="14"/>
          <w:szCs w:val="14"/>
          <w:color w:val="auto"/>
        </w:rPr>
      </w:pPr>
    </w:p>
    <w:p>
      <w:pPr>
        <w:ind w:left="1740" w:right="1459" w:hanging="149"/>
        <w:spacing w:after="0" w:line="28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about any securities exchanges or automated quotation systems on which the securities will be listed or traded.</w:t>
      </w:r>
    </w:p>
    <w:p>
      <w:pPr>
        <w:spacing w:after="0" w:line="73" w:lineRule="exact"/>
        <w:rPr>
          <w:sz w:val="20"/>
          <w:szCs w:val="20"/>
          <w:color w:val="auto"/>
        </w:rPr>
      </w:pPr>
    </w:p>
    <w:p>
      <w:pPr>
        <w:ind w:left="1320" w:right="1539" w:firstLine="280"/>
        <w:spacing w:after="0" w:line="261" w:lineRule="auto"/>
        <w:rPr>
          <w:sz w:val="20"/>
          <w:szCs w:val="20"/>
          <w:color w:val="auto"/>
        </w:rPr>
      </w:pPr>
      <w:r>
        <w:rPr>
          <w:rFonts w:ascii="Times New Roman" w:cs="Times New Roman" w:eastAsia="Times New Roman" w:hAnsi="Times New Roman"/>
          <w:sz w:val="14"/>
          <w:szCs w:val="14"/>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87" w:lineRule="exact"/>
        <w:rPr>
          <w:sz w:val="20"/>
          <w:szCs w:val="20"/>
          <w:color w:val="auto"/>
        </w:rPr>
      </w:pPr>
    </w:p>
    <w:p>
      <w:pPr>
        <w:ind w:left="1320" w:right="1459" w:firstLine="280"/>
        <w:spacing w:after="0" w:line="257" w:lineRule="auto"/>
        <w:rPr>
          <w:sz w:val="20"/>
          <w:szCs w:val="20"/>
          <w:color w:val="auto"/>
        </w:rPr>
      </w:pPr>
      <w:r>
        <w:rPr>
          <w:rFonts w:ascii="Times New Roman" w:cs="Times New Roman" w:eastAsia="Times New Roman" w:hAnsi="Times New Roman"/>
          <w:sz w:val="14"/>
          <w:szCs w:val="14"/>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79" w:lineRule="exact"/>
        <w:rPr>
          <w:sz w:val="20"/>
          <w:szCs w:val="20"/>
          <w:color w:val="auto"/>
        </w:rPr>
      </w:pPr>
    </w:p>
    <w:p>
      <w:pPr>
        <w:jc w:val="both"/>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23" w:lineRule="exact"/>
        <w:rPr>
          <w:sz w:val="20"/>
          <w:szCs w:val="20"/>
          <w:color w:val="auto"/>
        </w:rPr>
      </w:pPr>
    </w:p>
    <w:p>
      <w:pPr>
        <w:ind w:left="1320" w:right="1339" w:firstLine="280"/>
        <w:spacing w:after="0" w:line="306" w:lineRule="auto"/>
        <w:rPr>
          <w:sz w:val="20"/>
          <w:szCs w:val="20"/>
          <w:color w:val="auto"/>
        </w:rPr>
      </w:pPr>
      <w:r>
        <w:rPr>
          <w:rFonts w:ascii="Times New Roman" w:cs="Times New Roman" w:eastAsia="Times New Roman" w:hAnsi="Times New Roman"/>
          <w:sz w:val="13"/>
          <w:szCs w:val="13"/>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71" w:lineRule="exact"/>
        <w:rPr>
          <w:sz w:val="20"/>
          <w:szCs w:val="20"/>
          <w:color w:val="auto"/>
        </w:rPr>
      </w:pPr>
    </w:p>
    <w:p>
      <w:pPr>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01"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51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1"/>
                <w:szCs w:val="11"/>
                <w:b w:val="1"/>
                <w:bCs w:val="1"/>
                <w:color w:val="auto"/>
              </w:rPr>
              <w:t>SEC Filing (Our SEC File Number is 1-12154)</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 Filed</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0"/>
        </w:trPr>
        <w:tc>
          <w:tcPr>
            <w:tcW w:w="4020" w:type="dxa"/>
            <w:vAlign w:val="bottom"/>
            <w:tcBorders>
              <w:bottom w:val="single" w:sz="8" w:color="0000EE"/>
            </w:tcBorders>
            <w:gridSpan w:val="6"/>
            <w:shd w:val="clear" w:color="auto" w:fill="CCEEFF"/>
          </w:tcPr>
          <w:p>
            <w:pPr>
              <w:spacing w:after="0" w:line="148" w:lineRule="exact"/>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color w:val="0000EE"/>
                </w:rPr>
                <w:t>Annual Report on Form 10-K for the year ended December 31, 2024</w:t>
              </w:r>
            </w:hyperlink>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 February 19, 2025</w:t>
            </w: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4100" w:type="dxa"/>
            <w:vAlign w:val="bottom"/>
            <w:tcBorders>
              <w:bottom w:val="single" w:sz="8" w:color="0000EE"/>
            </w:tcBorders>
            <w:gridSpan w:val="8"/>
          </w:tcPr>
          <w:p>
            <w:pPr>
              <w:spacing w:after="0" w:line="148" w:lineRule="exact"/>
              <w:rPr>
                <w:rFonts w:ascii="Times New Roman" w:cs="Times New Roman" w:eastAsia="Times New Roman" w:hAnsi="Times New Roman"/>
                <w:sz w:val="14"/>
                <w:szCs w:val="14"/>
                <w:color w:val="0000EE"/>
              </w:rPr>
            </w:pPr>
            <w:hyperlink r:id="rId30">
              <w:r>
                <w:rPr>
                  <w:rFonts w:ascii="Times New Roman" w:cs="Times New Roman" w:eastAsia="Times New Roman" w:hAnsi="Times New Roman"/>
                  <w:sz w:val="14"/>
                  <w:szCs w:val="14"/>
                  <w:color w:val="0000EE"/>
                </w:rPr>
                <w:t>Quarterly Report on Form 10-Q for the quarter ended March 31, 2025</w:t>
              </w:r>
            </w:hyperlink>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April 29, 2025</w:t>
            </w: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85"/>
        </w:trPr>
        <w:tc>
          <w:tcPr>
            <w:tcW w:w="3980" w:type="dxa"/>
            <w:vAlign w:val="bottom"/>
            <w:tcBorders>
              <w:bottom w:val="single" w:sz="8" w:color="0000EE"/>
            </w:tcBorders>
            <w:gridSpan w:val="5"/>
            <w:shd w:val="clear" w:color="auto" w:fill="CCEEFF"/>
          </w:tcPr>
          <w:p>
            <w:pPr>
              <w:spacing w:after="0" w:line="154" w:lineRule="exact"/>
              <w:rPr>
                <w:rFonts w:ascii="Times New Roman" w:cs="Times New Roman" w:eastAsia="Times New Roman" w:hAnsi="Times New Roman"/>
                <w:sz w:val="14"/>
                <w:szCs w:val="14"/>
                <w:color w:val="0000EE"/>
              </w:rPr>
            </w:pPr>
            <w:hyperlink r:id="rId31">
              <w:r>
                <w:rPr>
                  <w:rFonts w:ascii="Times New Roman" w:cs="Times New Roman" w:eastAsia="Times New Roman" w:hAnsi="Times New Roman"/>
                  <w:sz w:val="14"/>
                  <w:szCs w:val="14"/>
                  <w:color w:val="0000EE"/>
                </w:rPr>
                <w:t>Quarterly Report on Form 10-Q for the quarter ended June 30, 2025</w:t>
              </w:r>
            </w:hyperlink>
          </w:p>
        </w:tc>
        <w:tc>
          <w:tcPr>
            <w:tcW w:w="6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29,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1680" w:type="dxa"/>
            <w:vAlign w:val="bottom"/>
            <w:tcBorders>
              <w:bottom w:val="single" w:sz="8" w:color="0000EE"/>
            </w:tcBorders>
            <w:gridSpan w:val="3"/>
          </w:tcPr>
          <w:p>
            <w:pPr>
              <w:spacing w:after="0" w:line="148" w:lineRule="exact"/>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0000EE"/>
                </w:rPr>
                <w:t>Current Report on Form 8-K</w:t>
              </w:r>
            </w:hyperlink>
          </w:p>
        </w:tc>
        <w:tc>
          <w:tcPr>
            <w:tcW w:w="380" w:type="dxa"/>
            <w:vAlign w:val="bottom"/>
          </w:tcPr>
          <w:p>
            <w:pPr>
              <w:spacing w:after="0"/>
              <w:rPr>
                <w:sz w:val="15"/>
                <w:szCs w:val="15"/>
                <w:color w:val="auto"/>
              </w:rPr>
            </w:pPr>
          </w:p>
        </w:tc>
        <w:tc>
          <w:tcPr>
            <w:tcW w:w="1980" w:type="dxa"/>
            <w:vAlign w:val="bottom"/>
            <w:gridSpan w:val="3"/>
          </w:tcPr>
          <w:p>
            <w:pPr>
              <w:spacing w:after="0"/>
              <w:rPr>
                <w:sz w:val="15"/>
                <w:szCs w:val="15"/>
                <w:color w:val="auto"/>
              </w:rPr>
            </w:pPr>
          </w:p>
        </w:tc>
        <w:tc>
          <w:tcPr>
            <w:tcW w:w="6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 ​ February 28, 2025​</w:t>
            </w:r>
          </w:p>
        </w:tc>
      </w:tr>
      <w:tr>
        <w:trPr>
          <w:trHeight w:val="185"/>
        </w:trPr>
        <w:tc>
          <w:tcPr>
            <w:tcW w:w="1680" w:type="dxa"/>
            <w:vAlign w:val="bottom"/>
            <w:tcBorders>
              <w:bottom w:val="single" w:sz="8" w:color="0000EE"/>
            </w:tcBorders>
            <w:gridSpan w:val="3"/>
            <w:shd w:val="clear" w:color="auto" w:fill="CCEEFF"/>
          </w:tcPr>
          <w:p>
            <w:pPr>
              <w:spacing w:after="0" w:line="154" w:lineRule="exact"/>
              <w:rPr>
                <w:rFonts w:ascii="Times New Roman" w:cs="Times New Roman" w:eastAsia="Times New Roman" w:hAnsi="Times New Roman"/>
                <w:sz w:val="14"/>
                <w:szCs w:val="14"/>
                <w:color w:val="0000EE"/>
              </w:rPr>
            </w:pPr>
            <w:hyperlink r:id="rId33">
              <w:r>
                <w:rPr>
                  <w:rFonts w:ascii="Times New Roman" w:cs="Times New Roman" w:eastAsia="Times New Roman" w:hAnsi="Times New Roman"/>
                  <w:sz w:val="14"/>
                  <w:szCs w:val="14"/>
                  <w:color w:val="0000EE"/>
                </w:rPr>
                <w:t>Current Report on Form 8-K</w:t>
              </w:r>
            </w:hyperlink>
          </w:p>
        </w:tc>
        <w:tc>
          <w:tcPr>
            <w:tcW w:w="3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gridSpan w:val="3"/>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14,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1680" w:type="dxa"/>
            <w:vAlign w:val="bottom"/>
            <w:tcBorders>
              <w:bottom w:val="single" w:sz="8" w:color="0000EE"/>
            </w:tcBorders>
            <w:gridSpan w:val="3"/>
          </w:tcPr>
          <w:p>
            <w:pPr>
              <w:spacing w:after="0" w:line="148" w:lineRule="exact"/>
              <w:rPr>
                <w:rFonts w:ascii="Times New Roman" w:cs="Times New Roman" w:eastAsia="Times New Roman" w:hAnsi="Times New Roman"/>
                <w:sz w:val="14"/>
                <w:szCs w:val="14"/>
                <w:color w:val="0000EE"/>
              </w:rPr>
            </w:pPr>
            <w:hyperlink r:id="rId34">
              <w:r>
                <w:rPr>
                  <w:rFonts w:ascii="Times New Roman" w:cs="Times New Roman" w:eastAsia="Times New Roman" w:hAnsi="Times New Roman"/>
                  <w:sz w:val="14"/>
                  <w:szCs w:val="14"/>
                  <w:color w:val="0000EE"/>
                </w:rPr>
                <w:t>Current Report on Form 8-K</w:t>
              </w:r>
            </w:hyperlink>
          </w:p>
        </w:tc>
        <w:tc>
          <w:tcPr>
            <w:tcW w:w="380" w:type="dxa"/>
            <w:vAlign w:val="bottom"/>
          </w:tcPr>
          <w:p>
            <w:pPr>
              <w:spacing w:after="0"/>
              <w:rPr>
                <w:sz w:val="15"/>
                <w:szCs w:val="15"/>
                <w:color w:val="auto"/>
              </w:rPr>
            </w:pPr>
          </w:p>
        </w:tc>
        <w:tc>
          <w:tcPr>
            <w:tcW w:w="1980" w:type="dxa"/>
            <w:vAlign w:val="bottom"/>
            <w:gridSpan w:val="3"/>
          </w:tcPr>
          <w:p>
            <w:pPr>
              <w:spacing w:after="0"/>
              <w:rPr>
                <w:sz w:val="15"/>
                <w:szCs w:val="15"/>
                <w:color w:val="auto"/>
              </w:rPr>
            </w:pPr>
          </w:p>
        </w:tc>
        <w:tc>
          <w:tcPr>
            <w:tcW w:w="6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May 14, 2025</w:t>
            </w: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80"/>
        </w:trPr>
        <w:tc>
          <w:tcPr>
            <w:tcW w:w="51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portions of our proxy statement for our 2025 annual meeting of stockholders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51"/>
        </w:trPr>
        <w:tc>
          <w:tcPr>
            <w:tcW w:w="140" w:type="dxa"/>
            <w:vAlign w:val="bottom"/>
            <w:shd w:val="clear" w:color="auto" w:fill="CCEEFF"/>
          </w:tcPr>
          <w:p>
            <w:pPr>
              <w:spacing w:after="0"/>
              <w:rPr>
                <w:sz w:val="13"/>
                <w:szCs w:val="13"/>
                <w:color w:val="auto"/>
              </w:rPr>
            </w:pPr>
          </w:p>
        </w:tc>
        <w:tc>
          <w:tcPr>
            <w:tcW w:w="4980" w:type="dxa"/>
            <w:vAlign w:val="bottom"/>
            <w:gridSpan w:val="10"/>
            <w:shd w:val="clear" w:color="auto" w:fill="CCEEFF"/>
          </w:tcPr>
          <w:p>
            <w:pPr>
              <w:spacing w:after="0" w:line="151" w:lineRule="exact"/>
              <w:rPr>
                <w:rFonts w:ascii="Times New Roman" w:cs="Times New Roman" w:eastAsia="Times New Roman" w:hAnsi="Times New Roman"/>
                <w:sz w:val="14"/>
                <w:szCs w:val="14"/>
                <w:color w:val="auto"/>
              </w:rPr>
            </w:pPr>
            <w:hyperlink r:id="rId29">
              <w:r>
                <w:rPr>
                  <w:rFonts w:ascii="Times New Roman" w:cs="Times New Roman" w:eastAsia="Times New Roman" w:hAnsi="Times New Roman"/>
                  <w:sz w:val="14"/>
                  <w:szCs w:val="14"/>
                  <w:color w:val="auto"/>
                </w:rPr>
                <w:t xml:space="preserve">incorporated by reference in our </w:t>
              </w:r>
              <w:r>
                <w:rPr>
                  <w:rFonts w:ascii="Times New Roman" w:cs="Times New Roman" w:eastAsia="Times New Roman" w:hAnsi="Times New Roman"/>
                  <w:sz w:val="14"/>
                  <w:szCs w:val="14"/>
                  <w:color w:val="0000EE"/>
                </w:rPr>
                <w:t>Annual Report on Form 10-K for the year ended</w:t>
              </w:r>
            </w:hyperlink>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0000EE"/>
            </w:tcBorders>
            <w:shd w:val="clear" w:color="auto" w:fill="CCEEFF"/>
          </w:tcPr>
          <w:p>
            <w:pPr>
              <w:spacing w:after="0" w:line="138" w:lineRule="exact"/>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color w:val="0000EE"/>
                </w:rPr>
                <w:t>December 31, 2024</w:t>
              </w:r>
            </w:hyperlink>
          </w:p>
        </w:tc>
        <w:tc>
          <w:tcPr>
            <w:tcW w:w="7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840" w:type="dxa"/>
            <w:vAlign w:val="bottom"/>
            <w:tcBorders>
              <w:top w:val="single" w:sz="8" w:color="0000EE"/>
              <w:bottom w:val="single" w:sz="8" w:color="CCEEFF"/>
            </w:tcBorders>
            <w:gridSpan w:val="6"/>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top w:val="single" w:sz="8" w:color="CCEEFF"/>
              <w:bottom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April 1, 2025</w:t>
            </w:r>
          </w:p>
        </w:tc>
        <w:tc>
          <w:tcPr>
            <w:tcW w:w="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51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Description of our common stock contained in our Registration Statement on Form 8-</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1"/>
        </w:trPr>
        <w:tc>
          <w:tcPr>
            <w:tcW w:w="140" w:type="dxa"/>
            <w:vAlign w:val="bottom"/>
          </w:tcPr>
          <w:p>
            <w:pPr>
              <w:spacing w:after="0"/>
              <w:rPr>
                <w:sz w:val="13"/>
                <w:szCs w:val="13"/>
                <w:color w:val="auto"/>
              </w:rPr>
            </w:pPr>
          </w:p>
        </w:tc>
        <w:tc>
          <w:tcPr>
            <w:tcW w:w="4980" w:type="dxa"/>
            <w:vAlign w:val="bottom"/>
            <w:gridSpan w:val="10"/>
          </w:tcPr>
          <w:p>
            <w:pPr>
              <w:spacing w:after="0" w:line="151"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 as updated by the description of our common stock included in </w:t>
            </w:r>
            <w:hyperlink r:id="rId35">
              <w:r>
                <w:rPr>
                  <w:rFonts w:ascii="Times New Roman" w:cs="Times New Roman" w:eastAsia="Times New Roman" w:hAnsi="Times New Roman"/>
                  <w:sz w:val="14"/>
                  <w:szCs w:val="14"/>
                  <w:color w:val="0000EE"/>
                </w:rPr>
                <w:t>Exhibit 4.6</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to our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140" w:type="dxa"/>
            <w:vAlign w:val="bottom"/>
          </w:tcPr>
          <w:p>
            <w:pPr>
              <w:spacing w:after="0"/>
              <w:rPr>
                <w:sz w:val="14"/>
                <w:szCs w:val="14"/>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2024 filed with the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SEC on February 19, 2025, together with any subsequent amendment or report filed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3"/>
        </w:trPr>
        <w:tc>
          <w:tcPr>
            <w:tcW w:w="140" w:type="dxa"/>
            <w:vAlign w:val="bottom"/>
          </w:tcPr>
          <w:p>
            <w:pPr>
              <w:spacing w:after="0"/>
              <w:rPr>
                <w:sz w:val="16"/>
                <w:szCs w:val="16"/>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 the purpose of updating such description</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13, 1995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-1659890</wp:posOffset>
            </wp:positionV>
            <wp:extent cx="10668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91" w:lineRule="exact"/>
        <w:rPr>
          <w:sz w:val="20"/>
          <w:szCs w:val="20"/>
          <w:color w:val="auto"/>
        </w:r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1" w:lineRule="exact"/>
        <w:rPr>
          <w:sz w:val="20"/>
          <w:szCs w:val="20"/>
          <w:color w:val="auto"/>
        </w:rPr>
      </w:pPr>
    </w:p>
    <w:p>
      <w:pPr>
        <w:ind w:left="1320" w:right="1319"/>
        <w:spacing w:after="0" w:line="281" w:lineRule="auto"/>
        <w:rPr>
          <w:sz w:val="20"/>
          <w:szCs w:val="20"/>
          <w:color w:val="auto"/>
        </w:rPr>
      </w:pPr>
      <w:r>
        <w:rPr>
          <w:rFonts w:ascii="Times New Roman" w:cs="Times New Roman" w:eastAsia="Times New Roman" w:hAnsi="Times New Roman"/>
          <w:sz w:val="14"/>
          <w:szCs w:val="14"/>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259" w:lineRule="exact"/>
        <w:rPr>
          <w:sz w:val="20"/>
          <w:szCs w:val="20"/>
          <w:color w:val="auto"/>
        </w:rPr>
      </w:pPr>
    </w:p>
    <w:p>
      <w:pPr>
        <w:jc w:val="both"/>
        <w:ind w:left="1320" w:right="1339" w:firstLine="280"/>
        <w:spacing w:after="0" w:line="271" w:lineRule="auto"/>
        <w:rPr>
          <w:sz w:val="20"/>
          <w:szCs w:val="20"/>
          <w:color w:val="auto"/>
        </w:rPr>
      </w:pPr>
      <w:r>
        <w:rPr>
          <w:rFonts w:ascii="Times New Roman" w:cs="Times New Roman" w:eastAsia="Times New Roman" w:hAnsi="Times New Roman"/>
          <w:sz w:val="14"/>
          <w:szCs w:val="14"/>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82" w:lineRule="exact"/>
        <w:rPr>
          <w:sz w:val="20"/>
          <w:szCs w:val="20"/>
          <w:color w:val="auto"/>
        </w:rPr>
      </w:pPr>
    </w:p>
    <w:p>
      <w:pPr>
        <w:jc w:val="both"/>
        <w:ind w:left="1320" w:right="1499" w:firstLine="280"/>
        <w:spacing w:after="0" w:line="271" w:lineRule="auto"/>
        <w:rPr>
          <w:sz w:val="20"/>
          <w:szCs w:val="20"/>
          <w:color w:val="auto"/>
        </w:rPr>
      </w:pPr>
      <w:r>
        <w:rPr>
          <w:rFonts w:ascii="Times New Roman" w:cs="Times New Roman" w:eastAsia="Times New Roman" w:hAnsi="Times New Roman"/>
          <w:sz w:val="14"/>
          <w:szCs w:val="14"/>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4"/>
          <w:szCs w:val="14"/>
          <w:i w:val="1"/>
          <w:iCs w:val="1"/>
          <w:color w:val="auto"/>
        </w:rPr>
        <w:t>.</w:t>
      </w:r>
    </w:p>
    <w:p>
      <w:pPr>
        <w:spacing w:after="0" w:line="8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Waste Management, Inc.</w:t>
      </w:r>
    </w:p>
    <w:p>
      <w:pPr>
        <w:spacing w:after="0" w:line="2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800 Capitol Street, Suite 3000</w:t>
      </w:r>
    </w:p>
    <w:p>
      <w:pPr>
        <w:spacing w:after="0" w:line="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(713) 512-6200</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20" w:right="1379" w:firstLine="280"/>
        <w:spacing w:after="0" w:line="266"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20" w:right="1379" w:firstLine="280"/>
        <w:spacing w:after="0" w:line="258" w:lineRule="auto"/>
        <w:rPr>
          <w:sz w:val="20"/>
          <w:szCs w:val="20"/>
          <w:color w:val="auto"/>
        </w:rPr>
      </w:pPr>
      <w:r>
        <w:rPr>
          <w:rFonts w:ascii="Times New Roman" w:cs="Times New Roman" w:eastAsia="Times New Roman" w:hAnsi="Times New Roman"/>
          <w:sz w:val="14"/>
          <w:szCs w:val="14"/>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4"/>
          <w:szCs w:val="14"/>
          <w:i w:val="1"/>
          <w:iCs w:val="1"/>
          <w:color w:val="auto"/>
        </w:rPr>
        <w:t>www.wm.com</w:t>
      </w:r>
      <w:r>
        <w:rPr>
          <w:rFonts w:ascii="Times New Roman" w:cs="Times New Roman" w:eastAsia="Times New Roman" w:hAnsi="Times New Roman"/>
          <w:sz w:val="14"/>
          <w:szCs w:val="14"/>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80" w:lineRule="exact"/>
        <w:rPr>
          <w:sz w:val="20"/>
          <w:szCs w:val="20"/>
          <w:color w:val="auto"/>
        </w:rPr>
      </w:pPr>
    </w:p>
    <w:p>
      <w:pPr>
        <w:ind w:left="1320" w:right="1439" w:firstLine="280"/>
        <w:spacing w:after="0" w:line="257"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5"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segment,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94" w:lineRule="exact"/>
        <w:rPr>
          <w:sz w:val="20"/>
          <w:szCs w:val="20"/>
          <w:color w:val="auto"/>
        </w:rPr>
      </w:pPr>
    </w:p>
    <w:p>
      <w:pPr>
        <w:ind w:left="1320" w:right="1419" w:firstLine="280"/>
        <w:spacing w:after="0" w:line="255"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4"/>
          <w:szCs w:val="14"/>
          <w:i w:val="1"/>
          <w:iCs w:val="1"/>
          <w:color w:val="auto"/>
        </w:rPr>
        <w:t>www.wm.com</w:t>
      </w:r>
      <w:r>
        <w:rPr>
          <w:rFonts w:ascii="Times New Roman" w:cs="Times New Roman" w:eastAsia="Times New Roman" w:hAnsi="Times New Roman"/>
          <w:sz w:val="14"/>
          <w:szCs w:val="14"/>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and does not constitute a part of this prospectus. Our common stock is traded on the New York Stock Exchange under the symbol “WM.”</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4" w:lineRule="exact"/>
        <w:rPr>
          <w:sz w:val="20"/>
          <w:szCs w:val="20"/>
          <w:color w:val="auto"/>
        </w:rPr>
      </w:pPr>
    </w:p>
    <w:p>
      <w:pPr>
        <w:ind w:left="1320" w:right="1419" w:firstLine="280"/>
        <w:spacing w:after="0" w:line="253"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20" w:right="1419" w:firstLine="280"/>
        <w:spacing w:after="0" w:line="255"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THE DEBT SECURITIES</w:t>
      </w:r>
    </w:p>
    <w:p>
      <w:pPr>
        <w:spacing w:after="0" w:line="125"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92"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Provisions Applicable to Each Indenture</w:t>
      </w:r>
    </w:p>
    <w:p>
      <w:pPr>
        <w:spacing w:after="0" w:line="112" w:lineRule="exact"/>
        <w:rPr>
          <w:sz w:val="20"/>
          <w:szCs w:val="20"/>
          <w:color w:val="auto"/>
        </w:rPr>
      </w:pPr>
    </w:p>
    <w:p>
      <w:pPr>
        <w:ind w:left="1320" w:right="153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Neither indenture limits the amount of debt securities that may be issued under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85" w:lineRule="exact"/>
        <w:rPr>
          <w:sz w:val="20"/>
          <w:szCs w:val="20"/>
          <w:color w:val="auto"/>
        </w:rPr>
      </w:pPr>
    </w:p>
    <w:p>
      <w:pPr>
        <w:ind w:left="1320" w:right="1459" w:firstLine="28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Terms. </w:t>
      </w:r>
      <w:r>
        <w:rPr>
          <w:rFonts w:ascii="Times New Roman" w:cs="Times New Roman" w:eastAsia="Times New Roman" w:hAnsi="Times New Roman"/>
          <w:sz w:val="14"/>
          <w:szCs w:val="14"/>
          <w:color w:val="auto"/>
        </w:rPr>
        <w:t>The prospectus supplement relating to any series of debt securities being offered will include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specific terms relating to the offering. These terms will include some or all of the following:</w:t>
      </w:r>
    </w:p>
    <w:p>
      <w:pPr>
        <w:spacing w:after="0" w:line="40" w:lineRule="exact"/>
        <w:rPr>
          <w:sz w:val="20"/>
          <w:szCs w:val="20"/>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or subordinated debt securities;</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debt securities;</w:t>
      </w:r>
    </w:p>
    <w:p>
      <w:pPr>
        <w:spacing w:after="0" w:line="91" w:lineRule="exact"/>
        <w:rPr>
          <w:rFonts w:ascii="Times New Roman" w:cs="Times New Roman" w:eastAsia="Times New Roman" w:hAnsi="Times New Roman"/>
          <w:sz w:val="14"/>
          <w:szCs w:val="14"/>
          <w:color w:val="auto"/>
        </w:rPr>
      </w:pPr>
    </w:p>
    <w:p>
      <w:pPr>
        <w:ind w:left="1740" w:right="1519" w:hanging="149"/>
        <w:spacing w:after="0" w:line="28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individual certificates to each holder or in the form of temporary or permanent global securities held by a depositary on behalf of holders;</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and any premium on the debt securities will be payable;</w:t>
      </w:r>
    </w:p>
    <w:p>
      <w:pPr>
        <w:spacing w:after="0" w:line="91" w:lineRule="exact"/>
        <w:rPr>
          <w:rFonts w:ascii="Times New Roman" w:cs="Times New Roman" w:eastAsia="Times New Roman" w:hAnsi="Times New Roman"/>
          <w:sz w:val="14"/>
          <w:szCs w:val="14"/>
          <w:color w:val="auto"/>
        </w:rPr>
      </w:pPr>
    </w:p>
    <w:p>
      <w:pPr>
        <w:ind w:left="1740" w:right="1539" w:hanging="149"/>
        <w:spacing w:after="0" w:line="28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(or the method of calculating the interest rate, if applicable), the date from which interest will accrue, interest payment dates and record dates for interest payments;</w:t>
      </w:r>
    </w:p>
    <w:p>
      <w:pPr>
        <w:spacing w:after="0" w:line="4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 to extend or defer the interest payment periods and the duration of the extension;</w:t>
      </w:r>
    </w:p>
    <w:p>
      <w:pPr>
        <w:spacing w:after="0" w:line="91" w:lineRule="exact"/>
        <w:rPr>
          <w:rFonts w:ascii="Times New Roman" w:cs="Times New Roman" w:eastAsia="Times New Roman" w:hAnsi="Times New Roman"/>
          <w:sz w:val="14"/>
          <w:szCs w:val="14"/>
          <w:color w:val="auto"/>
        </w:rPr>
      </w:pPr>
    </w:p>
    <w:p>
      <w:pPr>
        <w:ind w:left="1740" w:right="1339" w:hanging="149"/>
        <w:spacing w:after="0" w:line="28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any additional amounts with respect to the debt securities will be payable;</w:t>
      </w:r>
    </w:p>
    <w:p>
      <w:pPr>
        <w:spacing w:after="0" w:line="4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payments on the debt securities will be payable;</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optional redemption or early repayment;</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require the redemption, purchase or repayment of debt securities;</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91" w:lineRule="exact"/>
        <w:rPr>
          <w:rFonts w:ascii="Times New Roman" w:cs="Times New Roman" w:eastAsia="Times New Roman" w:hAnsi="Times New Roman"/>
          <w:sz w:val="14"/>
          <w:szCs w:val="14"/>
          <w:color w:val="auto"/>
        </w:rPr>
      </w:pPr>
    </w:p>
    <w:p>
      <w:pPr>
        <w:ind w:left="1740" w:right="1639" w:hanging="149"/>
        <w:spacing w:after="0" w:line="28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payments on the debt securities will be payable in foreign currency or currency units or another form and whether payments will be payable by reference to any index or formula;</w:t>
      </w:r>
    </w:p>
    <w:p>
      <w:pPr>
        <w:spacing w:after="0" w:line="41" w:lineRule="exact"/>
        <w:rPr>
          <w:rFonts w:ascii="Times New Roman" w:cs="Times New Roman" w:eastAsia="Times New Roman" w:hAnsi="Times New Roman"/>
          <w:sz w:val="14"/>
          <w:szCs w:val="14"/>
          <w:color w:val="auto"/>
        </w:rPr>
      </w:pPr>
    </w:p>
    <w:p>
      <w:pPr>
        <w:ind w:left="1740" w:right="1979" w:hanging="149"/>
        <w:spacing w:after="0" w:line="28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debt securities that will be payable if the maturity is accelerated, if other than the entire principal amount;</w:t>
      </w:r>
    </w:p>
    <w:p>
      <w:pPr>
        <w:spacing w:after="0" w:line="41" w:lineRule="exact"/>
        <w:rPr>
          <w:rFonts w:ascii="Times New Roman" w:cs="Times New Roman" w:eastAsia="Times New Roman" w:hAnsi="Times New Roman"/>
          <w:sz w:val="14"/>
          <w:szCs w:val="14"/>
          <w:color w:val="auto"/>
        </w:rPr>
      </w:pPr>
    </w:p>
    <w:p>
      <w:pPr>
        <w:ind w:left="1740" w:right="1399" w:hanging="149"/>
        <w:spacing w:after="0" w:line="28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means of defeasance of the debt securities, any additional conditions or limitations to defeasance of the debt securities or any changes to those conditions or limitations;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hanging="149"/>
        <w:spacing w:after="0"/>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or additions to the events of default or covenants described in this prospectus;</w:t>
      </w:r>
    </w:p>
    <w:p>
      <w:pPr>
        <w:spacing w:after="0" w:line="10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or other provisions relating to the transfer or exchange of debt securities;</w:t>
      </w:r>
    </w:p>
    <w:p>
      <w:pPr>
        <w:spacing w:after="0" w:line="91" w:lineRule="exact"/>
        <w:rPr>
          <w:rFonts w:ascii="Times New Roman" w:cs="Times New Roman" w:eastAsia="Times New Roman" w:hAnsi="Times New Roman"/>
          <w:sz w:val="14"/>
          <w:szCs w:val="14"/>
          <w:color w:val="auto"/>
        </w:rPr>
      </w:pPr>
    </w:p>
    <w:p>
      <w:pPr>
        <w:ind w:left="1740" w:right="1899" w:hanging="149"/>
        <w:spacing w:after="0" w:line="28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for the conversion or exchange of the debt securities for other securities of Waste Management, Inc. or any other entity;</w:t>
      </w:r>
    </w:p>
    <w:p>
      <w:pPr>
        <w:spacing w:after="0" w:line="41" w:lineRule="exact"/>
        <w:rPr>
          <w:rFonts w:ascii="Times New Roman" w:cs="Times New Roman" w:eastAsia="Times New Roman" w:hAnsi="Times New Roman"/>
          <w:sz w:val="14"/>
          <w:szCs w:val="14"/>
          <w:color w:val="auto"/>
        </w:rPr>
      </w:pPr>
    </w:p>
    <w:p>
      <w:pPr>
        <w:ind w:left="1740" w:right="1739" w:hanging="149"/>
        <w:spacing w:after="0" w:line="28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subordinated indenture, any changes to the subordination provisions for the subordinated debt securities; and</w:t>
      </w:r>
    </w:p>
    <w:p>
      <w:pPr>
        <w:spacing w:after="0" w:line="4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not inconsistent with the applicable indenture.</w:t>
      </w:r>
    </w:p>
    <w:p>
      <w:pPr>
        <w:spacing w:after="0" w:line="123" w:lineRule="exact"/>
        <w:rPr>
          <w:sz w:val="20"/>
          <w:szCs w:val="20"/>
          <w:color w:val="auto"/>
        </w:rPr>
      </w:pPr>
    </w:p>
    <w:p>
      <w:pPr>
        <w:ind w:left="1320" w:right="1459" w:firstLine="280"/>
        <w:spacing w:after="0" w:line="261" w:lineRule="auto"/>
        <w:rPr>
          <w:sz w:val="20"/>
          <w:szCs w:val="20"/>
          <w:color w:val="auto"/>
        </w:rPr>
      </w:pPr>
      <w:r>
        <w:rPr>
          <w:rFonts w:ascii="Times New Roman" w:cs="Times New Roman" w:eastAsia="Times New Roman" w:hAnsi="Times New Roman"/>
          <w:sz w:val="14"/>
          <w:szCs w:val="14"/>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87" w:lineRule="exact"/>
        <w:rPr>
          <w:sz w:val="20"/>
          <w:szCs w:val="20"/>
          <w:color w:val="auto"/>
        </w:rPr>
      </w:pPr>
    </w:p>
    <w:p>
      <w:pPr>
        <w:ind w:left="1320" w:right="1359" w:firstLine="280"/>
        <w:spacing w:after="0" w:line="261" w:lineRule="auto"/>
        <w:rPr>
          <w:sz w:val="20"/>
          <w:szCs w:val="20"/>
          <w:color w:val="auto"/>
        </w:rPr>
      </w:pPr>
      <w:r>
        <w:rPr>
          <w:rFonts w:ascii="Times New Roman" w:cs="Times New Roman" w:eastAsia="Times New Roman" w:hAnsi="Times New Roman"/>
          <w:sz w:val="14"/>
          <w:szCs w:val="14"/>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5" w:lineRule="exact"/>
        <w:rPr>
          <w:sz w:val="20"/>
          <w:szCs w:val="20"/>
          <w:color w:val="auto"/>
        </w:rPr>
      </w:pPr>
    </w:p>
    <w:p>
      <w:pPr>
        <w:ind w:left="1320" w:right="133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Consolidation, Merger and Sale of Assets. </w:t>
      </w:r>
      <w:r>
        <w:rPr>
          <w:rFonts w:ascii="Times New Roman" w:cs="Times New Roman" w:eastAsia="Times New Roman" w:hAnsi="Times New Roman"/>
          <w:sz w:val="14"/>
          <w:szCs w:val="14"/>
          <w:color w:val="auto"/>
        </w:rPr>
        <w:t>The indentures generally prohibit a consolidation or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Waste Management, Inc. into another person, or a conveyance, transfer or lease of our properties and assets substantially as an entirety to another person unless:</w:t>
      </w:r>
    </w:p>
    <w:p>
      <w:pPr>
        <w:spacing w:after="0" w:line="51" w:lineRule="exact"/>
        <w:rPr>
          <w:sz w:val="20"/>
          <w:szCs w:val="20"/>
          <w:color w:val="auto"/>
        </w:rPr>
      </w:pPr>
    </w:p>
    <w:p>
      <w:pPr>
        <w:ind w:left="1740" w:right="1559" w:hanging="149"/>
        <w:spacing w:after="0" w:line="261"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55" w:lineRule="exact"/>
        <w:rPr>
          <w:rFonts w:ascii="Times New Roman" w:cs="Times New Roman" w:eastAsia="Times New Roman" w:hAnsi="Times New Roman"/>
          <w:sz w:val="14"/>
          <w:szCs w:val="14"/>
          <w:color w:val="auto"/>
        </w:rPr>
      </w:pPr>
    </w:p>
    <w:p>
      <w:pPr>
        <w:ind w:left="1740" w:right="1439" w:hanging="149"/>
        <w:spacing w:after="0" w:line="28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would occur and be continuing or would result from the transaction.</w:t>
      </w:r>
    </w:p>
    <w:p>
      <w:pPr>
        <w:spacing w:after="0" w:line="73" w:lineRule="exact"/>
        <w:rPr>
          <w:sz w:val="20"/>
          <w:szCs w:val="20"/>
          <w:color w:val="auto"/>
        </w:rPr>
      </w:pPr>
    </w:p>
    <w:p>
      <w:pPr>
        <w:jc w:val="both"/>
        <w:ind w:left="1320" w:right="1639" w:firstLine="280"/>
        <w:spacing w:after="0" w:line="266" w:lineRule="auto"/>
        <w:rPr>
          <w:sz w:val="20"/>
          <w:szCs w:val="20"/>
          <w:color w:val="auto"/>
        </w:rPr>
      </w:pPr>
      <w:r>
        <w:rPr>
          <w:rFonts w:ascii="Times New Roman" w:cs="Times New Roman" w:eastAsia="Times New Roman" w:hAnsi="Times New Roman"/>
          <w:sz w:val="14"/>
          <w:szCs w:val="14"/>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2" w:lineRule="exact"/>
        <w:rPr>
          <w:sz w:val="20"/>
          <w:szCs w:val="20"/>
          <w:color w:val="auto"/>
        </w:rPr>
      </w:pPr>
    </w:p>
    <w:p>
      <w:pPr>
        <w:ind w:left="1320" w:right="1719" w:firstLine="28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Events of Default. </w:t>
      </w:r>
      <w:r>
        <w:rPr>
          <w:rFonts w:ascii="Times New Roman" w:cs="Times New Roman" w:eastAsia="Times New Roman" w:hAnsi="Times New Roman"/>
          <w:sz w:val="14"/>
          <w:szCs w:val="14"/>
          <w:color w:val="auto"/>
        </w:rPr>
        <w:t>Unless we inform you otherwise in the applicable prospectus supplement,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are events of default with respect to a series of debt securities:</w:t>
      </w:r>
    </w:p>
    <w:p>
      <w:pPr>
        <w:spacing w:after="0" w:line="40" w:lineRule="exact"/>
        <w:rPr>
          <w:sz w:val="20"/>
          <w:szCs w:val="20"/>
          <w:color w:val="auto"/>
        </w:rPr>
      </w:pPr>
    </w:p>
    <w:p>
      <w:pPr>
        <w:ind w:left="1740" w:hanging="149"/>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that series of debt securities for 30 days when due;</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that series of debt securities when due;</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deposit into any sinking fund when due;</w:t>
      </w:r>
    </w:p>
    <w:p>
      <w:pPr>
        <w:spacing w:after="0" w:line="91" w:lineRule="exact"/>
        <w:rPr>
          <w:rFonts w:ascii="Times New Roman" w:cs="Times New Roman" w:eastAsia="Times New Roman" w:hAnsi="Times New Roman"/>
          <w:sz w:val="14"/>
          <w:szCs w:val="14"/>
          <w:color w:val="auto"/>
        </w:rPr>
      </w:pPr>
    </w:p>
    <w:p>
      <w:pPr>
        <w:ind w:left="1740" w:right="1359" w:hanging="149"/>
        <w:spacing w:after="0" w:line="257"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7"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bankruptcy, insolvency or reorganization; and</w:t>
      </w:r>
    </w:p>
    <w:p>
      <w:pPr>
        <w:spacing w:after="0" w:line="10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that series of debt securities.</w:t>
      </w:r>
    </w:p>
    <w:p>
      <w:pPr>
        <w:spacing w:after="0" w:line="112" w:lineRule="exact"/>
        <w:rPr>
          <w:sz w:val="20"/>
          <w:szCs w:val="20"/>
          <w:color w:val="auto"/>
        </w:rPr>
      </w:pPr>
    </w:p>
    <w:p>
      <w:pPr>
        <w:ind w:left="1320" w:right="1519" w:firstLine="280"/>
        <w:spacing w:after="0" w:line="258" w:lineRule="auto"/>
        <w:rPr>
          <w:sz w:val="20"/>
          <w:szCs w:val="20"/>
          <w:color w:val="auto"/>
        </w:rPr>
      </w:pPr>
      <w:r>
        <w:rPr>
          <w:rFonts w:ascii="Times New Roman" w:cs="Times New Roman" w:eastAsia="Times New Roman" w:hAnsi="Times New Roman"/>
          <w:sz w:val="14"/>
          <w:szCs w:val="14"/>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201295</wp:posOffset>
            </wp:positionV>
            <wp:extent cx="53206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59" w:firstLine="280"/>
        <w:spacing w:after="0" w:line="282" w:lineRule="auto"/>
        <w:rPr>
          <w:sz w:val="20"/>
          <w:szCs w:val="20"/>
          <w:color w:val="auto"/>
        </w:rPr>
      </w:pPr>
      <w:r>
        <w:rPr>
          <w:rFonts w:ascii="Times New Roman" w:cs="Times New Roman" w:eastAsia="Times New Roman" w:hAnsi="Times New Roman"/>
          <w:sz w:val="14"/>
          <w:szCs w:val="14"/>
          <w:color w:val="auto"/>
        </w:rPr>
        <w:t>A holder of a debt security of any series issued under an indenture may pursue any remedy under that indenture only if:</w:t>
      </w:r>
    </w:p>
    <w:p>
      <w:pPr>
        <w:spacing w:after="0" w:line="52" w:lineRule="exact"/>
        <w:rPr>
          <w:sz w:val="20"/>
          <w:szCs w:val="20"/>
          <w:color w:val="auto"/>
        </w:rPr>
      </w:pPr>
    </w:p>
    <w:p>
      <w:pPr>
        <w:ind w:left="1740" w:hanging="149"/>
        <w:spacing w:after="0"/>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that series;</w:t>
      </w:r>
    </w:p>
    <w:p>
      <w:pPr>
        <w:spacing w:after="0" w:line="91" w:lineRule="exact"/>
        <w:rPr>
          <w:rFonts w:ascii="Times New Roman" w:cs="Times New Roman" w:eastAsia="Times New Roman" w:hAnsi="Times New Roman"/>
          <w:sz w:val="14"/>
          <w:szCs w:val="14"/>
          <w:color w:val="auto"/>
        </w:rPr>
      </w:pPr>
    </w:p>
    <w:p>
      <w:pPr>
        <w:ind w:left="1740" w:right="1419" w:hanging="149"/>
        <w:spacing w:after="0" w:line="28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debt securities of that series make a written request to the trustee to pursue the remedy;</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to the trustee indemnity satisfactory to the trustee;</w:t>
      </w:r>
    </w:p>
    <w:p>
      <w:pPr>
        <w:spacing w:after="0" w:line="10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act for a period of 60 days after receipt of the request and offer of indemnity; and</w:t>
      </w:r>
    </w:p>
    <w:p>
      <w:pPr>
        <w:spacing w:after="0" w:line="91" w:lineRule="exact"/>
        <w:rPr>
          <w:rFonts w:ascii="Times New Roman" w:cs="Times New Roman" w:eastAsia="Times New Roman" w:hAnsi="Times New Roman"/>
          <w:sz w:val="14"/>
          <w:szCs w:val="14"/>
          <w:color w:val="auto"/>
        </w:rPr>
      </w:pPr>
    </w:p>
    <w:p>
      <w:pPr>
        <w:ind w:left="1740" w:right="1399" w:hanging="149"/>
        <w:spacing w:after="0" w:line="28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debt securities of that series do not give the trustee a direction inconsistent with the request.</w:t>
      </w:r>
    </w:p>
    <w:p>
      <w:pPr>
        <w:spacing w:after="0" w:line="73" w:lineRule="exact"/>
        <w:rPr>
          <w:sz w:val="20"/>
          <w:szCs w:val="20"/>
          <w:color w:val="auto"/>
        </w:rPr>
      </w:pPr>
    </w:p>
    <w:p>
      <w:pPr>
        <w:ind w:left="1320" w:right="1439" w:firstLine="280"/>
        <w:spacing w:after="0" w:line="282" w:lineRule="auto"/>
        <w:rPr>
          <w:sz w:val="20"/>
          <w:szCs w:val="20"/>
          <w:color w:val="auto"/>
        </w:rPr>
      </w:pPr>
      <w:r>
        <w:rPr>
          <w:rFonts w:ascii="Times New Roman" w:cs="Times New Roman" w:eastAsia="Times New Roman" w:hAnsi="Times New Roman"/>
          <w:sz w:val="14"/>
          <w:szCs w:val="14"/>
          <w:color w:val="auto"/>
        </w:rPr>
        <w:t>This provision does not, however, affect the right of a holder of a debt security to sue for enforcement of any overdue payment.</w:t>
      </w:r>
    </w:p>
    <w:p>
      <w:pPr>
        <w:spacing w:after="0" w:line="73" w:lineRule="exact"/>
        <w:rPr>
          <w:sz w:val="20"/>
          <w:szCs w:val="20"/>
          <w:color w:val="auto"/>
        </w:rPr>
      </w:pPr>
    </w:p>
    <w:p>
      <w:pPr>
        <w:ind w:left="1320" w:right="1539" w:firstLine="280"/>
        <w:spacing w:after="0" w:line="261" w:lineRule="auto"/>
        <w:rPr>
          <w:sz w:val="20"/>
          <w:szCs w:val="20"/>
          <w:color w:val="auto"/>
        </w:rPr>
      </w:pPr>
      <w:r>
        <w:rPr>
          <w:rFonts w:ascii="Times New Roman" w:cs="Times New Roman" w:eastAsia="Times New Roman" w:hAnsi="Times New Roman"/>
          <w:sz w:val="14"/>
          <w:szCs w:val="14"/>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56" w:lineRule="exact"/>
        <w:rPr>
          <w:sz w:val="20"/>
          <w:szCs w:val="20"/>
          <w:color w:val="auto"/>
        </w:rPr>
      </w:pPr>
    </w:p>
    <w:p>
      <w:pPr>
        <w:ind w:left="1740" w:hanging="149"/>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and</w:t>
      </w:r>
    </w:p>
    <w:p>
      <w:pPr>
        <w:spacing w:after="0" w:line="91" w:lineRule="exact"/>
        <w:rPr>
          <w:rFonts w:ascii="Times New Roman" w:cs="Times New Roman" w:eastAsia="Times New Roman" w:hAnsi="Times New Roman"/>
          <w:sz w:val="14"/>
          <w:szCs w:val="14"/>
          <w:color w:val="auto"/>
        </w:rPr>
      </w:pPr>
    </w:p>
    <w:p>
      <w:pPr>
        <w:ind w:left="1740" w:right="1419" w:hanging="149"/>
        <w:spacing w:after="0" w:line="28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relating to or arising as a result of an event of default.</w:t>
      </w:r>
    </w:p>
    <w:p>
      <w:pPr>
        <w:spacing w:after="0" w:line="73" w:lineRule="exact"/>
        <w:rPr>
          <w:sz w:val="20"/>
          <w:szCs w:val="20"/>
          <w:color w:val="auto"/>
        </w:rPr>
      </w:pPr>
    </w:p>
    <w:p>
      <w:pPr>
        <w:ind w:left="1320" w:right="1599" w:firstLine="280"/>
        <w:spacing w:after="0" w:line="282" w:lineRule="auto"/>
        <w:rPr>
          <w:sz w:val="20"/>
          <w:szCs w:val="20"/>
          <w:color w:val="auto"/>
        </w:rPr>
      </w:pPr>
      <w:r>
        <w:rPr>
          <w:rFonts w:ascii="Times New Roman" w:cs="Times New Roman" w:eastAsia="Times New Roman" w:hAnsi="Times New Roman"/>
          <w:sz w:val="14"/>
          <w:szCs w:val="14"/>
          <w:color w:val="auto"/>
        </w:rPr>
        <w:t>The indentures require us to file each year with the trustee a written statement as to our compliance with the covenants contained in the applicable indenture.</w:t>
      </w:r>
    </w:p>
    <w:p>
      <w:pPr>
        <w:spacing w:after="0" w:line="71" w:lineRule="exact"/>
        <w:rPr>
          <w:sz w:val="20"/>
          <w:szCs w:val="20"/>
          <w:color w:val="auto"/>
        </w:rPr>
      </w:pPr>
    </w:p>
    <w:p>
      <w:pPr>
        <w:ind w:left="1320" w:right="1319" w:firstLine="280"/>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Modification and Waiver. </w:t>
      </w:r>
      <w:r>
        <w:rPr>
          <w:rFonts w:ascii="Times New Roman" w:cs="Times New Roman" w:eastAsia="Times New Roman" w:hAnsi="Times New Roman"/>
          <w:sz w:val="14"/>
          <w:szCs w:val="14"/>
          <w:color w:val="auto"/>
        </w:rPr>
        <w:t>Each indenture may be amended or supplemented if the majority in principal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1740" w:right="1519" w:hanging="149"/>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the debt security;</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the debt security or change its stated maturity;</w:t>
      </w:r>
    </w:p>
    <w:p>
      <w:pPr>
        <w:spacing w:after="0" w:line="101" w:lineRule="exact"/>
        <w:rPr>
          <w:rFonts w:ascii="Times New Roman" w:cs="Times New Roman" w:eastAsia="Times New Roman" w:hAnsi="Times New Roman"/>
          <w:sz w:val="14"/>
          <w:szCs w:val="14"/>
          <w:color w:val="auto"/>
        </w:rPr>
      </w:pPr>
    </w:p>
    <w:p>
      <w:pPr>
        <w:ind w:left="1740" w:right="1439" w:hanging="149"/>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on the redemption of the debt security or change the time at which the debt security may or must be redeemed;</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to pay additional amounts on the debt security;</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for us to maintain a paying agency;</w:t>
      </w:r>
    </w:p>
    <w:p>
      <w:pPr>
        <w:spacing w:after="0" w:line="101" w:lineRule="exact"/>
        <w:rPr>
          <w:rFonts w:ascii="Times New Roman" w:cs="Times New Roman" w:eastAsia="Times New Roman" w:hAnsi="Times New Roman"/>
          <w:sz w:val="14"/>
          <w:szCs w:val="14"/>
          <w:color w:val="auto"/>
        </w:rPr>
      </w:pPr>
    </w:p>
    <w:p>
      <w:pPr>
        <w:ind w:left="1740" w:right="1559" w:hanging="149"/>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on the debt security payable in currency other than as originally stated in the debt security;</w:t>
      </w:r>
    </w:p>
    <w:p>
      <w:pPr>
        <w:spacing w:after="0" w:line="52" w:lineRule="exact"/>
        <w:rPr>
          <w:rFonts w:ascii="Times New Roman" w:cs="Times New Roman" w:eastAsia="Times New Roman" w:hAnsi="Times New Roman"/>
          <w:sz w:val="14"/>
          <w:szCs w:val="14"/>
          <w:color w:val="auto"/>
        </w:rPr>
      </w:pPr>
    </w:p>
    <w:p>
      <w:pPr>
        <w:ind w:left="1740" w:right="1339" w:hanging="149"/>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holder’s right to institute suit for the enforcement of any payment on or with respect to the debt security;</w:t>
      </w:r>
    </w:p>
    <w:p>
      <w:pPr>
        <w:spacing w:after="0" w:line="41" w:lineRule="exact"/>
        <w:rPr>
          <w:rFonts w:ascii="Times New Roman" w:cs="Times New Roman" w:eastAsia="Times New Roman" w:hAnsi="Times New Roman"/>
          <w:sz w:val="14"/>
          <w:szCs w:val="14"/>
          <w:color w:val="auto"/>
        </w:rPr>
      </w:pPr>
    </w:p>
    <w:p>
      <w:pPr>
        <w:ind w:left="1740" w:right="1339" w:hanging="149"/>
        <w:spacing w:after="0" w:line="275"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percentage of principal amount of debt securities necessary to waive compliance with certain provisions of the indenture or to make any change in the provision related to modification; or</w:t>
      </w:r>
    </w:p>
    <w:p>
      <w:pPr>
        <w:spacing w:after="0" w:line="229"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right to convert subordinated debt securities, if applicable.</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19" w:firstLine="280"/>
        <w:spacing w:after="0" w:line="261"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56" w:lineRule="exact"/>
        <w:rPr>
          <w:sz w:val="20"/>
          <w:szCs w:val="20"/>
          <w:color w:val="auto"/>
        </w:rPr>
      </w:pPr>
    </w:p>
    <w:p>
      <w:pPr>
        <w:ind w:left="1740" w:hanging="149"/>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or event of default in any payment on any debt security; or</w:t>
      </w:r>
    </w:p>
    <w:p>
      <w:pPr>
        <w:spacing w:after="0" w:line="101" w:lineRule="exact"/>
        <w:rPr>
          <w:rFonts w:ascii="Times New Roman" w:cs="Times New Roman" w:eastAsia="Times New Roman" w:hAnsi="Times New Roman"/>
          <w:sz w:val="14"/>
          <w:szCs w:val="14"/>
          <w:color w:val="auto"/>
        </w:rPr>
      </w:pPr>
    </w:p>
    <w:p>
      <w:pPr>
        <w:ind w:left="1740" w:right="1539" w:hanging="149"/>
        <w:spacing w:after="0" w:line="282"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 provision that cannot be amended or supplemented without the consent of each holder affected.</w:t>
      </w:r>
    </w:p>
    <w:p>
      <w:pPr>
        <w:spacing w:after="0" w:line="61" w:lineRule="exact"/>
        <w:rPr>
          <w:sz w:val="20"/>
          <w:szCs w:val="20"/>
          <w:color w:val="auto"/>
        </w:rPr>
      </w:pPr>
    </w:p>
    <w:p>
      <w:pPr>
        <w:ind w:left="1320" w:right="131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When we use the term defeasance, we mean discharge from some or all of our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55" w:lineRule="exact"/>
        <w:rPr>
          <w:sz w:val="20"/>
          <w:szCs w:val="20"/>
          <w:color w:val="auto"/>
        </w:rPr>
      </w:pPr>
    </w:p>
    <w:p>
      <w:pPr>
        <w:ind w:left="1740" w:right="1559" w:hanging="149"/>
        <w:spacing w:after="0" w:line="282"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discharged from our obligations with respect to the debt securities of that series and, if applicable, the related guarantees (“legal defeasance”); or</w:t>
      </w:r>
    </w:p>
    <w:p>
      <w:pPr>
        <w:spacing w:after="0" w:line="41" w:lineRule="exact"/>
        <w:rPr>
          <w:rFonts w:ascii="Times New Roman" w:cs="Times New Roman" w:eastAsia="Times New Roman" w:hAnsi="Times New Roman"/>
          <w:sz w:val="14"/>
          <w:szCs w:val="14"/>
          <w:color w:val="auto"/>
        </w:rPr>
      </w:pPr>
    </w:p>
    <w:p>
      <w:pPr>
        <w:jc w:val="both"/>
        <w:ind w:left="1740" w:right="1359" w:hanging="149"/>
        <w:spacing w:after="0" w:line="266"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84" w:lineRule="exact"/>
        <w:rPr>
          <w:sz w:val="20"/>
          <w:szCs w:val="20"/>
          <w:color w:val="auto"/>
        </w:rPr>
      </w:pPr>
    </w:p>
    <w:p>
      <w:pPr>
        <w:ind w:left="1320" w:right="1379" w:firstLine="280"/>
        <w:spacing w:after="0" w:line="257" w:lineRule="auto"/>
        <w:rPr>
          <w:sz w:val="20"/>
          <w:szCs w:val="20"/>
          <w:color w:val="auto"/>
        </w:rPr>
      </w:pPr>
      <w:r>
        <w:rPr>
          <w:rFonts w:ascii="Times New Roman" w:cs="Times New Roman" w:eastAsia="Times New Roman" w:hAnsi="Times New Roman"/>
          <w:sz w:val="14"/>
          <w:szCs w:val="14"/>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89" w:lineRule="exact"/>
        <w:rPr>
          <w:sz w:val="20"/>
          <w:szCs w:val="20"/>
          <w:color w:val="auto"/>
        </w:rPr>
      </w:pPr>
    </w:p>
    <w:p>
      <w:pPr>
        <w:ind w:left="1320" w:right="1339" w:firstLine="280"/>
        <w:spacing w:after="0" w:line="259"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248" w:lineRule="exact"/>
        <w:rPr>
          <w:sz w:val="20"/>
          <w:szCs w:val="20"/>
          <w:color w:val="auto"/>
        </w:rPr>
      </w:pPr>
    </w:p>
    <w:p>
      <w:pPr>
        <w:ind w:left="1600"/>
        <w:spacing w:after="0"/>
        <w:tabs>
          <w:tab w:leader="none" w:pos="2620" w:val="left"/>
        </w:tabs>
        <w:rPr>
          <w:sz w:val="20"/>
          <w:szCs w:val="20"/>
          <w:color w:val="auto"/>
        </w:rPr>
      </w:pPr>
      <w:r>
        <w:rPr>
          <w:rFonts w:ascii="Times New Roman" w:cs="Times New Roman" w:eastAsia="Times New Roman" w:hAnsi="Times New Roman"/>
          <w:sz w:val="14"/>
          <w:szCs w:val="14"/>
          <w:i w:val="1"/>
          <w:iCs w:val="1"/>
          <w:color w:val="auto"/>
        </w:rPr>
        <w:t>Governing Law.</w:t>
      </w:r>
      <w:r>
        <w:rPr>
          <w:sz w:val="20"/>
          <w:szCs w:val="20"/>
          <w:color w:val="auto"/>
        </w:rPr>
        <w:tab/>
      </w:r>
      <w:r>
        <w:rPr>
          <w:rFonts w:ascii="Times New Roman" w:cs="Times New Roman" w:eastAsia="Times New Roman" w:hAnsi="Times New Roman"/>
          <w:sz w:val="14"/>
          <w:szCs w:val="14"/>
          <w:color w:val="auto"/>
        </w:rPr>
        <w:t>New York law will govern the indentures and the debt securities.</w:t>
      </w:r>
    </w:p>
    <w:p>
      <w:pPr>
        <w:spacing w:after="0" w:line="123"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Trustee. </w:t>
      </w:r>
      <w:r>
        <w:rPr>
          <w:rFonts w:ascii="Times New Roman" w:cs="Times New Roman" w:eastAsia="Times New Roman" w:hAnsi="Times New Roman"/>
          <w:sz w:val="14"/>
          <w:szCs w:val="14"/>
          <w:color w:val="auto"/>
        </w:rPr>
        <w:t>The Bank of New York Mellon Trust Company, N.A. is the trustee under the senior indenture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260"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80" w:lineRule="exact"/>
        <w:rPr>
          <w:sz w:val="20"/>
          <w:szCs w:val="20"/>
          <w:color w:val="auto"/>
        </w:rPr>
      </w:pPr>
    </w:p>
    <w:p>
      <w:pPr>
        <w:ind w:left="1320" w:right="1559" w:firstLine="280"/>
        <w:spacing w:after="0" w:line="261" w:lineRule="auto"/>
        <w:rPr>
          <w:sz w:val="20"/>
          <w:szCs w:val="20"/>
          <w:color w:val="auto"/>
        </w:rPr>
      </w:pPr>
      <w:r>
        <w:rPr>
          <w:rFonts w:ascii="Times New Roman" w:cs="Times New Roman" w:eastAsia="Times New Roman" w:hAnsi="Times New Roman"/>
          <w:sz w:val="14"/>
          <w:szCs w:val="14"/>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85" w:lineRule="exact"/>
        <w:rPr>
          <w:sz w:val="20"/>
          <w:szCs w:val="20"/>
          <w:color w:val="auto"/>
        </w:rPr>
      </w:pPr>
    </w:p>
    <w:p>
      <w:pPr>
        <w:ind w:left="1320" w:right="151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Form, Exchange, Registration and Transfer. </w:t>
      </w:r>
      <w:r>
        <w:rPr>
          <w:rFonts w:ascii="Times New Roman" w:cs="Times New Roman" w:eastAsia="Times New Roman" w:hAnsi="Times New Roman"/>
          <w:sz w:val="14"/>
          <w:szCs w:val="14"/>
          <w:color w:val="auto"/>
        </w:rPr>
        <w:t>The debt securities may be issued in registered 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86" w:lineRule="exact"/>
        <w:rPr>
          <w:sz w:val="20"/>
          <w:szCs w:val="20"/>
          <w:color w:val="auto"/>
        </w:rPr>
      </w:pPr>
    </w:p>
    <w:p>
      <w:pPr>
        <w:ind w:left="1320" w:right="1359" w:firstLine="280"/>
        <w:spacing w:after="0" w:line="246" w:lineRule="auto"/>
        <w:rPr>
          <w:sz w:val="20"/>
          <w:szCs w:val="20"/>
          <w:color w:val="auto"/>
        </w:rPr>
      </w:pPr>
      <w:r>
        <w:rPr>
          <w:rFonts w:ascii="Times New Roman" w:cs="Times New Roman" w:eastAsia="Times New Roman" w:hAnsi="Times New Roman"/>
          <w:sz w:val="14"/>
          <w:szCs w:val="14"/>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 the case of any redemption, we will not be required to register the transfer or exchange of:</w:t>
      </w:r>
    </w:p>
    <w:p>
      <w:pPr>
        <w:spacing w:after="0" w:line="91" w:lineRule="exact"/>
        <w:rPr>
          <w:sz w:val="20"/>
          <w:szCs w:val="20"/>
          <w:color w:val="auto"/>
        </w:rPr>
      </w:pPr>
    </w:p>
    <w:p>
      <w:pPr>
        <w:ind w:left="1740" w:right="1359" w:hanging="149"/>
        <w:spacing w:after="0" w:line="275"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debt security during a period beginning 15 business days prior to the mailing of the relevant notice of redemption or repurchase and ending on the close of business on the day of mailing of such notice; or</w:t>
      </w:r>
    </w:p>
    <w:p>
      <w:pPr>
        <w:spacing w:after="0" w:line="208" w:lineRule="exact"/>
        <w:rPr>
          <w:rFonts w:ascii="Times New Roman" w:cs="Times New Roman" w:eastAsia="Times New Roman" w:hAnsi="Times New Roman"/>
          <w:sz w:val="14"/>
          <w:szCs w:val="14"/>
          <w:color w:val="auto"/>
        </w:rPr>
      </w:pPr>
    </w:p>
    <w:p>
      <w:pPr>
        <w:ind w:left="1740" w:right="1639" w:hanging="149"/>
        <w:spacing w:after="0" w:line="282"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debt security that has been called for redemption in whole or in part, except the unredeemed portion of any debt security being redeemed in part.</w:t>
      </w:r>
    </w:p>
    <w:p>
      <w:pPr>
        <w:spacing w:after="0" w:line="71"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Payment and Paying Agents. </w:t>
      </w:r>
      <w:r>
        <w:rPr>
          <w:rFonts w:ascii="Times New Roman" w:cs="Times New Roman" w:eastAsia="Times New Roman" w:hAnsi="Times New Roman"/>
          <w:sz w:val="14"/>
          <w:szCs w:val="14"/>
          <w:color w:val="auto"/>
        </w:rPr>
        <w:t>Unless we inform you otherwise in a prospectus supplement,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87" w:lineRule="exact"/>
        <w:rPr>
          <w:sz w:val="20"/>
          <w:szCs w:val="20"/>
          <w:color w:val="auto"/>
        </w:rPr>
      </w:pPr>
    </w:p>
    <w:p>
      <w:pPr>
        <w:ind w:left="1320" w:right="1399" w:firstLine="280"/>
        <w:spacing w:after="0" w:line="250" w:lineRule="auto"/>
        <w:rPr>
          <w:sz w:val="20"/>
          <w:szCs w:val="20"/>
          <w:color w:val="auto"/>
        </w:rPr>
      </w:pPr>
      <w:r>
        <w:rPr>
          <w:rFonts w:ascii="Times New Roman" w:cs="Times New Roman" w:eastAsia="Times New Roman" w:hAnsi="Times New Roman"/>
          <w:sz w:val="14"/>
          <w:szCs w:val="14"/>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85" w:lineRule="exact"/>
        <w:rPr>
          <w:sz w:val="20"/>
          <w:szCs w:val="20"/>
          <w:color w:val="auto"/>
        </w:rPr>
      </w:pPr>
    </w:p>
    <w:p>
      <w:pPr>
        <w:ind w:left="1320" w:right="1359" w:firstLine="280"/>
        <w:spacing w:after="0" w:line="247" w:lineRule="auto"/>
        <w:rPr>
          <w:sz w:val="20"/>
          <w:szCs w:val="20"/>
          <w:color w:val="auto"/>
        </w:rPr>
      </w:pPr>
      <w:r>
        <w:rPr>
          <w:rFonts w:ascii="Times New Roman" w:cs="Times New Roman" w:eastAsia="Times New Roman" w:hAnsi="Times New Roman"/>
          <w:sz w:val="14"/>
          <w:szCs w:val="14"/>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253" w:lineRule="exact"/>
        <w:rPr>
          <w:sz w:val="20"/>
          <w:szCs w:val="20"/>
          <w:color w:val="auto"/>
        </w:rPr>
      </w:pPr>
    </w:p>
    <w:p>
      <w:pPr>
        <w:ind w:left="1320" w:right="1339" w:firstLine="280"/>
        <w:spacing w:after="0" w:line="246" w:lineRule="auto"/>
        <w:rPr>
          <w:sz w:val="20"/>
          <w:szCs w:val="20"/>
          <w:color w:val="auto"/>
        </w:rPr>
      </w:pPr>
      <w:r>
        <w:rPr>
          <w:rFonts w:ascii="Times New Roman" w:cs="Times New Roman" w:eastAsia="Times New Roman" w:hAnsi="Times New Roman"/>
          <w:sz w:val="14"/>
          <w:szCs w:val="14"/>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87" w:lineRule="exact"/>
        <w:rPr>
          <w:sz w:val="20"/>
          <w:szCs w:val="20"/>
          <w:color w:val="auto"/>
        </w:rPr>
      </w:pPr>
    </w:p>
    <w:p>
      <w:pPr>
        <w:ind w:left="1320" w:right="1459" w:firstLine="280"/>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Book-Entry Debt Securities. </w:t>
      </w:r>
      <w:r>
        <w:rPr>
          <w:rFonts w:ascii="Times New Roman" w:cs="Times New Roman" w:eastAsia="Times New Roman" w:hAnsi="Times New Roman"/>
          <w:sz w:val="14"/>
          <w:szCs w:val="14"/>
          <w:color w:val="auto"/>
        </w:rPr>
        <w:t>The debt securities of a series may be issued in the form of one 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Provisions Applicable Solely to Senior Debt Securities</w:t>
      </w:r>
    </w:p>
    <w:p>
      <w:pPr>
        <w:spacing w:after="0" w:line="123" w:lineRule="exact"/>
        <w:rPr>
          <w:sz w:val="20"/>
          <w:szCs w:val="20"/>
          <w:color w:val="auto"/>
        </w:rPr>
      </w:pPr>
    </w:p>
    <w:p>
      <w:pPr>
        <w:ind w:left="1320" w:right="1359" w:firstLine="280"/>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Ranking and Guarantee. </w:t>
      </w:r>
      <w:r>
        <w:rPr>
          <w:rFonts w:ascii="Times New Roman" w:cs="Times New Roman" w:eastAsia="Times New Roman" w:hAnsi="Times New Roman"/>
          <w:sz w:val="14"/>
          <w:szCs w:val="14"/>
          <w:color w:val="auto"/>
        </w:rPr>
        <w:t>The senior debt securities will constitute senior debt of Waste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66" w:lineRule="auto"/>
        <w:rPr>
          <w:sz w:val="20"/>
          <w:szCs w:val="20"/>
          <w:color w:val="auto"/>
        </w:rPr>
      </w:pPr>
      <w:r>
        <w:rPr>
          <w:rFonts w:ascii="Times New Roman" w:cs="Times New Roman" w:eastAsia="Times New Roman" w:hAnsi="Times New Roman"/>
          <w:sz w:val="14"/>
          <w:szCs w:val="14"/>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82" w:lineRule="exact"/>
        <w:rPr>
          <w:sz w:val="20"/>
          <w:szCs w:val="20"/>
          <w:color w:val="auto"/>
        </w:rPr>
      </w:pPr>
    </w:p>
    <w:p>
      <w:pPr>
        <w:ind w:left="1320" w:right="137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Restrictive Covenants. </w:t>
      </w:r>
      <w:r>
        <w:rPr>
          <w:rFonts w:ascii="Times New Roman" w:cs="Times New Roman" w:eastAsia="Times New Roman" w:hAnsi="Times New Roman"/>
          <w:sz w:val="14"/>
          <w:szCs w:val="14"/>
          <w:color w:val="auto"/>
        </w:rPr>
        <w:t>We have agreed to two principal restrictions on our activities for the benefit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125" w:lineRule="exact"/>
        <w:rPr>
          <w:sz w:val="20"/>
          <w:szCs w:val="20"/>
          <w:color w:val="auto"/>
        </w:rPr>
      </w:pPr>
    </w:p>
    <w:p>
      <w:pPr>
        <w:jc w:val="both"/>
        <w:ind w:left="1320" w:right="1339" w:firstLine="280"/>
        <w:spacing w:after="0" w:line="266" w:lineRule="auto"/>
        <w:rPr>
          <w:sz w:val="20"/>
          <w:szCs w:val="20"/>
          <w:color w:val="auto"/>
        </w:rPr>
      </w:pPr>
      <w:r>
        <w:rPr>
          <w:rFonts w:ascii="Times New Roman" w:cs="Times New Roman" w:eastAsia="Times New Roman" w:hAnsi="Times New Roman"/>
          <w:sz w:val="14"/>
          <w:szCs w:val="14"/>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4" w:lineRule="exact"/>
        <w:rPr>
          <w:sz w:val="20"/>
          <w:szCs w:val="20"/>
          <w:color w:val="auto"/>
        </w:rPr>
      </w:pPr>
    </w:p>
    <w:p>
      <w:pPr>
        <w:ind w:left="1600" w:right="1619" w:firstLine="271"/>
        <w:spacing w:after="0" w:line="282" w:lineRule="auto"/>
        <w:tabs>
          <w:tab w:leader="none" w:pos="215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or assets existing at the time of acquisition which secure obligations assumed by us or our Restricted Subsidiaries;</w:t>
      </w:r>
    </w:p>
    <w:p>
      <w:pPr>
        <w:spacing w:after="0" w:line="73" w:lineRule="exact"/>
        <w:rPr>
          <w:rFonts w:ascii="Times New Roman" w:cs="Times New Roman" w:eastAsia="Times New Roman" w:hAnsi="Times New Roman"/>
          <w:sz w:val="14"/>
          <w:szCs w:val="14"/>
          <w:color w:val="auto"/>
        </w:rPr>
      </w:pPr>
    </w:p>
    <w:p>
      <w:pPr>
        <w:ind w:left="1600" w:right="1799" w:firstLine="271"/>
        <w:spacing w:after="0" w:line="282" w:lineRule="auto"/>
        <w:tabs>
          <w:tab w:leader="none" w:pos="216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conditional sales agreements with respect to any property or assets acquired by us or a Restricted Subsidiary;</w:t>
      </w:r>
    </w:p>
    <w:p>
      <w:pPr>
        <w:spacing w:after="0" w:line="73" w:lineRule="exact"/>
        <w:rPr>
          <w:rFonts w:ascii="Times New Roman" w:cs="Times New Roman" w:eastAsia="Times New Roman" w:hAnsi="Times New Roman"/>
          <w:sz w:val="14"/>
          <w:szCs w:val="14"/>
          <w:color w:val="auto"/>
        </w:rPr>
      </w:pPr>
    </w:p>
    <w:p>
      <w:pPr>
        <w:ind w:left="1600" w:right="1739" w:firstLine="271"/>
        <w:spacing w:after="0" w:line="266" w:lineRule="auto"/>
        <w:tabs>
          <w:tab w:leader="none" w:pos="215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assets or stock of an entity at the time the entity is merged into or consolidated with us or a Restricted Subsidiary or at the time the entity becomes a Restricted Subsidiary;</w:t>
      </w:r>
    </w:p>
    <w:p>
      <w:pPr>
        <w:spacing w:after="0" w:line="73" w:lineRule="exact"/>
        <w:rPr>
          <w:rFonts w:ascii="Times New Roman" w:cs="Times New Roman" w:eastAsia="Times New Roman" w:hAnsi="Times New Roman"/>
          <w:sz w:val="14"/>
          <w:szCs w:val="14"/>
          <w:color w:val="auto"/>
        </w:rPr>
      </w:pPr>
    </w:p>
    <w:p>
      <w:pPr>
        <w:jc w:val="both"/>
        <w:ind w:left="1600" w:right="1579" w:firstLine="271"/>
        <w:spacing w:after="0" w:line="266" w:lineRule="auto"/>
        <w:tabs>
          <w:tab w:leader="none" w:pos="216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assets or stock of any successor entity that becomes the Company in accordance with “— Provisions Applicable to Each Indenture — Consolidation, Merger and Sale of Assets,” above;</w:t>
      </w:r>
    </w:p>
    <w:p>
      <w:pPr>
        <w:spacing w:after="0" w:line="84" w:lineRule="exact"/>
        <w:rPr>
          <w:rFonts w:ascii="Times New Roman" w:cs="Times New Roman" w:eastAsia="Times New Roman" w:hAnsi="Times New Roman"/>
          <w:sz w:val="14"/>
          <w:szCs w:val="14"/>
          <w:color w:val="auto"/>
        </w:rPr>
      </w:pPr>
    </w:p>
    <w:p>
      <w:pPr>
        <w:ind w:left="2140" w:hanging="269"/>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assets either:</w:t>
      </w:r>
    </w:p>
    <w:p>
      <w:pPr>
        <w:spacing w:after="0" w:line="91" w:lineRule="exact"/>
        <w:rPr>
          <w:rFonts w:ascii="Times New Roman" w:cs="Times New Roman" w:eastAsia="Times New Roman" w:hAnsi="Times New Roman"/>
          <w:sz w:val="14"/>
          <w:szCs w:val="14"/>
          <w:color w:val="auto"/>
        </w:rPr>
      </w:pPr>
    </w:p>
    <w:p>
      <w:pPr>
        <w:ind w:left="2300" w:hanging="148"/>
        <w:spacing w:after="0"/>
        <w:tabs>
          <w:tab w:leader="none" w:pos="23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at the time of, or created within 360 days after, the acquisition of the assets, or</w:t>
      </w:r>
    </w:p>
    <w:p>
      <w:pPr>
        <w:spacing w:after="0" w:line="91" w:lineRule="exact"/>
        <w:rPr>
          <w:rFonts w:ascii="Times New Roman" w:cs="Times New Roman" w:eastAsia="Times New Roman" w:hAnsi="Times New Roman"/>
          <w:sz w:val="14"/>
          <w:szCs w:val="14"/>
          <w:color w:val="auto"/>
        </w:rPr>
      </w:pPr>
    </w:p>
    <w:p>
      <w:pPr>
        <w:ind w:left="2300" w:right="1479" w:hanging="148"/>
        <w:spacing w:after="0" w:line="258" w:lineRule="auto"/>
        <w:tabs>
          <w:tab w:leader="none" w:pos="23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0" w:lineRule="exact"/>
        <w:rPr>
          <w:rFonts w:ascii="Times New Roman" w:cs="Times New Roman" w:eastAsia="Times New Roman" w:hAnsi="Times New Roman"/>
          <w:sz w:val="14"/>
          <w:szCs w:val="14"/>
          <w:color w:val="auto"/>
        </w:rPr>
      </w:pPr>
    </w:p>
    <w:p>
      <w:pPr>
        <w:ind w:left="2140" w:hanging="269"/>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liens;</w:t>
      </w:r>
    </w:p>
    <w:p>
      <w:pPr>
        <w:spacing w:after="0" w:line="112" w:lineRule="exact"/>
        <w:rPr>
          <w:rFonts w:ascii="Times New Roman" w:cs="Times New Roman" w:eastAsia="Times New Roman" w:hAnsi="Times New Roman"/>
          <w:sz w:val="14"/>
          <w:szCs w:val="14"/>
          <w:color w:val="auto"/>
        </w:rPr>
      </w:pPr>
    </w:p>
    <w:p>
      <w:pPr>
        <w:ind w:left="2160" w:hanging="289"/>
        <w:spacing w:after="0"/>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mechanics’, materialmen’s and like liens incurred in the ordinary course of business;</w:t>
      </w:r>
    </w:p>
    <w:p>
      <w:pPr>
        <w:spacing w:after="0" w:line="122" w:lineRule="exact"/>
        <w:rPr>
          <w:rFonts w:ascii="Times New Roman" w:cs="Times New Roman" w:eastAsia="Times New Roman" w:hAnsi="Times New Roman"/>
          <w:sz w:val="14"/>
          <w:szCs w:val="14"/>
          <w:color w:val="auto"/>
        </w:rPr>
      </w:pPr>
    </w:p>
    <w:p>
      <w:pPr>
        <w:ind w:left="1600" w:right="1519" w:firstLine="271"/>
        <w:spacing w:after="0" w:line="282" w:lineRule="auto"/>
        <w:tabs>
          <w:tab w:leader="none" w:pos="216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by deposits or security given to governmental agencies required in order to do business with the government;</w:t>
      </w:r>
    </w:p>
    <w:p>
      <w:pPr>
        <w:spacing w:after="0" w:line="73" w:lineRule="exact"/>
        <w:rPr>
          <w:rFonts w:ascii="Times New Roman" w:cs="Times New Roman" w:eastAsia="Times New Roman" w:hAnsi="Times New Roman"/>
          <w:sz w:val="14"/>
          <w:szCs w:val="14"/>
          <w:color w:val="auto"/>
        </w:rPr>
      </w:pPr>
    </w:p>
    <w:p>
      <w:pPr>
        <w:ind w:left="1600" w:right="1439" w:firstLine="271"/>
        <w:spacing w:after="0" w:line="282" w:lineRule="auto"/>
        <w:tabs>
          <w:tab w:leader="none" w:pos="213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governmental charges not yet delinquent or being contested in good faith;</w:t>
      </w:r>
    </w:p>
    <w:p>
      <w:pPr>
        <w:spacing w:after="0" w:line="62" w:lineRule="exact"/>
        <w:rPr>
          <w:rFonts w:ascii="Times New Roman" w:cs="Times New Roman" w:eastAsia="Times New Roman" w:hAnsi="Times New Roman"/>
          <w:sz w:val="14"/>
          <w:szCs w:val="14"/>
          <w:color w:val="auto"/>
        </w:rPr>
      </w:pPr>
    </w:p>
    <w:p>
      <w:pPr>
        <w:ind w:left="1600" w:right="1639" w:firstLine="271"/>
        <w:spacing w:after="0" w:line="282" w:lineRule="auto"/>
        <w:tabs>
          <w:tab w:leader="none" w:pos="213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connection with legal proceedings so long as the proceeding is being contested in good faith or execution thereon is stayed;</w:t>
      </w:r>
    </w:p>
    <w:p>
      <w:pPr>
        <w:spacing w:after="0" w:line="73" w:lineRule="exact"/>
        <w:rPr>
          <w:rFonts w:ascii="Times New Roman" w:cs="Times New Roman" w:eastAsia="Times New Roman" w:hAnsi="Times New Roman"/>
          <w:sz w:val="14"/>
          <w:szCs w:val="14"/>
          <w:color w:val="auto"/>
        </w:rPr>
      </w:pPr>
    </w:p>
    <w:p>
      <w:pPr>
        <w:ind w:left="1600" w:right="1439" w:firstLine="271"/>
        <w:spacing w:after="0" w:line="282" w:lineRule="auto"/>
        <w:tabs>
          <w:tab w:leader="none" w:pos="216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landlord’s liens on fixtures located on property leased by us or Restricted Subsidiaries in the ordinary course of business;</w:t>
      </w:r>
    </w:p>
    <w:p>
      <w:pPr>
        <w:spacing w:after="0" w:line="73" w:lineRule="exact"/>
        <w:rPr>
          <w:rFonts w:ascii="Times New Roman" w:cs="Times New Roman" w:eastAsia="Times New Roman" w:hAnsi="Times New Roman"/>
          <w:sz w:val="14"/>
          <w:szCs w:val="14"/>
          <w:color w:val="auto"/>
        </w:rPr>
      </w:pPr>
    </w:p>
    <w:p>
      <w:pPr>
        <w:ind w:left="1600" w:right="1559" w:firstLine="271"/>
        <w:spacing w:after="0" w:line="282" w:lineRule="auto"/>
        <w:tabs>
          <w:tab w:leader="none" w:pos="213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any governmental authority in connection with the financing of the cost of construction or acquisition of property;</w:t>
      </w:r>
    </w:p>
    <w:p>
      <w:pPr>
        <w:spacing w:after="0" w:line="62" w:lineRule="exact"/>
        <w:rPr>
          <w:rFonts w:ascii="Times New Roman" w:cs="Times New Roman" w:eastAsia="Times New Roman" w:hAnsi="Times New Roman"/>
          <w:sz w:val="14"/>
          <w:szCs w:val="14"/>
          <w:color w:val="auto"/>
        </w:rPr>
      </w:pPr>
    </w:p>
    <w:p>
      <w:pPr>
        <w:ind w:left="1600" w:right="1399" w:firstLine="271"/>
        <w:spacing w:after="0" w:line="282" w:lineRule="auto"/>
        <w:tabs>
          <w:tab w:leader="none" w:pos="2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due to deposits to qualify us or a Restricted Subsidiary to do business, maintain self-insurance or obtain the benefit of or comply with laws;</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439" w:firstLine="271"/>
        <w:spacing w:after="0" w:line="282" w:lineRule="auto"/>
        <w:tabs>
          <w:tab w:leader="none" w:pos="216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incurred in connection with pollution control, sewage or solid waste disposal industrial revenue or similar financings;</w:t>
      </w:r>
    </w:p>
    <w:p>
      <w:pPr>
        <w:spacing w:after="0" w:line="73" w:lineRule="exact"/>
        <w:rPr>
          <w:rFonts w:ascii="Times New Roman" w:cs="Times New Roman" w:eastAsia="Times New Roman" w:hAnsi="Times New Roman"/>
          <w:sz w:val="14"/>
          <w:szCs w:val="14"/>
          <w:color w:val="auto"/>
        </w:rPr>
      </w:pPr>
    </w:p>
    <w:p>
      <w:pPr>
        <w:ind w:left="2160" w:hanging="289"/>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in connection with the sale of accounts receivable; and</w:t>
      </w:r>
    </w:p>
    <w:p>
      <w:pPr>
        <w:spacing w:after="0" w:line="122" w:lineRule="exact"/>
        <w:rPr>
          <w:rFonts w:ascii="Times New Roman" w:cs="Times New Roman" w:eastAsia="Times New Roman" w:hAnsi="Times New Roman"/>
          <w:sz w:val="14"/>
          <w:szCs w:val="14"/>
          <w:color w:val="auto"/>
        </w:rPr>
      </w:pPr>
    </w:p>
    <w:p>
      <w:pPr>
        <w:ind w:left="1600" w:right="1519" w:firstLine="271"/>
        <w:spacing w:after="0" w:line="266" w:lineRule="auto"/>
        <w:tabs>
          <w:tab w:leader="none" w:pos="216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extensions, substitutions, replacements or renewals of the above-described liens or any Indebtedness secured by these liens if the lien is limited to the property (plus any improvements) secured by the original lien.</w:t>
      </w:r>
    </w:p>
    <w:p>
      <w:pPr>
        <w:spacing w:after="0" w:line="74" w:lineRule="exact"/>
        <w:rPr>
          <w:sz w:val="20"/>
          <w:szCs w:val="20"/>
          <w:color w:val="auto"/>
        </w:rPr>
      </w:pPr>
    </w:p>
    <w:p>
      <w:pPr>
        <w:ind w:left="1320" w:right="1359" w:firstLine="280"/>
        <w:spacing w:after="0" w:line="255" w:lineRule="auto"/>
        <w:rPr>
          <w:sz w:val="20"/>
          <w:szCs w:val="20"/>
          <w:color w:val="auto"/>
        </w:rPr>
      </w:pPr>
      <w:r>
        <w:rPr>
          <w:rFonts w:ascii="Times New Roman" w:cs="Times New Roman" w:eastAsia="Times New Roman" w:hAnsi="Times New Roman"/>
          <w:sz w:val="14"/>
          <w:szCs w:val="14"/>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Sale/Leaseback Transactions</w:t>
      </w:r>
    </w:p>
    <w:p>
      <w:pPr>
        <w:spacing w:after="0" w:line="125" w:lineRule="exact"/>
        <w:rPr>
          <w:sz w:val="20"/>
          <w:szCs w:val="20"/>
          <w:color w:val="auto"/>
        </w:rPr>
      </w:pPr>
    </w:p>
    <w:p>
      <w:pPr>
        <w:ind w:left="1320" w:right="1639" w:firstLine="280"/>
        <w:spacing w:after="0" w:line="282" w:lineRule="auto"/>
        <w:rPr>
          <w:sz w:val="20"/>
          <w:szCs w:val="20"/>
          <w:color w:val="auto"/>
        </w:rPr>
      </w:pPr>
      <w:r>
        <w:rPr>
          <w:rFonts w:ascii="Times New Roman" w:cs="Times New Roman" w:eastAsia="Times New Roman" w:hAnsi="Times New Roman"/>
          <w:sz w:val="14"/>
          <w:szCs w:val="14"/>
          <w:color w:val="auto"/>
        </w:rPr>
        <w:t>Unless provided otherwise in a prospectus supplement, we and our Restricted Subsidiaries will not enter into a Sale/Leaseback Transaction unless at least one of the following applies:</w:t>
      </w:r>
    </w:p>
    <w:p>
      <w:pPr>
        <w:spacing w:after="0" w:line="73" w:lineRule="exact"/>
        <w:rPr>
          <w:sz w:val="20"/>
          <w:szCs w:val="20"/>
          <w:color w:val="auto"/>
        </w:rPr>
      </w:pPr>
    </w:p>
    <w:p>
      <w:pPr>
        <w:ind w:left="1600" w:right="1339" w:firstLine="271"/>
        <w:spacing w:after="0" w:line="261" w:lineRule="auto"/>
        <w:tabs>
          <w:tab w:leader="none" w:pos="21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76" w:lineRule="exact"/>
        <w:rPr>
          <w:rFonts w:ascii="Times New Roman" w:cs="Times New Roman" w:eastAsia="Times New Roman" w:hAnsi="Times New Roman"/>
          <w:sz w:val="14"/>
          <w:szCs w:val="14"/>
          <w:color w:val="auto"/>
        </w:rPr>
      </w:pPr>
    </w:p>
    <w:p>
      <w:pPr>
        <w:ind w:left="1600" w:right="1359" w:firstLine="271"/>
        <w:spacing w:after="0" w:line="258" w:lineRule="auto"/>
        <w:tabs>
          <w:tab w:leader="none" w:pos="216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debt securities listed under the senior indenture or debt incurred by a Restricted Subsidiary; or</w:t>
      </w:r>
    </w:p>
    <w:p>
      <w:pPr>
        <w:spacing w:after="0" w:line="90" w:lineRule="exact"/>
        <w:rPr>
          <w:rFonts w:ascii="Times New Roman" w:cs="Times New Roman" w:eastAsia="Times New Roman" w:hAnsi="Times New Roman"/>
          <w:sz w:val="14"/>
          <w:szCs w:val="14"/>
          <w:color w:val="auto"/>
        </w:rPr>
      </w:pPr>
    </w:p>
    <w:p>
      <w:pPr>
        <w:jc w:val="both"/>
        <w:ind w:left="1600" w:right="1539" w:firstLine="271"/>
        <w:spacing w:after="0" w:line="266" w:lineRule="auto"/>
        <w:tabs>
          <w:tab w:leader="none" w:pos="21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4" w:lineRule="exact"/>
        <w:rPr>
          <w:sz w:val="20"/>
          <w:szCs w:val="20"/>
          <w:color w:val="auto"/>
        </w:rPr>
      </w:pPr>
    </w:p>
    <w:p>
      <w:pPr>
        <w:ind w:left="1320" w:right="1619" w:firstLine="280"/>
        <w:spacing w:after="0" w:line="258" w:lineRule="auto"/>
        <w:rPr>
          <w:sz w:val="20"/>
          <w:szCs w:val="20"/>
          <w:color w:val="auto"/>
        </w:rPr>
      </w:pPr>
      <w:r>
        <w:rPr>
          <w:rFonts w:ascii="Times New Roman" w:cs="Times New Roman" w:eastAsia="Times New Roman" w:hAnsi="Times New Roman"/>
          <w:sz w:val="14"/>
          <w:szCs w:val="14"/>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p>
      <w:pPr>
        <w:spacing w:after="0" w:line="112" w:lineRule="exact"/>
        <w:rPr>
          <w:sz w:val="20"/>
          <w:szCs w:val="20"/>
          <w:color w:val="auto"/>
        </w:rPr>
      </w:pPr>
    </w:p>
    <w:p>
      <w:pPr>
        <w:ind w:left="1320" w:right="1399" w:firstLine="28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“Attributable Debt” </w:t>
      </w:r>
      <w:r>
        <w:rPr>
          <w:rFonts w:ascii="Times New Roman" w:cs="Times New Roman" w:eastAsia="Times New Roman" w:hAnsi="Times New Roman"/>
          <w:sz w:val="14"/>
          <w:szCs w:val="14"/>
          <w:color w:val="auto"/>
        </w:rPr>
        <w:t>means the present value of the rental payments during the remaining term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59" w:firstLine="28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“Consolidated Net Tangible Assets” </w:t>
      </w:r>
      <w:r>
        <w:rPr>
          <w:rFonts w:ascii="Times New Roman" w:cs="Times New Roman" w:eastAsia="Times New Roman" w:hAnsi="Times New Roman"/>
          <w:sz w:val="14"/>
          <w:szCs w:val="14"/>
          <w:color w:val="auto"/>
        </w:rPr>
        <w:t>means the total amount of assets of Waste Management, Inc.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consolidated subsidiaries less:</w:t>
      </w:r>
    </w:p>
    <w:p>
      <w:pPr>
        <w:spacing w:after="0" w:line="40" w:lineRule="exact"/>
        <w:rPr>
          <w:sz w:val="20"/>
          <w:szCs w:val="20"/>
          <w:color w:val="auto"/>
        </w:rPr>
      </w:pPr>
    </w:p>
    <w:p>
      <w:pPr>
        <w:ind w:left="1740" w:right="1579" w:hanging="149"/>
        <w:spacing w:after="0" w:line="266"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liabilities (excluding liabilities that are extendable or renewable at our option to a date more than 12 months after the date of calculation and excluding current maturities of long-term debt); and</w:t>
      </w:r>
    </w:p>
    <w:p>
      <w:pPr>
        <w:spacing w:after="0" w:line="52"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all intangible assets.</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will calculate Consolidated Net Tangible Assets based on our most recent quarterly balance sheet.</w:t>
      </w:r>
    </w:p>
    <w:p>
      <w:pPr>
        <w:spacing w:after="0" w:line="121" w:lineRule="exact"/>
        <w:rPr>
          <w:sz w:val="20"/>
          <w:szCs w:val="20"/>
          <w:color w:val="auto"/>
        </w:rPr>
      </w:pPr>
    </w:p>
    <w:p>
      <w:pPr>
        <w:ind w:left="1320" w:right="137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“Indebtedness” </w:t>
      </w:r>
      <w:r>
        <w:rPr>
          <w:rFonts w:ascii="Times New Roman" w:cs="Times New Roman" w:eastAsia="Times New Roman" w:hAnsi="Times New Roman"/>
          <w:sz w:val="14"/>
          <w:szCs w:val="14"/>
          <w:color w:val="auto"/>
        </w:rPr>
        <w:t>means (a) all obligations for borrowed money or on which interest charges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77" w:lineRule="exact"/>
        <w:rPr>
          <w:sz w:val="20"/>
          <w:szCs w:val="20"/>
          <w:color w:val="auto"/>
        </w:rPr>
      </w:pPr>
    </w:p>
    <w:p>
      <w:pPr>
        <w:ind w:left="1320" w:right="1359" w:firstLine="280"/>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“Principal Property” </w:t>
      </w:r>
      <w:r>
        <w:rPr>
          <w:rFonts w:ascii="Times New Roman" w:cs="Times New Roman" w:eastAsia="Times New Roman" w:hAnsi="Times New Roman"/>
          <w:sz w:val="14"/>
          <w:szCs w:val="14"/>
          <w:color w:val="auto"/>
        </w:rPr>
        <w:t>means any waste processing, waste disposal or resource recovery plant or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0" w:lineRule="exact"/>
        <w:rPr>
          <w:sz w:val="20"/>
          <w:szCs w:val="20"/>
          <w:color w:val="auto"/>
        </w:rPr>
      </w:pPr>
    </w:p>
    <w:p>
      <w:pPr>
        <w:ind w:left="1320" w:right="133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“Restricted Subsidiary” </w:t>
      </w:r>
      <w:r>
        <w:rPr>
          <w:rFonts w:ascii="Times New Roman" w:cs="Times New Roman" w:eastAsia="Times New Roman" w:hAnsi="Times New Roman"/>
          <w:sz w:val="14"/>
          <w:szCs w:val="14"/>
          <w:color w:val="auto"/>
        </w:rPr>
        <w:t>means any Subsidiary (other than any Subsidiary of which the Company owns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87" w:lineRule="exact"/>
        <w:rPr>
          <w:sz w:val="20"/>
          <w:szCs w:val="20"/>
          <w:color w:val="auto"/>
        </w:rPr>
      </w:pPr>
    </w:p>
    <w:p>
      <w:pPr>
        <w:ind w:left="1320" w:right="143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“Sale/Leaseback Transaction” </w:t>
      </w:r>
      <w:r>
        <w:rPr>
          <w:rFonts w:ascii="Times New Roman" w:cs="Times New Roman" w:eastAsia="Times New Roman" w:hAnsi="Times New Roman"/>
          <w:sz w:val="14"/>
          <w:szCs w:val="14"/>
          <w:color w:val="auto"/>
        </w:rPr>
        <w:t>means any arrangement with anyone under which we or our Restricted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lease any Principal Property that we or such Restricted Subsidiary has sold or transferred or will sell or transfer to that person. This term excludes the following:</w:t>
      </w:r>
    </w:p>
    <w:p>
      <w:pPr>
        <w:spacing w:after="0" w:line="51" w:lineRule="exact"/>
        <w:rPr>
          <w:sz w:val="20"/>
          <w:szCs w:val="20"/>
          <w:color w:val="auto"/>
        </w:rPr>
      </w:pPr>
    </w:p>
    <w:p>
      <w:pPr>
        <w:ind w:left="1740" w:hanging="149"/>
        <w:spacing w:after="0"/>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leases for a term of not more than three years; and</w:t>
      </w:r>
    </w:p>
    <w:p>
      <w:pPr>
        <w:spacing w:after="0" w:line="91"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leases.</w:t>
      </w:r>
    </w:p>
    <w:p>
      <w:pPr>
        <w:spacing w:after="0" w:line="110" w:lineRule="exact"/>
        <w:rPr>
          <w:sz w:val="20"/>
          <w:szCs w:val="20"/>
          <w:color w:val="auto"/>
        </w:rPr>
      </w:pPr>
    </w:p>
    <w:p>
      <w:pPr>
        <w:ind w:left="1320" w:right="157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“Subsidiary” </w:t>
      </w:r>
      <w:r>
        <w:rPr>
          <w:rFonts w:ascii="Times New Roman" w:cs="Times New Roman" w:eastAsia="Times New Roman" w:hAnsi="Times New Roman"/>
          <w:sz w:val="14"/>
          <w:szCs w:val="14"/>
          <w:color w:val="auto"/>
        </w:rPr>
        <w:t>means an entity at least a majority of the outstanding voting stock of which is 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directly or indirectly, by us or by one or more other Subsidiaries, or by us and one or more other Subsidiaries.</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Provisions Applicable Solely to Subordinated Debt Securities</w:t>
      </w:r>
    </w:p>
    <w:p>
      <w:pPr>
        <w:spacing w:after="0" w:line="123" w:lineRule="exact"/>
        <w:rPr>
          <w:sz w:val="20"/>
          <w:szCs w:val="20"/>
          <w:color w:val="auto"/>
        </w:rPr>
      </w:pPr>
    </w:p>
    <w:p>
      <w:pPr>
        <w:ind w:left="1320" w:right="1679" w:firstLine="28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Ranking. </w:t>
      </w:r>
      <w:r>
        <w:rPr>
          <w:rFonts w:ascii="Times New Roman" w:cs="Times New Roman" w:eastAsia="Times New Roman" w:hAnsi="Times New Roman"/>
          <w:sz w:val="14"/>
          <w:szCs w:val="14"/>
          <w:color w:val="auto"/>
        </w:rPr>
        <w:t>The subordinated debt securities will rank junior to all of our senior debt and may rank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equally with or senior to our other subordinated debt that may be outstanding from time to time.</w:t>
      </w:r>
    </w:p>
    <w:p>
      <w:pPr>
        <w:spacing w:after="0" w:line="69" w:lineRule="exact"/>
        <w:rPr>
          <w:sz w:val="20"/>
          <w:szCs w:val="20"/>
          <w:color w:val="auto"/>
        </w:rPr>
      </w:pPr>
    </w:p>
    <w:p>
      <w:pPr>
        <w:ind w:left="1320" w:right="1419" w:firstLine="280"/>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Subordination. </w:t>
      </w:r>
      <w:r>
        <w:rPr>
          <w:rFonts w:ascii="Times New Roman" w:cs="Times New Roman" w:eastAsia="Times New Roman" w:hAnsi="Times New Roman"/>
          <w:sz w:val="14"/>
          <w:szCs w:val="14"/>
          <w:color w:val="auto"/>
        </w:rPr>
        <w:t>Under the subordinated indenture, payment of the principal of and any premium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81" w:lineRule="exact"/>
        <w:rPr>
          <w:sz w:val="20"/>
          <w:szCs w:val="20"/>
          <w:color w:val="auto"/>
        </w:rPr>
      </w:pPr>
    </w:p>
    <w:p>
      <w:pPr>
        <w:ind w:left="1320" w:right="1499" w:firstLine="280"/>
        <w:spacing w:after="0" w:line="266" w:lineRule="auto"/>
        <w:rPr>
          <w:sz w:val="20"/>
          <w:szCs w:val="20"/>
          <w:color w:val="auto"/>
        </w:rPr>
      </w:pPr>
      <w:r>
        <w:rPr>
          <w:rFonts w:ascii="Times New Roman" w:cs="Times New Roman" w:eastAsia="Times New Roman" w:hAnsi="Times New Roman"/>
          <w:sz w:val="14"/>
          <w:szCs w:val="14"/>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GUARANTEES</w:t>
      </w:r>
    </w:p>
    <w:p>
      <w:pPr>
        <w:spacing w:after="0" w:line="125" w:lineRule="exact"/>
        <w:rPr>
          <w:sz w:val="20"/>
          <w:szCs w:val="20"/>
          <w:color w:val="auto"/>
        </w:r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87" w:lineRule="exact"/>
        <w:rPr>
          <w:sz w:val="20"/>
          <w:szCs w:val="20"/>
          <w:color w:val="auto"/>
        </w:rPr>
      </w:pPr>
    </w:p>
    <w:p>
      <w:pPr>
        <w:ind w:left="1320" w:right="1539" w:firstLine="280"/>
        <w:spacing w:after="0" w:line="258" w:lineRule="auto"/>
        <w:rPr>
          <w:sz w:val="20"/>
          <w:szCs w:val="20"/>
          <w:color w:val="auto"/>
        </w:rPr>
      </w:pPr>
      <w:r>
        <w:rPr>
          <w:rFonts w:ascii="Times New Roman" w:cs="Times New Roman" w:eastAsia="Times New Roman" w:hAnsi="Times New Roman"/>
          <w:sz w:val="14"/>
          <w:szCs w:val="14"/>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80" w:lineRule="exact"/>
        <w:rPr>
          <w:sz w:val="20"/>
          <w:szCs w:val="20"/>
          <w:color w:val="auto"/>
        </w:rPr>
      </w:pPr>
    </w:p>
    <w:p>
      <w:pPr>
        <w:ind w:left="1320" w:right="1439" w:firstLine="280"/>
        <w:spacing w:after="0" w:line="261" w:lineRule="auto"/>
        <w:rPr>
          <w:sz w:val="20"/>
          <w:szCs w:val="20"/>
          <w:color w:val="auto"/>
        </w:rPr>
      </w:pPr>
      <w:r>
        <w:rPr>
          <w:rFonts w:ascii="Times New Roman" w:cs="Times New Roman" w:eastAsia="Times New Roman" w:hAnsi="Times New Roman"/>
          <w:sz w:val="14"/>
          <w:szCs w:val="14"/>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20" w:right="1359" w:firstLine="280"/>
        <w:spacing w:after="0" w:line="243" w:lineRule="auto"/>
        <w:rPr>
          <w:sz w:val="20"/>
          <w:szCs w:val="20"/>
          <w:color w:val="auto"/>
        </w:rPr>
      </w:pPr>
      <w:r>
        <w:rPr>
          <w:rFonts w:ascii="Times New Roman" w:cs="Times New Roman" w:eastAsia="Times New Roman" w:hAnsi="Times New Roman"/>
          <w:sz w:val="14"/>
          <w:szCs w:val="14"/>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 The following description of our common stock is not complete and is qualified in its entirety by reference to our Fourth Restated Certificate of Incorporation (“Certificate of Incorporation”) and Amended and Restated By-Laws (“By -laws”), each as amended to date of this prospectus, and each incorporated by reference as exhibits to the registration statement of which this prospectus forms a part. You should read our Certificate of Incorporation and our By-laws as currently in effect for more details regarding the provisions described below and for other provisions that may be important to you. This section also summarizes relevant provisions of the Delaware General Corporation Law (“DGCL”). The terms of the DGCL are more detailed than the general information provided below. Therefore, you should carefully consider the actual provisions of these laws.</w:t>
      </w:r>
    </w:p>
    <w:p>
      <w:pPr>
        <w:spacing w:after="0" w:line="92" w:lineRule="exact"/>
        <w:rPr>
          <w:sz w:val="20"/>
          <w:szCs w:val="20"/>
          <w:color w:val="auto"/>
        </w:rPr>
      </w:pPr>
    </w:p>
    <w:p>
      <w:pPr>
        <w:ind w:left="1320" w:right="1359" w:firstLine="280"/>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authorizes 1,500,000,000 shares of common stock, $0.01 par value per share, and 10,000,000 shares of preferred stock, $0.01 par value per share.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3" w:lineRule="exact"/>
        <w:rPr>
          <w:sz w:val="20"/>
          <w:szCs w:val="20"/>
          <w:color w:val="auto"/>
        </w:rPr>
      </w:pPr>
    </w:p>
    <w:p>
      <w:pPr>
        <w:ind w:left="1320" w:right="1339" w:firstLine="2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Subject to applicable law, holders of common stock are entitled to receive dividends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and if declared by our Board of Directors. In certain cases, common stockholders may not receive dividends until we satisfy our obligations to any preferred stockholders.</w:t>
      </w:r>
    </w:p>
    <w:p>
      <w:pPr>
        <w:spacing w:after="0" w:line="75" w:lineRule="exact"/>
        <w:rPr>
          <w:sz w:val="20"/>
          <w:szCs w:val="20"/>
          <w:color w:val="auto"/>
        </w:rPr>
      </w:pPr>
    </w:p>
    <w:p>
      <w:pPr>
        <w:ind w:left="1320" w:right="1319" w:firstLine="280"/>
        <w:spacing w:after="0" w:line="242"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Each holder of common stock is entitled to one vote for each share of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held by such holder on all matters to be voted on by stockholders generally, including the election of directors. Common stockholders do not have cumulative voting rights. With respect to any matter other than the election of directors or a matter for which the affirmative vote of the holders of a specified portion of the shares entitled to vote is required by our Certificate of Incorporation, our By-laws or the DGCL, when a quorum is present, the vote of the holders of a majority of the stock having voting power, present in person or represented by proxy, and entitled to vote thereon will decide any question brought before the meeting. A director must receive a majority of the votes cast with respect to that director at a meeting at which a quorum is present in order to be elected;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w:t>
      </w:r>
    </w:p>
    <w:p>
      <w:pPr>
        <w:spacing w:after="0" w:line="252" w:lineRule="exact"/>
        <w:rPr>
          <w:sz w:val="20"/>
          <w:szCs w:val="20"/>
          <w:color w:val="auto"/>
        </w:rPr>
      </w:pPr>
    </w:p>
    <w:p>
      <w:pPr>
        <w:ind w:left="1320" w:right="1399" w:firstLine="2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Fully Paid Status. </w:t>
      </w:r>
      <w:r>
        <w:rPr>
          <w:rFonts w:ascii="Times New Roman" w:cs="Times New Roman" w:eastAsia="Times New Roman" w:hAnsi="Times New Roman"/>
          <w:sz w:val="14"/>
          <w:szCs w:val="14"/>
          <w:color w:val="auto"/>
        </w:rPr>
        <w:t>All outstanding shares of our common stock are validly issued, fully paid and non-assessable. The shares offered hereby will also be, upon issuance and sale, validly issued, fully paid and non-assessable.</w:t>
      </w:r>
    </w:p>
    <w:p>
      <w:pPr>
        <w:spacing w:after="0" w:line="75" w:lineRule="exact"/>
        <w:rPr>
          <w:sz w:val="20"/>
          <w:szCs w:val="20"/>
          <w:color w:val="auto"/>
        </w:rPr>
      </w:pPr>
    </w:p>
    <w:p>
      <w:pPr>
        <w:ind w:left="1320" w:right="1419" w:firstLine="280"/>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Liquidation or Dissolution. </w:t>
      </w:r>
      <w:r>
        <w:rPr>
          <w:rFonts w:ascii="Times New Roman" w:cs="Times New Roman" w:eastAsia="Times New Roman" w:hAnsi="Times New Roman"/>
          <w:sz w:val="14"/>
          <w:szCs w:val="14"/>
          <w:color w:val="auto"/>
        </w:rPr>
        <w:t>If we liquidate, dissolve or wind up our business, whether or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voluntarily, common stockholders will share ratably in the assets remaining for distribution to stockholders after we pay our creditors and any preferred stockholders.</w:t>
      </w:r>
    </w:p>
    <w:p>
      <w:pPr>
        <w:spacing w:after="0" w:line="81" w:lineRule="exact"/>
        <w:rPr>
          <w:sz w:val="20"/>
          <w:szCs w:val="20"/>
          <w:color w:val="auto"/>
        </w:rPr>
      </w:pPr>
    </w:p>
    <w:p>
      <w:pPr>
        <w:ind w:left="1320" w:right="1739" w:firstLine="28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Listing. </w:t>
      </w:r>
      <w:r>
        <w:rPr>
          <w:rFonts w:ascii="Times New Roman" w:cs="Times New Roman" w:eastAsia="Times New Roman" w:hAnsi="Times New Roman"/>
          <w:sz w:val="14"/>
          <w:szCs w:val="14"/>
          <w:color w:val="auto"/>
        </w:rPr>
        <w:t>Our common stock is listed on the New York Stock Exchange under the trading symbol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“WM.”</w:t>
      </w:r>
    </w:p>
    <w:p>
      <w:pPr>
        <w:spacing w:after="0" w:line="59" w:lineRule="exact"/>
        <w:rPr>
          <w:sz w:val="20"/>
          <w:szCs w:val="20"/>
          <w:color w:val="auto"/>
        </w:rPr>
      </w:pPr>
    </w:p>
    <w:p>
      <w:pPr>
        <w:ind w:left="1320" w:right="1319" w:firstLine="280"/>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Transfer Agent and Registrar. </w:t>
      </w:r>
      <w:r>
        <w:rPr>
          <w:rFonts w:ascii="Times New Roman" w:cs="Times New Roman" w:eastAsia="Times New Roman" w:hAnsi="Times New Roman"/>
          <w:sz w:val="14"/>
          <w:szCs w:val="14"/>
          <w:color w:val="auto"/>
        </w:rPr>
        <w:t>The transfer agent and registrar for our common stock is Computershare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Jersey City, New Jersey.</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5" w:lineRule="exact"/>
        <w:rPr>
          <w:sz w:val="20"/>
          <w:szCs w:val="20"/>
          <w:color w:val="auto"/>
        </w:rPr>
      </w:pPr>
    </w:p>
    <w:p>
      <w:pPr>
        <w:ind w:left="1320" w:right="1459" w:firstLine="280"/>
        <w:spacing w:after="0" w:line="250" w:lineRule="auto"/>
        <w:rPr>
          <w:sz w:val="20"/>
          <w:szCs w:val="20"/>
          <w:color w:val="auto"/>
        </w:rPr>
      </w:pPr>
      <w:r>
        <w:rPr>
          <w:rFonts w:ascii="Times New Roman" w:cs="Times New Roman" w:eastAsia="Times New Roman" w:hAnsi="Times New Roman"/>
          <w:sz w:val="14"/>
          <w:szCs w:val="14"/>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59"/>
        <w:spacing w:after="0" w:line="261" w:lineRule="auto"/>
        <w:rPr>
          <w:sz w:val="20"/>
          <w:szCs w:val="20"/>
          <w:color w:val="auto"/>
        </w:rPr>
      </w:pPr>
      <w:r>
        <w:rPr>
          <w:rFonts w:ascii="Times New Roman" w:cs="Times New Roman" w:eastAsia="Times New Roman" w:hAnsi="Times New Roman"/>
          <w:sz w:val="14"/>
          <w:szCs w:val="14"/>
          <w:color w:val="auto"/>
        </w:rPr>
        <w:t>preferences. In this regard, our Board of Directors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Authorized but Unissued Shares</w:t>
      </w:r>
    </w:p>
    <w:p>
      <w:pPr>
        <w:spacing w:after="0" w:line="125" w:lineRule="exact"/>
        <w:rPr>
          <w:sz w:val="20"/>
          <w:szCs w:val="20"/>
          <w:color w:val="auto"/>
        </w:rPr>
      </w:pPr>
    </w:p>
    <w:p>
      <w:pPr>
        <w:ind w:left="1320" w:right="1519" w:firstLine="280"/>
        <w:spacing w:after="0" w:line="255" w:lineRule="auto"/>
        <w:rPr>
          <w:sz w:val="20"/>
          <w:szCs w:val="20"/>
          <w:color w:val="auto"/>
        </w:rPr>
      </w:pPr>
      <w:r>
        <w:rPr>
          <w:rFonts w:ascii="Times New Roman" w:cs="Times New Roman" w:eastAsia="Times New Roman" w:hAnsi="Times New Roman"/>
          <w:sz w:val="14"/>
          <w:szCs w:val="14"/>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 The existence of authorized but unissued shares of common stock and preferred stock could make it more difficult or discourage an attempt to obtain control of us by means of a proxy contest, tender offer, merger or otherwise.</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25" w:lineRule="exact"/>
        <w:rPr>
          <w:sz w:val="20"/>
          <w:szCs w:val="20"/>
          <w:color w:val="auto"/>
        </w:rPr>
      </w:pPr>
    </w:p>
    <w:p>
      <w:pPr>
        <w:ind w:left="1320" w:right="1419" w:firstLine="280"/>
        <w:spacing w:after="0" w:line="254" w:lineRule="auto"/>
        <w:rPr>
          <w:sz w:val="20"/>
          <w:szCs w:val="20"/>
          <w:color w:val="auto"/>
        </w:rPr>
      </w:pPr>
      <w:r>
        <w:rPr>
          <w:rFonts w:ascii="Times New Roman" w:cs="Times New Roman" w:eastAsia="Times New Roman" w:hAnsi="Times New Roman"/>
          <w:sz w:val="14"/>
          <w:szCs w:val="14"/>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DGCL, our Certificate of Incorporation or our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Advance Notice and Proxy Access</w:t>
      </w:r>
    </w:p>
    <w:p>
      <w:pPr>
        <w:spacing w:after="0" w:line="114" w:lineRule="exact"/>
        <w:rPr>
          <w:sz w:val="20"/>
          <w:szCs w:val="20"/>
          <w:color w:val="auto"/>
        </w:rPr>
      </w:pPr>
    </w:p>
    <w:p>
      <w:pPr>
        <w:ind w:left="1320" w:right="1359" w:firstLine="280"/>
        <w:spacing w:after="0" w:line="255" w:lineRule="auto"/>
        <w:rPr>
          <w:sz w:val="20"/>
          <w:szCs w:val="20"/>
          <w:color w:val="auto"/>
        </w:rPr>
      </w:pPr>
      <w:r>
        <w:rPr>
          <w:rFonts w:ascii="Times New Roman" w:cs="Times New Roman" w:eastAsia="Times New Roman" w:hAnsi="Times New Roman"/>
          <w:sz w:val="14"/>
          <w:szCs w:val="14"/>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Stockholder Action by Written Consent</w:t>
      </w:r>
    </w:p>
    <w:p>
      <w:pPr>
        <w:spacing w:after="0" w:line="125"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Special Stockholder Meetings</w:t>
      </w:r>
    </w:p>
    <w:p>
      <w:pPr>
        <w:spacing w:after="0" w:line="125" w:lineRule="exact"/>
        <w:rPr>
          <w:sz w:val="20"/>
          <w:szCs w:val="20"/>
          <w:color w:val="auto"/>
        </w:rPr>
      </w:pPr>
    </w:p>
    <w:p>
      <w:pPr>
        <w:ind w:left="1320" w:right="1319" w:firstLine="280"/>
        <w:spacing w:after="0" w:line="255" w:lineRule="auto"/>
        <w:rPr>
          <w:sz w:val="20"/>
          <w:szCs w:val="20"/>
          <w:color w:val="auto"/>
        </w:rPr>
      </w:pPr>
      <w:r>
        <w:rPr>
          <w:rFonts w:ascii="Times New Roman" w:cs="Times New Roman" w:eastAsia="Times New Roman" w:hAnsi="Times New Roman"/>
          <w:sz w:val="14"/>
          <w:szCs w:val="14"/>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Limitations on a Change of Control</w:t>
      </w:r>
    </w:p>
    <w:p>
      <w:pPr>
        <w:spacing w:after="0" w:line="125"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We are a Delaware corporation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54" w:lineRule="exact"/>
        <w:rPr>
          <w:sz w:val="20"/>
          <w:szCs w:val="20"/>
          <w:color w:val="auto"/>
        </w:rPr>
      </w:pPr>
    </w:p>
    <w:p>
      <w:pPr>
        <w:ind w:left="1740" w:right="1339" w:hanging="149"/>
        <w:spacing w:after="0" w:line="275"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or the transaction in which the stockholder became an interested stockholder, is approved by the board of directors prior to the time the interested stockholder attained that status;</w:t>
      </w:r>
    </w:p>
    <w:p>
      <w:pPr>
        <w:spacing w:after="0" w:line="219" w:lineRule="exact"/>
        <w:rPr>
          <w:rFonts w:ascii="Times New Roman" w:cs="Times New Roman" w:eastAsia="Times New Roman" w:hAnsi="Times New Roman"/>
          <w:sz w:val="14"/>
          <w:szCs w:val="14"/>
          <w:color w:val="auto"/>
        </w:rPr>
      </w:pPr>
    </w:p>
    <w:p>
      <w:pPr>
        <w:ind w:left="1740" w:right="1559" w:hanging="149"/>
        <w:spacing w:after="0" w:line="257"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57" w:lineRule="exact"/>
        <w:rPr>
          <w:rFonts w:ascii="Times New Roman" w:cs="Times New Roman" w:eastAsia="Times New Roman" w:hAnsi="Times New Roman"/>
          <w:sz w:val="14"/>
          <w:szCs w:val="14"/>
          <w:color w:val="auto"/>
        </w:rPr>
      </w:pPr>
    </w:p>
    <w:p>
      <w:pPr>
        <w:ind w:left="1740" w:right="1419" w:hanging="149"/>
        <w:spacing w:after="0" w:line="261"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a person became an interested stockholder, the business combination is approved by the board of directors and authorized at an annual or special meeting of stockholders by the affirmative vote of at least two-thirds of the outstanding voting stock that is not owned by the interested stockholder.</w:t>
      </w:r>
    </w:p>
    <w:p>
      <w:pPr>
        <w:spacing w:after="0" w:line="87"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75"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The provisions of Section 203 could delay or frustrate a change of control or discourage, impede or prevent a merger, tender offer or proxy contest involving us, even if such an event would be favorable to the interests of our stockholders.</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Liability of Directors and Officers</w:t>
      </w:r>
    </w:p>
    <w:p>
      <w:pPr>
        <w:spacing w:after="0" w:line="125" w:lineRule="exact"/>
        <w:rPr>
          <w:sz w:val="20"/>
          <w:szCs w:val="20"/>
          <w:color w:val="auto"/>
        </w:rPr>
      </w:pPr>
    </w:p>
    <w:p>
      <w:pPr>
        <w:ind w:left="1320" w:right="1319" w:firstLine="280"/>
        <w:spacing w:after="0" w:line="247" w:lineRule="auto"/>
        <w:rPr>
          <w:sz w:val="20"/>
          <w:szCs w:val="20"/>
          <w:color w:val="auto"/>
        </w:rPr>
      </w:pPr>
      <w:r>
        <w:rPr>
          <w:rFonts w:ascii="Times New Roman" w:cs="Times New Roman" w:eastAsia="Times New Roman" w:hAnsi="Times New Roman"/>
          <w:sz w:val="14"/>
          <w:szCs w:val="14"/>
          <w:color w:val="auto"/>
        </w:rPr>
        <w:t>Our Certificate of Incorporation provides that a director or officer of Waste Management, Inc. shall not be liable to us or our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this provision will not adversely affect any right or protection of a director or officer of Waste Management, Inc. in respect of any act or omission occurring prior to the time of such amendment, modification or repeal.</w:t>
      </w:r>
    </w:p>
    <w:p>
      <w:pPr>
        <w:spacing w:after="0" w:line="88"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Our Certificate of Incorporation and By -laws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 -laws,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25" w:lineRule="exact"/>
        <w:rPr>
          <w:sz w:val="20"/>
          <w:szCs w:val="20"/>
          <w:color w:val="auto"/>
        </w:rPr>
      </w:pPr>
    </w:p>
    <w:p>
      <w:pPr>
        <w:ind w:left="1320" w:right="1579" w:firstLine="280"/>
        <w:spacing w:after="0" w:line="282"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securities being offered by this prospectus may be sold by us or by a selling securityholder:</w:t>
      </w:r>
    </w:p>
    <w:p>
      <w:pPr>
        <w:spacing w:after="0" w:line="91" w:lineRule="exact"/>
        <w:rPr>
          <w:sz w:val="20"/>
          <w:szCs w:val="20"/>
          <w:color w:val="auto"/>
        </w:rPr>
      </w:pPr>
    </w:p>
    <w:p>
      <w:pPr>
        <w:ind w:left="1740" w:hanging="149"/>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70"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w:t>
      </w:r>
    </w:p>
    <w:p>
      <w:pPr>
        <w:spacing w:after="0" w:line="80"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broker-dealers (acting as agent or principal);</w:t>
      </w:r>
    </w:p>
    <w:p>
      <w:pPr>
        <w:spacing w:after="0" w:line="80" w:lineRule="exact"/>
        <w:rPr>
          <w:rFonts w:ascii="Times New Roman" w:cs="Times New Roman" w:eastAsia="Times New Roman" w:hAnsi="Times New Roman"/>
          <w:sz w:val="14"/>
          <w:szCs w:val="14"/>
          <w:color w:val="auto"/>
        </w:rPr>
      </w:pPr>
    </w:p>
    <w:p>
      <w:pPr>
        <w:ind w:left="1740" w:right="1379" w:hanging="149"/>
        <w:spacing w:after="0" w:line="282" w:lineRule="auto"/>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by us or a selling securityholder to purchasers, through a specific bidding or auction process or otherwise;</w:t>
      </w:r>
    </w:p>
    <w:p>
      <w:pPr>
        <w:spacing w:after="0" w:line="20"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of sale; or</w:t>
      </w:r>
    </w:p>
    <w:p>
      <w:pPr>
        <w:spacing w:after="0" w:line="80" w:lineRule="exact"/>
        <w:rPr>
          <w:rFonts w:ascii="Times New Roman" w:cs="Times New Roman" w:eastAsia="Times New Roman" w:hAnsi="Times New Roman"/>
          <w:sz w:val="14"/>
          <w:szCs w:val="14"/>
          <w:color w:val="auto"/>
        </w:rPr>
      </w:pPr>
    </w:p>
    <w:p>
      <w:pPr>
        <w:ind w:left="1740" w:hanging="149"/>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methods described in a prospectus supplement.</w:t>
      </w:r>
    </w:p>
    <w:p>
      <w:pPr>
        <w:spacing w:after="0" w:line="123"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57" w:lineRule="exact"/>
        <w:rPr>
          <w:sz w:val="20"/>
          <w:szCs w:val="20"/>
          <w:color w:val="auto"/>
        </w:rPr>
      </w:pPr>
    </w:p>
    <w:p>
      <w:pPr>
        <w:ind w:left="1320" w:right="1379" w:firstLine="280"/>
        <w:spacing w:after="0" w:line="247" w:lineRule="auto"/>
        <w:rPr>
          <w:sz w:val="20"/>
          <w:szCs w:val="20"/>
          <w:color w:val="auto"/>
        </w:rPr>
      </w:pPr>
      <w:r>
        <w:rPr>
          <w:rFonts w:ascii="Times New Roman" w:cs="Times New Roman" w:eastAsia="Times New Roman" w:hAnsi="Times New Roman"/>
          <w:sz w:val="14"/>
          <w:szCs w:val="14"/>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253" w:lineRule="exact"/>
        <w:rPr>
          <w:sz w:val="20"/>
          <w:szCs w:val="20"/>
          <w:color w:val="auto"/>
        </w:rPr>
      </w:pPr>
    </w:p>
    <w:p>
      <w:pPr>
        <w:ind w:left="1320" w:right="1319" w:firstLine="280"/>
        <w:spacing w:after="0" w:line="242" w:lineRule="auto"/>
        <w:rPr>
          <w:sz w:val="20"/>
          <w:szCs w:val="20"/>
          <w:color w:val="auto"/>
        </w:rPr>
      </w:pPr>
      <w:r>
        <w:rPr>
          <w:rFonts w:ascii="Times New Roman" w:cs="Times New Roman" w:eastAsia="Times New Roman" w:hAnsi="Times New Roman"/>
          <w:sz w:val="14"/>
          <w:szCs w:val="14"/>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252" w:lineRule="exact"/>
        <w:rPr>
          <w:sz w:val="20"/>
          <w:szCs w:val="20"/>
          <w:color w:val="auto"/>
        </w:rPr>
      </w:pPr>
    </w:p>
    <w:p>
      <w:pPr>
        <w:jc w:val="both"/>
        <w:ind w:left="1320" w:right="1519" w:firstLine="280"/>
        <w:spacing w:after="0" w:line="250" w:lineRule="auto"/>
        <w:rPr>
          <w:sz w:val="20"/>
          <w:szCs w:val="20"/>
          <w:color w:val="auto"/>
        </w:rPr>
      </w:pPr>
      <w:r>
        <w:rPr>
          <w:rFonts w:ascii="Times New Roman" w:cs="Times New Roman" w:eastAsia="Times New Roman" w:hAnsi="Times New Roman"/>
          <w:sz w:val="14"/>
          <w:szCs w:val="14"/>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85" w:lineRule="exact"/>
        <w:rPr>
          <w:sz w:val="20"/>
          <w:szCs w:val="20"/>
          <w:color w:val="auto"/>
        </w:rPr>
      </w:pPr>
    </w:p>
    <w:p>
      <w:pPr>
        <w:ind w:left="1320" w:right="1439" w:firstLine="280"/>
        <w:spacing w:after="0" w:line="246" w:lineRule="auto"/>
        <w:rPr>
          <w:sz w:val="20"/>
          <w:szCs w:val="20"/>
          <w:color w:val="auto"/>
        </w:rPr>
      </w:pPr>
      <w:r>
        <w:rPr>
          <w:rFonts w:ascii="Times New Roman" w:cs="Times New Roman" w:eastAsia="Times New Roman" w:hAnsi="Times New Roman"/>
          <w:sz w:val="14"/>
          <w:szCs w:val="14"/>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89" w:lineRule="exact"/>
        <w:rPr>
          <w:sz w:val="20"/>
          <w:szCs w:val="20"/>
          <w:color w:val="auto"/>
        </w:rPr>
      </w:pPr>
    </w:p>
    <w:p>
      <w:pPr>
        <w:ind w:left="1320" w:right="1399" w:firstLine="280"/>
        <w:spacing w:after="0" w:line="282" w:lineRule="auto"/>
        <w:rPr>
          <w:sz w:val="20"/>
          <w:szCs w:val="20"/>
          <w:color w:val="auto"/>
        </w:rPr>
      </w:pPr>
      <w:r>
        <w:rPr>
          <w:rFonts w:ascii="Times New Roman" w:cs="Times New Roman" w:eastAsia="Times New Roman" w:hAnsi="Times New Roman"/>
          <w:sz w:val="14"/>
          <w:szCs w:val="14"/>
          <w:color w:val="auto"/>
        </w:rPr>
        <w:t>Agents, underwriters and dealers may be entitled under agreements that may be entered into with us to indemnification by us against specified liabilities, including liabilities incurred under the Securities Act, or</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201295</wp:posOffset>
            </wp:positionV>
            <wp:extent cx="53206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339"/>
        <w:spacing w:after="0" w:line="261" w:lineRule="auto"/>
        <w:rPr>
          <w:sz w:val="20"/>
          <w:szCs w:val="20"/>
          <w:color w:val="auto"/>
        </w:rPr>
      </w:pPr>
      <w:r>
        <w:rPr>
          <w:rFonts w:ascii="Times New Roman" w:cs="Times New Roman" w:eastAsia="Times New Roman" w:hAnsi="Times New Roman"/>
          <w:sz w:val="14"/>
          <w:szCs w:val="14"/>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87" w:lineRule="exact"/>
        <w:rPr>
          <w:sz w:val="20"/>
          <w:szCs w:val="20"/>
          <w:color w:val="auto"/>
        </w:rPr>
      </w:pPr>
    </w:p>
    <w:p>
      <w:pPr>
        <w:ind w:left="1320" w:right="1419" w:firstLine="280"/>
        <w:spacing w:after="0" w:line="282" w:lineRule="auto"/>
        <w:rPr>
          <w:sz w:val="20"/>
          <w:szCs w:val="20"/>
          <w:color w:val="auto"/>
        </w:rPr>
      </w:pPr>
      <w:r>
        <w:rPr>
          <w:rFonts w:ascii="Times New Roman" w:cs="Times New Roman" w:eastAsia="Times New Roman" w:hAnsi="Times New Roman"/>
          <w:sz w:val="14"/>
          <w:szCs w:val="14"/>
          <w:color w:val="auto"/>
        </w:rPr>
        <w:t>Under the securities laws of some states, the securities offered by this prospectus may be sold in those states only through registered or licensed brokers or dealers.</w:t>
      </w:r>
    </w:p>
    <w:p>
      <w:pPr>
        <w:spacing w:after="0" w:line="73"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252" w:lineRule="exact"/>
        <w:rPr>
          <w:sz w:val="20"/>
          <w:szCs w:val="20"/>
          <w:color w:val="auto"/>
        </w:rPr>
      </w:pPr>
    </w:p>
    <w:p>
      <w:pPr>
        <w:ind w:left="1320" w:right="1419" w:firstLine="280"/>
        <w:spacing w:after="0" w:line="261" w:lineRule="auto"/>
        <w:rPr>
          <w:sz w:val="20"/>
          <w:szCs w:val="20"/>
          <w:color w:val="auto"/>
        </w:rPr>
      </w:pPr>
      <w:r>
        <w:rPr>
          <w:rFonts w:ascii="Times New Roman" w:cs="Times New Roman" w:eastAsia="Times New Roman" w:hAnsi="Times New Roman"/>
          <w:sz w:val="14"/>
          <w:szCs w:val="14"/>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5" w:lineRule="exact"/>
        <w:rPr>
          <w:sz w:val="20"/>
          <w:szCs w:val="20"/>
          <w:color w:val="auto"/>
        </w:rPr>
      </w:pPr>
    </w:p>
    <w:p>
      <w:pPr>
        <w:ind w:left="1320" w:right="1379" w:firstLine="280"/>
        <w:spacing w:after="0" w:line="266"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20" w:right="1419" w:firstLine="280"/>
        <w:spacing w:after="0" w:line="259" w:lineRule="auto"/>
        <w:rPr>
          <w:sz w:val="20"/>
          <w:szCs w:val="20"/>
          <w:color w:val="auto"/>
        </w:rPr>
      </w:pPr>
      <w:r>
        <w:rPr>
          <w:rFonts w:ascii="Times New Roman" w:cs="Times New Roman" w:eastAsia="Times New Roman" w:hAnsi="Times New Roman"/>
          <w:sz w:val="14"/>
          <w:szCs w:val="14"/>
          <w:color w:val="auto"/>
        </w:rPr>
        <w:t>Certain legal matters in connection with the securities will be passed upon by Courtney A. Tippy, our Vice President, General Counsel — Securities &amp; Governance and Corporate Secretary. 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20" w:right="1359" w:firstLine="28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Waste Management, Inc. appearing in Waste Management, Inc.’s </w:t>
      </w:r>
      <w:hyperlink r:id="rId29">
        <w:r>
          <w:rPr>
            <w:rFonts w:ascii="Times New Roman" w:cs="Times New Roman" w:eastAsia="Times New Roman" w:hAnsi="Times New Roman"/>
            <w:sz w:val="14"/>
            <w:szCs w:val="14"/>
            <w:u w:val="single" w:color="auto"/>
            <w:color w:val="0000EE"/>
          </w:rPr>
          <w:t>Annual Report (Form 10-K) for the year ended December 31, 2024</w:t>
        </w:r>
      </w:hyperlink>
      <w:r>
        <w:rPr>
          <w:rFonts w:ascii="Times New Roman" w:cs="Times New Roman" w:eastAsia="Times New Roman" w:hAnsi="Times New Roman"/>
          <w:sz w:val="14"/>
          <w:szCs w:val="14"/>
          <w:color w:val="auto"/>
        </w:rPr>
        <w:t>, and the effectiveness of Waste Management, Inc.’s internal control over financial reporting as of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95" w:lineRule="exact"/>
        <w:rPr>
          <w:sz w:val="20"/>
          <w:szCs w:val="20"/>
          <w:color w:val="auto"/>
        </w:rPr>
      </w:pPr>
    </w:p>
    <w:p>
      <w:pPr>
        <w:ind w:left="1320"/>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3"/>
          <w:szCs w:val="13"/>
          <w:b w:val="1"/>
          <w:bCs w:val="1"/>
          <w:i w:val="1"/>
          <w:iCs w:val="1"/>
          <w:color w:val="auto"/>
        </w:rPr>
        <w:t>Other Expenses of Issuance and Distribution.</w:t>
      </w:r>
    </w:p>
    <w:p>
      <w:pPr>
        <w:spacing w:after="0" w:line="114" w:lineRule="exact"/>
        <w:rPr>
          <w:sz w:val="20"/>
          <w:szCs w:val="20"/>
          <w:color w:val="auto"/>
        </w:rPr>
      </w:pPr>
    </w:p>
    <w:p>
      <w:pPr>
        <w:ind w:left="1320" w:right="140" w:firstLine="280"/>
        <w:spacing w:after="0" w:line="282" w:lineRule="auto"/>
        <w:rPr>
          <w:sz w:val="20"/>
          <w:szCs w:val="20"/>
          <w:color w:val="auto"/>
        </w:rPr>
      </w:pPr>
      <w:r>
        <w:rPr>
          <w:rFonts w:ascii="Times New Roman" w:cs="Times New Roman" w:eastAsia="Times New Roman" w:hAnsi="Times New Roman"/>
          <w:sz w:val="14"/>
          <w:szCs w:val="14"/>
          <w:color w:val="auto"/>
        </w:rPr>
        <w:t>The following table sets forth the estimated fees and expenses payable by the Company in connection with the registration of the securities registered hereby:</w:t>
      </w:r>
    </w:p>
    <w:p>
      <w:pPr>
        <w:spacing w:after="0" w:line="8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1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 ​​$</w:t>
            </w:r>
          </w:p>
        </w:tc>
      </w:tr>
      <w:tr>
        <w:trPr>
          <w:trHeight w:val="158"/>
        </w:trPr>
        <w:tc>
          <w:tcPr>
            <w:tcW w:w="42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Legal fees and expenses</w:t>
            </w:r>
          </w:p>
        </w:tc>
        <w:tc>
          <w:tcPr>
            <w:tcW w:w="2100" w:type="dxa"/>
            <w:vAlign w:val="bottom"/>
          </w:tcPr>
          <w:p>
            <w:pPr>
              <w:jc w:val="right"/>
              <w:ind w:right="371"/>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42"/>
        </w:trPr>
        <w:tc>
          <w:tcPr>
            <w:tcW w:w="428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2100" w:type="dxa"/>
            <w:vAlign w:val="bottom"/>
          </w:tcPr>
          <w:p>
            <w:pPr>
              <w:jc w:val="right"/>
              <w:ind w:right="411"/>
              <w:spacing w:after="0" w:line="42" w:lineRule="exact"/>
              <w:rPr>
                <w:sz w:val="20"/>
                <w:szCs w:val="20"/>
                <w:color w:val="auto"/>
              </w:rPr>
            </w:pPr>
            <w:r>
              <w:rPr>
                <w:rFonts w:ascii="Times New Roman" w:cs="Times New Roman" w:eastAsia="Times New Roman" w:hAnsi="Times New Roman"/>
                <w:sz w:val="4"/>
                <w:szCs w:val="4"/>
                <w:color w:val="auto"/>
              </w:rPr>
              <w:t>​ ​​</w:t>
            </w:r>
          </w:p>
        </w:tc>
      </w:tr>
      <w:tr>
        <w:trPr>
          <w:trHeight w:val="16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1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r>
      <w:tr>
        <w:trPr>
          <w:trHeight w:val="42"/>
        </w:trPr>
        <w:tc>
          <w:tcPr>
            <w:tcW w:w="428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2100" w:type="dxa"/>
            <w:vAlign w:val="bottom"/>
            <w:shd w:val="clear" w:color="auto" w:fill="CCEEFF"/>
          </w:tcPr>
          <w:p>
            <w:pPr>
              <w:jc w:val="right"/>
              <w:ind w:right="411"/>
              <w:spacing w:after="0" w:line="42" w:lineRule="exact"/>
              <w:rPr>
                <w:sz w:val="20"/>
                <w:szCs w:val="20"/>
                <w:color w:val="auto"/>
              </w:rPr>
            </w:pPr>
            <w:r>
              <w:rPr>
                <w:rFonts w:ascii="Times New Roman" w:cs="Times New Roman" w:eastAsia="Times New Roman" w:hAnsi="Times New Roman"/>
                <w:sz w:val="4"/>
                <w:szCs w:val="4"/>
                <w:color w:val="auto"/>
              </w:rPr>
              <w:t>​ ​​</w:t>
            </w: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Printing fees and expenses</w:t>
            </w:r>
          </w:p>
        </w:tc>
        <w:tc>
          <w:tcPr>
            <w:tcW w:w="21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r>
      <w:tr>
        <w:trPr>
          <w:trHeight w:val="42"/>
        </w:trPr>
        <w:tc>
          <w:tcPr>
            <w:tcW w:w="428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2100" w:type="dxa"/>
            <w:vAlign w:val="bottom"/>
          </w:tcPr>
          <w:p>
            <w:pPr>
              <w:jc w:val="right"/>
              <w:ind w:right="411"/>
              <w:spacing w:after="0" w:line="42" w:lineRule="exact"/>
              <w:rPr>
                <w:sz w:val="20"/>
                <w:szCs w:val="20"/>
                <w:color w:val="auto"/>
              </w:rPr>
            </w:pPr>
            <w:r>
              <w:rPr>
                <w:rFonts w:ascii="Times New Roman" w:cs="Times New Roman" w:eastAsia="Times New Roman" w:hAnsi="Times New Roman"/>
                <w:sz w:val="4"/>
                <w:szCs w:val="4"/>
                <w:color w:val="auto"/>
              </w:rPr>
              <w:t>​ ​​</w:t>
            </w:r>
          </w:p>
        </w:tc>
      </w:tr>
      <w:tr>
        <w:trPr>
          <w:trHeight w:val="16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Rating agency fees and expenses</w:t>
            </w:r>
          </w:p>
        </w:tc>
        <w:tc>
          <w:tcPr>
            <w:tcW w:w="21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r>
      <w:tr>
        <w:trPr>
          <w:trHeight w:val="42"/>
        </w:trPr>
        <w:tc>
          <w:tcPr>
            <w:tcW w:w="428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2100" w:type="dxa"/>
            <w:vAlign w:val="bottom"/>
            <w:shd w:val="clear" w:color="auto" w:fill="CCEEFF"/>
          </w:tcPr>
          <w:p>
            <w:pPr>
              <w:jc w:val="right"/>
              <w:ind w:right="411"/>
              <w:spacing w:after="0" w:line="42" w:lineRule="exact"/>
              <w:rPr>
                <w:sz w:val="20"/>
                <w:szCs w:val="20"/>
                <w:color w:val="auto"/>
              </w:rPr>
            </w:pPr>
            <w:r>
              <w:rPr>
                <w:rFonts w:ascii="Times New Roman" w:cs="Times New Roman" w:eastAsia="Times New Roman" w:hAnsi="Times New Roman"/>
                <w:sz w:val="4"/>
                <w:szCs w:val="4"/>
                <w:color w:val="auto"/>
              </w:rPr>
              <w:t>​ ​​</w:t>
            </w: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Trustee’s and transfer agent’s fees and expenses</w:t>
            </w:r>
          </w:p>
        </w:tc>
        <w:tc>
          <w:tcPr>
            <w:tcW w:w="21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r>
      <w:tr>
        <w:trPr>
          <w:trHeight w:val="42"/>
        </w:trPr>
        <w:tc>
          <w:tcPr>
            <w:tcW w:w="428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2100" w:type="dxa"/>
            <w:vAlign w:val="bottom"/>
          </w:tcPr>
          <w:p>
            <w:pPr>
              <w:jc w:val="right"/>
              <w:ind w:right="411"/>
              <w:spacing w:after="0" w:line="42" w:lineRule="exact"/>
              <w:rPr>
                <w:sz w:val="20"/>
                <w:szCs w:val="20"/>
                <w:color w:val="auto"/>
              </w:rPr>
            </w:pPr>
            <w:r>
              <w:rPr>
                <w:rFonts w:ascii="Times New Roman" w:cs="Times New Roman" w:eastAsia="Times New Roman" w:hAnsi="Times New Roman"/>
                <w:sz w:val="4"/>
                <w:szCs w:val="4"/>
                <w:color w:val="auto"/>
              </w:rPr>
              <w:t>​ ​​</w:t>
            </w:r>
          </w:p>
        </w:tc>
      </w:tr>
      <w:tr>
        <w:trPr>
          <w:trHeight w:val="16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1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r>
      <w:tr>
        <w:trPr>
          <w:trHeight w:val="42"/>
        </w:trPr>
        <w:tc>
          <w:tcPr>
            <w:tcW w:w="428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2100" w:type="dxa"/>
            <w:vAlign w:val="bottom"/>
            <w:shd w:val="clear" w:color="auto" w:fill="CCEEFF"/>
          </w:tcPr>
          <w:p>
            <w:pPr>
              <w:jc w:val="right"/>
              <w:ind w:right="411"/>
              <w:spacing w:after="0" w:line="42" w:lineRule="exact"/>
              <w:rPr>
                <w:sz w:val="20"/>
                <w:szCs w:val="20"/>
                <w:color w:val="auto"/>
              </w:rPr>
            </w:pPr>
            <w:r>
              <w:rPr>
                <w:rFonts w:ascii="Times New Roman" w:cs="Times New Roman" w:eastAsia="Times New Roman" w:hAnsi="Times New Roman"/>
                <w:sz w:val="4"/>
                <w:szCs w:val="4"/>
                <w:color w:val="auto"/>
              </w:rPr>
              <w:t>​ ​​</w:t>
            </w:r>
          </w:p>
        </w:tc>
      </w:tr>
      <w:tr>
        <w:trPr>
          <w:trHeight w:val="231"/>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Total</w:t>
            </w:r>
          </w:p>
        </w:tc>
        <w:tc>
          <w:tcPr>
            <w:tcW w:w="21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100330</wp:posOffset>
            </wp:positionV>
            <wp:extent cx="96012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1" w:lineRule="exact"/>
        <w:rPr>
          <w:sz w:val="20"/>
          <w:szCs w:val="20"/>
          <w:color w:val="auto"/>
        </w:rPr>
      </w:pPr>
    </w:p>
    <w:p>
      <w:pPr>
        <w:sectPr>
          <w:pgSz w:w="11900" w:h="16838" w:orient="portrait"/>
          <w:cols w:equalWidth="0" w:num="2">
            <w:col w:w="7700" w:space="0"/>
            <w:col w:w="1319"/>
          </w:cols>
          <w:pgMar w:left="1440" w:top="105" w:right="1440" w:bottom="1440" w:gutter="0" w:footer="0" w:header="0"/>
          <w:type w:val="continuous"/>
        </w:sectPr>
      </w:pPr>
    </w:p>
    <w:p>
      <w:pPr>
        <w:spacing w:after="0" w:line="69" w:lineRule="exact"/>
        <w:rPr>
          <w:sz w:val="20"/>
          <w:szCs w:val="20"/>
          <w:color w:val="auto"/>
        </w:rPr>
      </w:pPr>
    </w:p>
    <w:p>
      <w:pPr>
        <w:ind w:left="1600" w:right="1439" w:hanging="289"/>
        <w:spacing w:after="0" w:line="282" w:lineRule="auto"/>
        <w:tabs>
          <w:tab w:leader="none" w:pos="1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SEC registration fees have been deferred in accordance with Rule 456(b) and 457(r) under the Securities Act and are not estimable at this time.</w:t>
      </w:r>
    </w:p>
    <w:p>
      <w:pPr>
        <w:spacing w:after="0" w:line="10" w:lineRule="exact"/>
        <w:rPr>
          <w:sz w:val="20"/>
          <w:szCs w:val="20"/>
          <w:color w:val="auto"/>
        </w:rPr>
      </w:pPr>
    </w:p>
    <w:p>
      <w:pPr>
        <w:ind w:left="1600" w:right="1439" w:hanging="289"/>
        <w:spacing w:after="0" w:line="258" w:lineRule="auto"/>
        <w:tabs>
          <w:tab w:leader="none" w:pos="1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are not presently known. The foregoing sets forth the general categories of expenses (other than underwriting discounts and commissions) that the Company anticipates it will incur in connection with the offering of securities under this registration statement. An estimate of the aggregate amount of these expenses in connection with the issuance and distribution of the securities being offered will be reflected in the applicable prospectus supplement.</w:t>
      </w:r>
    </w:p>
    <w:p>
      <w:pPr>
        <w:spacing w:after="0" w:line="8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Indemnification of Directors and Officers.</w:t>
      </w:r>
    </w:p>
    <w:p>
      <w:pPr>
        <w:spacing w:after="0" w:line="114" w:lineRule="exact"/>
        <w:rPr>
          <w:sz w:val="20"/>
          <w:szCs w:val="20"/>
          <w:color w:val="auto"/>
        </w:rPr>
      </w:pPr>
    </w:p>
    <w:p>
      <w:pPr>
        <w:ind w:left="1320" w:right="1379" w:firstLine="280"/>
        <w:spacing w:after="0" w:line="242" w:lineRule="auto"/>
        <w:rPr>
          <w:sz w:val="20"/>
          <w:szCs w:val="20"/>
          <w:color w:val="auto"/>
        </w:rPr>
      </w:pPr>
      <w:r>
        <w:rPr>
          <w:rFonts w:ascii="Times New Roman" w:cs="Times New Roman" w:eastAsia="Times New Roman" w:hAnsi="Times New Roman"/>
          <w:sz w:val="14"/>
          <w:szCs w:val="14"/>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257" w:lineRule="exact"/>
        <w:rPr>
          <w:sz w:val="20"/>
          <w:szCs w:val="20"/>
          <w:color w:val="auto"/>
        </w:rPr>
      </w:pPr>
    </w:p>
    <w:p>
      <w:pPr>
        <w:ind w:left="1320" w:right="1359" w:firstLine="280"/>
        <w:spacing w:after="0" w:line="252" w:lineRule="auto"/>
        <w:rPr>
          <w:sz w:val="20"/>
          <w:szCs w:val="20"/>
          <w:color w:val="auto"/>
        </w:rPr>
      </w:pPr>
      <w:r>
        <w:rPr>
          <w:rFonts w:ascii="Times New Roman" w:cs="Times New Roman" w:eastAsia="Times New Roman" w:hAnsi="Times New Roman"/>
          <w:sz w:val="14"/>
          <w:szCs w:val="14"/>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Company or any of its direct or indirect subsidiaries or while such a director or officer is or was serving at the request of the Company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Company is not required to indemnify or advance expenses to any person in connection with any action, suit, proceeding, claim or counterclaim initiated by or on behalf of such person. Such indemnification is not to be exclusive of other indemnification rights arising under any By-laws, agreement, vote of directors or stockholders or otherwise and shall inure to the benefit of the heirs and legal representatives of such person. Additionally, the Company has direct contractual obligations to provide indemnification to each of the members of its Board of Directors and each of its executive officers. These agreements provide directors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spacing w:after="0" w:line="258" w:lineRule="auto"/>
        <w:rPr>
          <w:sz w:val="20"/>
          <w:szCs w:val="20"/>
          <w:color w:val="auto"/>
        </w:rPr>
      </w:pPr>
      <w:r>
        <w:rPr>
          <w:rFonts w:ascii="Times New Roman" w:cs="Times New Roman" w:eastAsia="Times New Roman" w:hAnsi="Times New Roman"/>
          <w:sz w:val="14"/>
          <w:szCs w:val="14"/>
          <w:color w:val="auto"/>
        </w:rPr>
        <w:t>and executive officers with the same indemnification by the Company as described above and assure directors and executive officers that indemnification will continue to be provided despite future changes in the By-laws of the Company.</w:t>
      </w:r>
    </w:p>
    <w:p>
      <w:pPr>
        <w:spacing w:after="0" w:line="69"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Waste Management Holdings’ Third Restated Certificate of Incorporation and Amended and Restated By-laws require that it provide indemnification to the maximum extent permitted from time to time under the DGCL, and shall advance expenses to any person who is or was a party or is threatened to be made a party to any threatened, pending or completed action, suit or proceeding, whether civil, criminal, administrative or investigative, by reason of the fact that such person is or was a director or officer of Waste Management Holdings or while such a director or officer is or was serving at the request of the Waste Management Holdings as a director, officer, employee or agent of any corporation, partnership, joint venture, trust or other enterprise, including service with respect to employee benefit plans, against expenses (including attorney’s fees and expenses), judgments, fines and penalties paid in settlement incurred in connection with the investigation or defense of such action, suit or proceeding; provided, however, that Waste Management Holdings is not required to indemnify or advance expenses to any person in connection with any proceeding initiated by or on behalf of such person unless such proceeding (or part thereof) was authorized or consented to by the Board of Directors of Waste Management Holdings. Such indemnification is not exclusive of other indemnification rights arising under any By-laws, agreement, vote of directors or stockholders or otherwise and shall inure to the benefit of the heirs, executors and administrators of such person.</w:t>
      </w:r>
    </w:p>
    <w:p>
      <w:pPr>
        <w:spacing w:after="0" w:line="243"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or officer of the corporation will not be personally liable to the corporation or its stockholders for monetary damages for breach of fiduciary duty as a director or an officer, except where (i) a director or officer breached the duty of loyalty, (ii) a director or officer failed to act in good faith, (iii) a director engaged in intentional misconduct or knowingly violated a law, (iv) a director or officer authorized the payment of a dividend or approved a stock repurchase in violation of Delaware corporate law or obtained an improper personal benefit or (v) an action by or in the right of the corporation is brought against an officer. Our Certificate of Incorporation provides that no director or officer will be liable to it or its stockholders for any breach of fiduciary duty, except as limited under the DGCL, and the Third Restated Certificate of Incorporation of Waste Management Holdings provides that no director will be liable to it or its stockholders for any breach of fiduciary duty, except as limited under the DGCL.</w:t>
      </w:r>
    </w:p>
    <w:p>
      <w:pPr>
        <w:spacing w:after="0" w:line="84" w:lineRule="exact"/>
        <w:rPr>
          <w:sz w:val="20"/>
          <w:szCs w:val="20"/>
          <w:color w:val="auto"/>
        </w:rPr>
      </w:pPr>
    </w:p>
    <w:p>
      <w:pPr>
        <w:ind w:left="1320" w:right="1639" w:firstLine="280"/>
        <w:spacing w:after="0" w:line="251" w:lineRule="auto"/>
        <w:rPr>
          <w:sz w:val="20"/>
          <w:szCs w:val="20"/>
          <w:color w:val="auto"/>
        </w:rPr>
      </w:pPr>
      <w:r>
        <w:rPr>
          <w:rFonts w:ascii="Times New Roman" w:cs="Times New Roman" w:eastAsia="Times New Roman" w:hAnsi="Times New Roman"/>
          <w:sz w:val="14"/>
          <w:szCs w:val="14"/>
          <w:color w:val="auto"/>
        </w:rPr>
        <w:t>Our and Waste Management Holdings’ directors and officers are covered by insurance policies indemnifying against certain liabilities, including certain liabilities arising under the Securities Act that might be incurred by them in such capacities and against which we may not indemnify them.</w:t>
      </w:r>
    </w:p>
    <w:p>
      <w:pPr>
        <w:spacing w:after="0" w:line="71" w:lineRule="exact"/>
        <w:rPr>
          <w:sz w:val="20"/>
          <w:szCs w:val="20"/>
          <w:color w:val="auto"/>
        </w:rPr>
      </w:pPr>
    </w:p>
    <w:p>
      <w:pPr>
        <w:ind w:left="1320"/>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2"/>
          <w:szCs w:val="12"/>
          <w:b w:val="1"/>
          <w:bCs w:val="1"/>
          <w:i w:val="1"/>
          <w:iCs w:val="1"/>
          <w:color w:val="auto"/>
        </w:rPr>
        <w:t>Exhibits.</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documents are filed as exhibits to this registration statement.*</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20"/>
        <w:spacing w:after="0" w:line="184" w:lineRule="auto"/>
        <w:tabs>
          <w:tab w:leader="none" w:pos="4500" w:val="left"/>
          <w:tab w:leader="none" w:pos="7680" w:val="left"/>
        </w:tabs>
        <w:rPr>
          <w:sz w:val="20"/>
          <w:szCs w:val="20"/>
          <w:color w:val="auto"/>
        </w:rPr>
      </w:pPr>
      <w:r>
        <w:rPr>
          <w:rFonts w:ascii="Times New Roman" w:cs="Times New Roman" w:eastAsia="Times New Roman" w:hAnsi="Times New Roman"/>
          <w:sz w:val="19"/>
          <w:szCs w:val="19"/>
          <w:b w:val="1"/>
          <w:bCs w:val="1"/>
          <w:u w:val="single" w:color="auto"/>
          <w:color w:val="auto"/>
          <w:vertAlign w:val="subscript"/>
        </w:rPr>
        <w:t>​</w:t>
      </w:r>
      <w:r>
        <w:rPr>
          <w:rFonts w:ascii="Times New Roman" w:cs="Times New Roman" w:eastAsia="Times New Roman" w:hAnsi="Times New Roman"/>
          <w:sz w:val="10"/>
          <w:szCs w:val="10"/>
          <w:b w:val="1"/>
          <w:bCs w:val="1"/>
          <w:u w:val="single" w:color="auto"/>
          <w:color w:val="auto"/>
        </w:rPr>
        <w:t>Number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-635</wp:posOffset>
            </wp:positionV>
            <wp:extent cx="370840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3708400" cy="6985"/>
                    </a:xfrm>
                    <a:prstGeom prst="rect">
                      <a:avLst/>
                    </a:prstGeom>
                    <a:noFill/>
                  </pic:spPr>
                </pic:pic>
              </a:graphicData>
            </a:graphic>
          </wp:anchor>
        </w:drawing>
      </w:r>
    </w:p>
    <w:p>
      <w:pPr>
        <w:jc w:val="center"/>
        <w:ind w:right="-40"/>
        <w:spacing w:after="0"/>
        <w:tabs>
          <w:tab w:leader="none" w:pos="120" w:val="left"/>
        </w:tabs>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3.1</w:t>
        <w:tab/>
        <w:t xml:space="preserve">​ ​ </w:t>
      </w:r>
      <w:hyperlink r:id="rId61">
        <w:r>
          <w:rPr>
            <w:rFonts w:ascii="Times New Roman" w:cs="Times New Roman" w:eastAsia="Times New Roman" w:hAnsi="Times New Roman"/>
            <w:sz w:val="14"/>
            <w:szCs w:val="14"/>
            <w:u w:val="single" w:color="auto"/>
            <w:color w:val="0000EE"/>
          </w:rPr>
          <w:t>Fourth Restated Certificate of Incorporation of Waste Management, Inc. (incorporated by reference</w:t>
        </w:r>
      </w:hyperlink>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05" w:right="1440" w:bottom="1440" w:gutter="0" w:footer="0" w:header="0"/>
        </w:sectPr>
      </w:pPr>
    </w:p>
    <w:p>
      <w:pPr>
        <w:spacing w:after="0" w:line="1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760" w:type="dxa"/>
            <w:vAlign w:val="bottom"/>
            <w:gridSpan w:val="14"/>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to Exhibit 3.2 to the Company’s Current Report on Form 8-K filed on May 17, 2024).</w:t>
              </w:r>
            </w:hyperlink>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5980" w:type="dxa"/>
            <w:vAlign w:val="bottom"/>
            <w:gridSpan w:val="15"/>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2">
              <w:r>
                <w:rPr>
                  <w:rFonts w:ascii="Times New Roman" w:cs="Times New Roman" w:eastAsia="Times New Roman" w:hAnsi="Times New Roman"/>
                  <w:sz w:val="14"/>
                  <w:szCs w:val="14"/>
                  <w:color w:val="0000EE"/>
                </w:rPr>
                <w:t>Amended and Restated By-laws of Waste Management, Inc. (incorporated by reference to</w:t>
              </w:r>
            </w:hyperlink>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80" w:type="dxa"/>
            <w:vAlign w:val="bottom"/>
            <w:tcBorders>
              <w:top w:val="single" w:sz="8" w:color="0000EE"/>
            </w:tcBorders>
            <w:gridSpan w:val="7"/>
          </w:tcPr>
          <w:p>
            <w:pPr>
              <w:spacing w:after="0" w:line="148"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Exhibit 3.2 to the Company’s Current Report on Form 8-K filed on November 6, 2023).</w:t>
              </w:r>
            </w:hyperlink>
          </w:p>
        </w:tc>
        <w:tc>
          <w:tcPr>
            <w:tcW w:w="480" w:type="dxa"/>
            <w:vAlign w:val="bottom"/>
            <w:gridSpan w:val="7"/>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5980" w:type="dxa"/>
            <w:vAlign w:val="bottom"/>
            <w:gridSpan w:val="15"/>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3">
              <w:r>
                <w:rPr>
                  <w:rFonts w:ascii="Times New Roman" w:cs="Times New Roman" w:eastAsia="Times New Roman" w:hAnsi="Times New Roman"/>
                  <w:sz w:val="14"/>
                  <w:szCs w:val="14"/>
                  <w:color w:val="0000EE"/>
                </w:rPr>
                <w:t>Third Restated Certificate of Incorporation of Waste Management Holdings, Inc. (incorporated by</w:t>
              </w:r>
            </w:hyperlink>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340" w:type="dxa"/>
            <w:vAlign w:val="bottom"/>
            <w:tcBorders>
              <w:top w:val="single" w:sz="8" w:color="0000EE"/>
              <w:bottom w:val="single" w:sz="8" w:color="0000EE"/>
            </w:tcBorders>
            <w:gridSpan w:val="8"/>
          </w:tcPr>
          <w:p>
            <w:pPr>
              <w:spacing w:after="0" w:line="148"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reference to Exhibit 4.2 to the Company’s Annual Report on Form 10-K for the year ended</w:t>
              </w:r>
            </w:hyperlink>
          </w:p>
        </w:tc>
        <w:tc>
          <w:tcPr>
            <w:tcW w:w="420" w:type="dxa"/>
            <w:vAlign w:val="bottom"/>
            <w:tcBorders>
              <w:top w:val="single" w:sz="8" w:color="0000EE"/>
            </w:tcBorders>
            <w:gridSpan w:val="6"/>
          </w:tcPr>
          <w:p>
            <w:pPr>
              <w:spacing w:after="0"/>
              <w:rPr>
                <w:sz w:val="12"/>
                <w:szCs w:val="12"/>
                <w:color w:val="auto"/>
              </w:rPr>
            </w:pPr>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0000EE"/>
            </w:tcBorders>
            <w:gridSpan w:val="2"/>
          </w:tcPr>
          <w:p>
            <w:pPr>
              <w:spacing w:after="0" w:line="148"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December 31, 2014).</w:t>
              </w:r>
            </w:hyperlink>
          </w:p>
        </w:tc>
        <w:tc>
          <w:tcPr>
            <w:tcW w:w="4520" w:type="dxa"/>
            <w:vAlign w:val="bottom"/>
            <w:gridSpan w:val="12"/>
          </w:tcPr>
          <w:p>
            <w:pPr>
              <w:spacing w:after="0"/>
              <w:rPr>
                <w:sz w:val="12"/>
                <w:szCs w:val="12"/>
                <w:color w:val="auto"/>
              </w:rPr>
            </w:pPr>
          </w:p>
        </w:tc>
      </w:tr>
      <w:tr>
        <w:trPr>
          <w:trHeight w:val="18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5980" w:type="dxa"/>
            <w:vAlign w:val="bottom"/>
            <w:gridSpan w:val="15"/>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4">
              <w:r>
                <w:rPr>
                  <w:rFonts w:ascii="Times New Roman" w:cs="Times New Roman" w:eastAsia="Times New Roman" w:hAnsi="Times New Roman"/>
                  <w:sz w:val="14"/>
                  <w:szCs w:val="14"/>
                  <w:color w:val="0000EE"/>
                </w:rPr>
                <w:t>Amended and Restated By-laws of Waste Management Holdings, Inc. (incorporated by reference</w:t>
              </w:r>
            </w:hyperlink>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80" w:type="dxa"/>
            <w:vAlign w:val="bottom"/>
            <w:tcBorders>
              <w:top w:val="single" w:sz="8" w:color="0000EE"/>
              <w:bottom w:val="single" w:sz="8" w:color="0000EE"/>
            </w:tcBorders>
            <w:gridSpan w:val="10"/>
          </w:tcPr>
          <w:p>
            <w:pPr>
              <w:spacing w:after="0" w:line="148"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to Exhibit 4.3 to the Company’s Quarterly Report on Form 10-Q for the quarter ended June 30,</w:t>
              </w:r>
            </w:hyperlink>
          </w:p>
        </w:tc>
        <w:tc>
          <w:tcPr>
            <w:tcW w:w="140" w:type="dxa"/>
            <w:vAlign w:val="bottom"/>
            <w:tcBorders>
              <w:top w:val="single" w:sz="8" w:color="0000EE"/>
            </w:tcBorders>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20" w:type="dxa"/>
            <w:vAlign w:val="bottom"/>
          </w:tcPr>
          <w:p>
            <w:pPr>
              <w:spacing w:after="0"/>
              <w:rPr>
                <w:sz w:val="12"/>
                <w:szCs w:val="12"/>
                <w:color w:val="auto"/>
              </w:rPr>
            </w:pPr>
          </w:p>
        </w:tc>
        <w:tc>
          <w:tcPr>
            <w:tcW w:w="600" w:type="dxa"/>
            <w:vAlign w:val="bottom"/>
            <w:gridSpan w:val="2"/>
          </w:tcPr>
          <w:p>
            <w:pPr>
              <w:ind w:left="220"/>
              <w:spacing w:after="0" w:line="148" w:lineRule="exact"/>
              <w:rPr>
                <w:rFonts w:ascii="Times New Roman" w:cs="Times New Roman" w:eastAsia="Times New Roman" w:hAnsi="Times New Roman"/>
                <w:sz w:val="14"/>
                <w:szCs w:val="14"/>
                <w:color w:val="0000EE"/>
                <w:w w:val="99"/>
              </w:rPr>
            </w:pPr>
            <w:hyperlink r:id="rId64">
              <w:r>
                <w:rPr>
                  <w:rFonts w:ascii="Times New Roman" w:cs="Times New Roman" w:eastAsia="Times New Roman" w:hAnsi="Times New Roman"/>
                  <w:sz w:val="14"/>
                  <w:szCs w:val="14"/>
                  <w:color w:val="0000EE"/>
                  <w:w w:val="99"/>
                </w:rPr>
                <w:t>2014).</w:t>
              </w:r>
            </w:hyperlink>
          </w:p>
        </w:tc>
        <w:tc>
          <w:tcPr>
            <w:tcW w:w="8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5980" w:type="dxa"/>
            <w:vAlign w:val="bottom"/>
            <w:gridSpan w:val="15"/>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5">
              <w:r>
                <w:rPr>
                  <w:rFonts w:ascii="Times New Roman" w:cs="Times New Roman" w:eastAsia="Times New Roman" w:hAnsi="Times New Roman"/>
                  <w:sz w:val="14"/>
                  <w:szCs w:val="14"/>
                  <w:color w:val="0000EE"/>
                </w:rPr>
                <w:t>Specimen Stock Certificate of Waste Management, Inc. (incorporated by reference to Exhibit 4.1</w:t>
              </w:r>
            </w:hyperlink>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180" w:type="dxa"/>
            <w:vAlign w:val="bottom"/>
            <w:tcBorders>
              <w:top w:val="single" w:sz="8" w:color="0000EE"/>
              <w:bottom w:val="single" w:sz="8" w:color="0000EE"/>
            </w:tcBorders>
            <w:gridSpan w:val="6"/>
          </w:tcPr>
          <w:p>
            <w:pPr>
              <w:spacing w:after="0" w:line="148"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to the Company’s Annual Report on Form 10-K for the year ended December 31, 1998).</w:t>
              </w:r>
            </w:hyperlink>
          </w:p>
        </w:tc>
        <w:tc>
          <w:tcPr>
            <w:tcW w:w="520" w:type="dxa"/>
            <w:vAlign w:val="bottom"/>
            <w:tcBorders>
              <w:top w:val="single" w:sz="8" w:color="0000EE"/>
            </w:tcBorders>
            <w:gridSpan w:val="6"/>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8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5980" w:type="dxa"/>
            <w:vAlign w:val="bottom"/>
            <w:gridSpan w:val="15"/>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6">
              <w:r>
                <w:rPr>
                  <w:rFonts w:ascii="Times New Roman" w:cs="Times New Roman" w:eastAsia="Times New Roman" w:hAnsi="Times New Roman"/>
                  <w:sz w:val="14"/>
                  <w:szCs w:val="14"/>
                  <w:color w:val="0000EE"/>
                </w:rPr>
                <w:t>Indenture for Subordinated Debt Securities dated February 1, 1997 among the Company and The</w:t>
              </w:r>
            </w:hyperlink>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tcBorders>
              <w:bottom w:val="single" w:sz="8" w:color="0000EE"/>
            </w:tcBorders>
            <w:gridSpan w:val="13"/>
          </w:tcPr>
          <w:p>
            <w:pPr>
              <w:spacing w:after="0" w:line="148"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Bank of New York Mellon Trust Company, N.A. (the current successor to Texas Commerce Bank</w:t>
              </w:r>
            </w:hyperlink>
          </w:p>
        </w:tc>
        <w:tc>
          <w:tcPr>
            <w:tcW w:w="40" w:type="dxa"/>
            <w:vAlign w:val="bottom"/>
          </w:tcPr>
          <w:p>
            <w:pPr>
              <w:spacing w:after="0"/>
              <w:rPr>
                <w:sz w:val="12"/>
                <w:szCs w:val="12"/>
                <w:color w:val="auto"/>
              </w:rPr>
            </w:pPr>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Borders>
              <w:bottom w:val="single" w:sz="8" w:color="0000EE"/>
            </w:tcBorders>
            <w:gridSpan w:val="9"/>
          </w:tcPr>
          <w:p>
            <w:pPr>
              <w:spacing w:after="0" w:line="148"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National Association), as trustee (incorporated by reference to Exhibit 4.1 to the Company’s</w:t>
              </w:r>
            </w:hyperlink>
          </w:p>
        </w:tc>
        <w:tc>
          <w:tcPr>
            <w:tcW w:w="340" w:type="dxa"/>
            <w:vAlign w:val="bottom"/>
            <w:gridSpan w:val="5"/>
          </w:tcPr>
          <w:p>
            <w:pPr>
              <w:spacing w:after="0"/>
              <w:rPr>
                <w:sz w:val="12"/>
                <w:szCs w:val="12"/>
                <w:color w:val="auto"/>
              </w:rPr>
            </w:pPr>
          </w:p>
        </w:tc>
      </w:tr>
      <w:tr>
        <w:trPr>
          <w:trHeight w:val="14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tcBorders>
              <w:bottom w:val="single" w:sz="8" w:color="0000EE"/>
            </w:tcBorders>
            <w:gridSpan w:val="3"/>
          </w:tcPr>
          <w:p>
            <w:pPr>
              <w:spacing w:after="0" w:line="148"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Current Report on Form 8-K filed on February 7, 1997).</w:t>
              </w:r>
            </w:hyperlink>
          </w:p>
        </w:tc>
        <w:tc>
          <w:tcPr>
            <w:tcW w:w="2460" w:type="dxa"/>
            <w:vAlign w:val="bottom"/>
            <w:gridSpan w:val="11"/>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725" w:lineRule="exact"/>
        <w:rPr>
          <w:sz w:val="20"/>
          <w:szCs w:val="20"/>
          <w:color w:val="auto"/>
        </w:rPr>
      </w:pPr>
    </w:p>
    <w:p>
      <w:pPr>
        <w:sectPr>
          <w:pgSz w:w="11900" w:h="16838" w:orient="portrait"/>
          <w:cols w:equalWidth="0" w:num="2">
            <w:col w:w="7620" w:space="80"/>
            <w:col w:w="1319"/>
          </w:cols>
          <w:pgMar w:left="1440" w:top="105" w:right="1440" w:bottom="1440" w:gutter="0" w:footer="0" w:header="0"/>
          <w:type w:val="continuous"/>
        </w:sectPr>
      </w:pP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20"/>
        <w:spacing w:after="0" w:line="184" w:lineRule="auto"/>
        <w:tabs>
          <w:tab w:leader="none" w:pos="4500" w:val="left"/>
          <w:tab w:leader="none" w:pos="7680" w:val="left"/>
        </w:tabs>
        <w:rPr>
          <w:sz w:val="20"/>
          <w:szCs w:val="20"/>
          <w:color w:val="auto"/>
        </w:rPr>
      </w:pPr>
      <w:r>
        <w:rPr>
          <w:rFonts w:ascii="Times New Roman" w:cs="Times New Roman" w:eastAsia="Times New Roman" w:hAnsi="Times New Roman"/>
          <w:sz w:val="19"/>
          <w:szCs w:val="19"/>
          <w:b w:val="1"/>
          <w:bCs w:val="1"/>
          <w:u w:val="single" w:color="auto"/>
          <w:color w:val="auto"/>
          <w:vertAlign w:val="subscript"/>
        </w:rPr>
        <w:t>​</w:t>
      </w:r>
      <w:r>
        <w:rPr>
          <w:rFonts w:ascii="Times New Roman" w:cs="Times New Roman" w:eastAsia="Times New Roman" w:hAnsi="Times New Roman"/>
          <w:sz w:val="10"/>
          <w:szCs w:val="10"/>
          <w:b w:val="1"/>
          <w:bCs w:val="1"/>
          <w:u w:val="single" w:color="auto"/>
          <w:color w:val="auto"/>
        </w:rPr>
        <w:t>Number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-635</wp:posOffset>
            </wp:positionV>
            <wp:extent cx="370840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3708400" cy="6985"/>
                    </a:xfrm>
                    <a:prstGeom prst="rect">
                      <a:avLst/>
                    </a:prstGeom>
                    <a:noFill/>
                  </pic:spPr>
                </pic:pic>
              </a:graphicData>
            </a:graphic>
          </wp:anchor>
        </w:drawing>
      </w:r>
    </w:p>
    <w:p>
      <w:pPr>
        <w:ind w:left="1700" w:right="1279" w:hanging="545"/>
        <w:spacing w:after="0" w:line="264" w:lineRule="auto"/>
        <w:tabs>
          <w:tab w:leader="none" w:pos="16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4.3</w:t>
        <w:tab/>
        <w:t xml:space="preserve">​ ​ </w:t>
      </w:r>
      <w:hyperlink r:id="rId69">
        <w:r>
          <w:rPr>
            <w:rFonts w:ascii="Times New Roman" w:cs="Times New Roman" w:eastAsia="Times New Roman" w:hAnsi="Times New Roman"/>
            <w:sz w:val="14"/>
            <w:szCs w:val="14"/>
            <w:u w:val="single" w:color="auto"/>
            <w:color w:val="0000EE"/>
          </w:rPr>
          <w:t>Indenture for Senior Debt Securities dated September 10, 1997 among the Company and The Bank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69">
        <w:r>
          <w:rPr>
            <w:rFonts w:ascii="Times New Roman" w:cs="Times New Roman" w:eastAsia="Times New Roman" w:hAnsi="Times New Roman"/>
            <w:sz w:val="14"/>
            <w:szCs w:val="14"/>
            <w:u w:val="single" w:color="auto"/>
            <w:color w:val="0000EE"/>
          </w:rPr>
          <w:t>of New York Mellon Trust Company, N.A. (the current successor to Texas Commerce Bank</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National Association), as trustee (incorporated by reference to Exhibit 4.1 to the Company’s</w:t>
        </w:r>
      </w:hyperlink>
    </w:p>
    <w:p>
      <w:pPr>
        <w:sectPr>
          <w:pgSz w:w="11900" w:h="16838" w:orient="portrait"/>
          <w:cols w:equalWidth="0" w:num="1">
            <w:col w:w="9019"/>
          </w:cols>
          <w:pgMar w:left="1440" w:top="105" w:right="1440" w:bottom="1440" w:gutter="0" w:footer="0" w:header="0"/>
        </w:sectPr>
      </w:pPr>
    </w:p>
    <w:tbl>
      <w:tblPr>
        <w:tblLayout w:type="fixed"/>
        <w:tblInd w:w="132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80" w:type="dxa"/>
            <w:vAlign w:val="bottom"/>
            <w:tcBorders>
              <w:bottom w:val="single" w:sz="8" w:color="0000EE"/>
            </w:tcBorders>
            <w:gridSpan w:val="5"/>
          </w:tcPr>
          <w:p>
            <w:pPr>
              <w:spacing w:after="0" w:line="139"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Current Report on Form 8-K filed on September 24, 1997).</w:t>
              </w:r>
            </w:hyperlink>
          </w:p>
        </w:tc>
        <w:tc>
          <w:tcPr>
            <w:tcW w:w="19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line="190"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5.1</w:t>
            </w:r>
          </w:p>
        </w:tc>
        <w:tc>
          <w:tcPr>
            <w:tcW w:w="5660" w:type="dxa"/>
            <w:vAlign w:val="bottom"/>
            <w:gridSpan w:val="10"/>
          </w:tcPr>
          <w:p>
            <w:pPr>
              <w:ind w:left="60"/>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Legal Opinion of Courtney A. Tippy.</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40" w:type="dxa"/>
            <w:vAlign w:val="bottom"/>
            <w:gridSpan w:val="9"/>
            <w:vMerge w:val="restart"/>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Guarantor Subsidiary (incorporated by reference to Exhibit 22.1 to the Company’s Quarterly</w:t>
              </w:r>
            </w:hyperlink>
          </w:p>
        </w:tc>
        <w:tc>
          <w:tcPr>
            <w:tcW w:w="0" w:type="dxa"/>
            <w:vAlign w:val="bottom"/>
          </w:tcPr>
          <w:p>
            <w:pPr>
              <w:spacing w:after="0"/>
              <w:rPr>
                <w:sz w:val="1"/>
                <w:szCs w:val="1"/>
                <w:color w:val="auto"/>
              </w:rPr>
            </w:pPr>
          </w:p>
        </w:tc>
      </w:tr>
      <w:tr>
        <w:trPr>
          <w:trHeight w:val="37"/>
        </w:trPr>
        <w:tc>
          <w:tcPr>
            <w:tcW w:w="32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22.1</w:t>
            </w:r>
          </w:p>
        </w:tc>
        <w:tc>
          <w:tcPr>
            <w:tcW w:w="220" w:type="dxa"/>
            <w:vAlign w:val="bottom"/>
          </w:tcPr>
          <w:p>
            <w:pPr>
              <w:spacing w:after="0"/>
              <w:rPr>
                <w:sz w:val="2"/>
                <w:szCs w:val="2"/>
                <w:color w:val="auto"/>
              </w:rPr>
            </w:pPr>
          </w:p>
        </w:tc>
        <w:tc>
          <w:tcPr>
            <w:tcW w:w="5440" w:type="dxa"/>
            <w:vAlign w:val="bottom"/>
            <w:tcBorders>
              <w:bottom w:val="single" w:sz="8" w:color="0000EE"/>
            </w:tcBorders>
            <w:gridSpan w:val="9"/>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3480" w:type="dxa"/>
            <w:vAlign w:val="bottom"/>
            <w:tcBorders>
              <w:bottom w:val="single" w:sz="8" w:color="0000EE"/>
            </w:tcBorders>
            <w:gridSpan w:val="5"/>
          </w:tcPr>
          <w:p>
            <w:pPr>
              <w:spacing w:after="0" w:line="148"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Report on Form 10-Q for the quarter ended June 30, 2025).</w:t>
              </w:r>
            </w:hyperlink>
          </w:p>
        </w:tc>
        <w:tc>
          <w:tcPr>
            <w:tcW w:w="19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EE"/>
              </w:rPr>
              <w:t>Consent of Courtney A. Tippy (included in Exhibit 5.1).</w:t>
            </w:r>
          </w:p>
        </w:tc>
        <w:tc>
          <w:tcPr>
            <w:tcW w:w="214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23.1</w:t>
            </w:r>
          </w:p>
        </w:tc>
        <w:tc>
          <w:tcPr>
            <w:tcW w:w="220" w:type="dxa"/>
            <w:vAlign w:val="bottom"/>
          </w:tcPr>
          <w:p>
            <w:pPr>
              <w:spacing w:after="0"/>
              <w:rPr>
                <w:sz w:val="4"/>
                <w:szCs w:val="4"/>
                <w:color w:val="auto"/>
              </w:rPr>
            </w:pPr>
          </w:p>
        </w:tc>
        <w:tc>
          <w:tcPr>
            <w:tcW w:w="3300" w:type="dxa"/>
            <w:vAlign w:val="bottom"/>
            <w:tcBorders>
              <w:bottom w:val="single" w:sz="8" w:color="0000EE"/>
            </w:tcBorders>
            <w:gridSpan w:val="4"/>
            <w:vMerge w:val="continue"/>
          </w:tcPr>
          <w:p>
            <w:pPr>
              <w:spacing w:after="0"/>
              <w:rPr>
                <w:sz w:val="4"/>
                <w:szCs w:val="4"/>
                <w:color w:val="auto"/>
              </w:rPr>
            </w:pPr>
          </w:p>
        </w:tc>
        <w:tc>
          <w:tcPr>
            <w:tcW w:w="21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32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line="127" w:lineRule="exact"/>
              <w:rPr>
                <w:sz w:val="20"/>
                <w:szCs w:val="20"/>
                <w:color w:val="auto"/>
              </w:rPr>
            </w:pPr>
            <w:r>
              <w:rPr>
                <w:rFonts w:ascii="Times New Roman" w:cs="Times New Roman" w:eastAsia="Times New Roman" w:hAnsi="Times New Roman"/>
                <w:sz w:val="14"/>
                <w:szCs w:val="14"/>
                <w:color w:val="auto"/>
              </w:rPr>
              <w:t>​ ​</w:t>
            </w:r>
          </w:p>
        </w:tc>
        <w:tc>
          <w:tcPr>
            <w:tcW w:w="54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0" w:type="dxa"/>
            <w:vAlign w:val="bottom"/>
          </w:tcPr>
          <w:p>
            <w:pPr>
              <w:spacing w:after="0"/>
              <w:rPr>
                <w:sz w:val="1"/>
                <w:szCs w:val="1"/>
                <w:color w:val="auto"/>
              </w:rPr>
            </w:pPr>
          </w:p>
        </w:tc>
      </w:tr>
      <w:tr>
        <w:trPr>
          <w:trHeight w:val="53"/>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23.2</w:t>
            </w:r>
          </w:p>
        </w:tc>
        <w:tc>
          <w:tcPr>
            <w:tcW w:w="220" w:type="dxa"/>
            <w:vAlign w:val="bottom"/>
          </w:tcPr>
          <w:p>
            <w:pPr>
              <w:spacing w:after="0"/>
              <w:rPr>
                <w:sz w:val="4"/>
                <w:szCs w:val="4"/>
                <w:color w:val="auto"/>
              </w:rPr>
            </w:pPr>
          </w:p>
        </w:tc>
        <w:tc>
          <w:tcPr>
            <w:tcW w:w="54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8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pages of this registration statement).</w:t>
            </w:r>
          </w:p>
        </w:tc>
        <w:tc>
          <w:tcPr>
            <w:tcW w:w="60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24.1</w:t>
            </w:r>
          </w:p>
        </w:tc>
        <w:tc>
          <w:tcPr>
            <w:tcW w:w="220" w:type="dxa"/>
            <w:vAlign w:val="bottom"/>
          </w:tcPr>
          <w:p>
            <w:pPr>
              <w:spacing w:after="0"/>
              <w:rPr>
                <w:sz w:val="4"/>
                <w:szCs w:val="4"/>
                <w:color w:val="auto"/>
              </w:rPr>
            </w:pPr>
          </w:p>
        </w:tc>
        <w:tc>
          <w:tcPr>
            <w:tcW w:w="4840" w:type="dxa"/>
            <w:vAlign w:val="bottom"/>
            <w:tcBorders>
              <w:bottom w:val="single" w:sz="8" w:color="0000EE"/>
            </w:tcBorders>
            <w:gridSpan w:val="6"/>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54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Statement of Eligibility of Trustee on Form T-1 with respect to the senior indenture.</w:t>
            </w:r>
          </w:p>
        </w:tc>
        <w:tc>
          <w:tcPr>
            <w:tcW w:w="0" w:type="dxa"/>
            <w:vAlign w:val="bottom"/>
          </w:tcPr>
          <w:p>
            <w:pPr>
              <w:spacing w:after="0"/>
              <w:rPr>
                <w:sz w:val="1"/>
                <w:szCs w:val="1"/>
                <w:color w:val="auto"/>
              </w:rPr>
            </w:pPr>
          </w:p>
        </w:tc>
      </w:tr>
      <w:tr>
        <w:trPr>
          <w:trHeight w:val="53"/>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25.1</w:t>
            </w:r>
          </w:p>
        </w:tc>
        <w:tc>
          <w:tcPr>
            <w:tcW w:w="220" w:type="dxa"/>
            <w:vAlign w:val="bottom"/>
          </w:tcPr>
          <w:p>
            <w:pPr>
              <w:spacing w:after="0"/>
              <w:rPr>
                <w:sz w:val="4"/>
                <w:szCs w:val="4"/>
                <w:color w:val="auto"/>
              </w:rPr>
            </w:pPr>
          </w:p>
        </w:tc>
        <w:tc>
          <w:tcPr>
            <w:tcW w:w="54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Statement of Eligibility of Trustee on Form T-1 with respect to the subordinated indenture.</w:t>
            </w:r>
          </w:p>
        </w:tc>
        <w:tc>
          <w:tcPr>
            <w:tcW w:w="0" w:type="dxa"/>
            <w:vAlign w:val="bottom"/>
          </w:tcPr>
          <w:p>
            <w:pPr>
              <w:spacing w:after="0"/>
              <w:rPr>
                <w:sz w:val="1"/>
                <w:szCs w:val="1"/>
                <w:color w:val="auto"/>
              </w:rPr>
            </w:pPr>
          </w:p>
        </w:tc>
      </w:tr>
      <w:tr>
        <w:trPr>
          <w:trHeight w:val="53"/>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25.2</w:t>
            </w:r>
          </w:p>
        </w:tc>
        <w:tc>
          <w:tcPr>
            <w:tcW w:w="220" w:type="dxa"/>
            <w:vAlign w:val="bottom"/>
          </w:tcPr>
          <w:p>
            <w:pPr>
              <w:spacing w:after="0"/>
              <w:rPr>
                <w:sz w:val="4"/>
                <w:szCs w:val="4"/>
                <w:color w:val="auto"/>
              </w:rPr>
            </w:pPr>
          </w:p>
        </w:tc>
        <w:tc>
          <w:tcPr>
            <w:tcW w:w="54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4"/>
                <w:szCs w:val="14"/>
                <w:color w:val="0000EE"/>
              </w:rPr>
              <w:t>Filing Fees Table.</w:t>
            </w:r>
          </w:p>
        </w:tc>
        <w:tc>
          <w:tcPr>
            <w:tcW w:w="4260" w:type="dxa"/>
            <w:vAlign w:val="bottom"/>
            <w:tcBorders>
              <w:top w:val="single" w:sz="8" w:color="0000EE"/>
            </w:tcBorders>
            <w:gridSpan w:val="7"/>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107</w:t>
            </w:r>
          </w:p>
        </w:tc>
        <w:tc>
          <w:tcPr>
            <w:tcW w:w="220" w:type="dxa"/>
            <w:vAlign w:val="bottom"/>
          </w:tcPr>
          <w:p>
            <w:pPr>
              <w:spacing w:after="0"/>
              <w:rPr>
                <w:sz w:val="4"/>
                <w:szCs w:val="4"/>
                <w:color w:val="auto"/>
              </w:rPr>
            </w:pPr>
          </w:p>
        </w:tc>
        <w:tc>
          <w:tcPr>
            <w:tcW w:w="1060" w:type="dxa"/>
            <w:vAlign w:val="bottom"/>
            <w:tcBorders>
              <w:bottom w:val="single" w:sz="8" w:color="0000EE"/>
            </w:tcBorders>
            <w:vMerge w:val="continue"/>
          </w:tcPr>
          <w:p>
            <w:pPr>
              <w:spacing w:after="0"/>
              <w:rPr>
                <w:sz w:val="4"/>
                <w:szCs w:val="4"/>
                <w:color w:val="auto"/>
              </w:rPr>
            </w:pPr>
          </w:p>
        </w:tc>
        <w:tc>
          <w:tcPr>
            <w:tcW w:w="4260" w:type="dxa"/>
            <w:vAlign w:val="bottom"/>
            <w:gridSpan w:val="7"/>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133350</wp:posOffset>
            </wp:positionV>
            <wp:extent cx="9601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960120" cy="6985"/>
                    </a:xfrm>
                    <a:prstGeom prst="rect">
                      <a:avLst/>
                    </a:prstGeom>
                    <a:noFill/>
                  </pic:spPr>
                </pic:pic>
              </a:graphicData>
            </a:graphic>
          </wp:anchor>
        </w:drawing>
      </w:r>
    </w:p>
    <w:p>
      <w:pPr>
        <w:spacing w:after="0" w:line="270" w:lineRule="exact"/>
        <w:rPr>
          <w:sz w:val="20"/>
          <w:szCs w:val="20"/>
          <w:color w:val="auto"/>
        </w:rPr>
      </w:pPr>
    </w:p>
    <w:p>
      <w:pPr>
        <w:ind w:left="1600" w:hanging="289"/>
        <w:spacing w:after="0" w:line="255" w:lineRule="auto"/>
        <w:tabs>
          <w:tab w:leader="none" w:pos="16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Waste Management, Inc. will file as an exhibit to a Current Report on Form 8-K (i) any underwriting, remarketing or agency agreement relating to securities offered hereby, (ii) the instruments setting forth the terms of any securities, (iii) any additional required opinions of counsel with respect to legality of the securities offered hereby and (iv) any required opinion of counsel as to certain tax matters relative to securities offered hereby. Any additional required Statements of Eligibility under the Trust Indenture Act of 1939, as amended (the “Trust Indenture Act”), on Form T-1 would be filed, if necessary, on Form 305B2 in accordance with the requirements of Section 305(b)(2) of the Trust Indenture Act.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611" w:lineRule="exact"/>
        <w:rPr>
          <w:sz w:val="20"/>
          <w:szCs w:val="20"/>
          <w:color w:val="auto"/>
        </w:rPr>
      </w:pPr>
    </w:p>
    <w:p>
      <w:pPr>
        <w:sectPr>
          <w:pgSz w:w="11900" w:h="16838" w:orient="portrait"/>
          <w:cols w:equalWidth="0" w:num="2">
            <w:col w:w="7660" w:space="40"/>
            <w:col w:w="1319"/>
          </w:cols>
          <w:pgMar w:left="1440" w:top="105" w:right="1440" w:bottom="1440" w:gutter="0" w:footer="0" w:header="0"/>
          <w:type w:val="continuous"/>
        </w:sectPr>
      </w:pPr>
    </w:p>
    <w:p>
      <w:pPr>
        <w:ind w:left="1320"/>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3"/>
          <w:szCs w:val="13"/>
          <w:b w:val="1"/>
          <w:bCs w:val="1"/>
          <w:i w:val="1"/>
          <w:iCs w:val="1"/>
          <w:color w:val="auto"/>
        </w:rPr>
        <w:t>Undertakings.</w:t>
      </w:r>
    </w:p>
    <w:p>
      <w:pPr>
        <w:spacing w:after="0" w:line="1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12" w:lineRule="exact"/>
        <w:rPr>
          <w:sz w:val="20"/>
          <w:szCs w:val="20"/>
          <w:color w:val="auto"/>
        </w:rPr>
      </w:pPr>
    </w:p>
    <w:p>
      <w:pPr>
        <w:ind w:left="1320" w:right="1459" w:firstLine="271"/>
        <w:spacing w:after="0" w:line="282" w:lineRule="auto"/>
        <w:tabs>
          <w:tab w:leader="none" w:pos="188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2" w:lineRule="exact"/>
        <w:rPr>
          <w:rFonts w:ascii="Times New Roman" w:cs="Times New Roman" w:eastAsia="Times New Roman" w:hAnsi="Times New Roman"/>
          <w:sz w:val="14"/>
          <w:szCs w:val="14"/>
          <w:color w:val="auto"/>
        </w:rPr>
      </w:pPr>
    </w:p>
    <w:p>
      <w:pPr>
        <w:ind w:left="2120" w:hanging="249"/>
        <w:spacing w:after="0"/>
        <w:tabs>
          <w:tab w:leader="none" w:pos="21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12" w:lineRule="exact"/>
        <w:rPr>
          <w:rFonts w:ascii="Times New Roman" w:cs="Times New Roman" w:eastAsia="Times New Roman" w:hAnsi="Times New Roman"/>
          <w:sz w:val="14"/>
          <w:szCs w:val="14"/>
          <w:color w:val="auto"/>
        </w:rPr>
      </w:pPr>
    </w:p>
    <w:p>
      <w:pPr>
        <w:ind w:left="1600" w:right="1339" w:firstLine="271"/>
        <w:spacing w:after="0" w:line="243" w:lineRule="auto"/>
        <w:tabs>
          <w:tab w:leader="none" w:pos="2173"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255" w:lineRule="exact"/>
        <w:rPr>
          <w:rFonts w:ascii="Times New Roman" w:cs="Times New Roman" w:eastAsia="Times New Roman" w:hAnsi="Times New Roman"/>
          <w:sz w:val="14"/>
          <w:szCs w:val="14"/>
          <w:color w:val="auto"/>
        </w:rPr>
      </w:pPr>
    </w:p>
    <w:p>
      <w:pPr>
        <w:jc w:val="both"/>
        <w:ind w:left="1600" w:right="1519" w:firstLine="271"/>
        <w:spacing w:after="0" w:line="258" w:lineRule="auto"/>
        <w:tabs>
          <w:tab w:leader="none" w:pos="2215"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7" w:lineRule="exact"/>
        <w:rPr>
          <w:sz w:val="20"/>
          <w:szCs w:val="20"/>
          <w:color w:val="auto"/>
        </w:rPr>
      </w:pPr>
    </w:p>
    <w:p>
      <w:pPr>
        <w:ind w:left="1320" w:right="1379"/>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 that paragraphs (i), (ii) and (iii) do not apply if the information required to be included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320" w:right="1339" w:firstLine="271"/>
        <w:spacing w:after="0" w:line="252" w:lineRule="auto"/>
        <w:tabs>
          <w:tab w:leader="none" w:pos="188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99" w:firstLine="271"/>
        <w:spacing w:after="0" w:line="282" w:lineRule="auto"/>
        <w:tabs>
          <w:tab w:leader="none" w:pos="188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2" w:lineRule="exact"/>
        <w:rPr>
          <w:rFonts w:ascii="Times New Roman" w:cs="Times New Roman" w:eastAsia="Times New Roman" w:hAnsi="Times New Roman"/>
          <w:sz w:val="14"/>
          <w:szCs w:val="14"/>
          <w:color w:val="auto"/>
        </w:rPr>
      </w:pPr>
    </w:p>
    <w:p>
      <w:pPr>
        <w:ind w:left="1880" w:hanging="289"/>
        <w:spacing w:after="0"/>
        <w:tabs>
          <w:tab w:leader="none" w:pos="18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12" w:lineRule="exact"/>
        <w:rPr>
          <w:rFonts w:ascii="Times New Roman" w:cs="Times New Roman" w:eastAsia="Times New Roman" w:hAnsi="Times New Roman"/>
          <w:sz w:val="14"/>
          <w:szCs w:val="14"/>
          <w:color w:val="auto"/>
        </w:rPr>
      </w:pPr>
    </w:p>
    <w:p>
      <w:pPr>
        <w:jc w:val="both"/>
        <w:ind w:left="1600" w:right="1439" w:firstLine="271"/>
        <w:spacing w:after="0" w:line="258" w:lineRule="auto"/>
        <w:tabs>
          <w:tab w:leader="none" w:pos="2134"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9" w:lineRule="exact"/>
        <w:rPr>
          <w:rFonts w:ascii="Times New Roman" w:cs="Times New Roman" w:eastAsia="Times New Roman" w:hAnsi="Times New Roman"/>
          <w:sz w:val="14"/>
          <w:szCs w:val="14"/>
          <w:color w:val="auto"/>
        </w:rPr>
      </w:pPr>
    </w:p>
    <w:p>
      <w:pPr>
        <w:ind w:left="1600" w:right="1379" w:firstLine="271"/>
        <w:spacing w:after="0" w:line="242" w:lineRule="auto"/>
        <w:tabs>
          <w:tab w:leader="none" w:pos="217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53" w:lineRule="exact"/>
        <w:rPr>
          <w:rFonts w:ascii="Times New Roman" w:cs="Times New Roman" w:eastAsia="Times New Roman" w:hAnsi="Times New Roman"/>
          <w:sz w:val="14"/>
          <w:szCs w:val="14"/>
          <w:color w:val="auto"/>
        </w:rPr>
      </w:pPr>
    </w:p>
    <w:p>
      <w:pPr>
        <w:ind w:left="1320" w:right="1339" w:firstLine="271"/>
        <w:spacing w:after="0" w:line="244" w:lineRule="auto"/>
        <w:tabs>
          <w:tab w:leader="none" w:pos="188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rFonts w:ascii="Times New Roman" w:cs="Times New Roman" w:eastAsia="Times New Roman" w:hAnsi="Times New Roman"/>
          <w:sz w:val="14"/>
          <w:szCs w:val="14"/>
          <w:color w:val="auto"/>
        </w:rPr>
      </w:pPr>
    </w:p>
    <w:p>
      <w:pPr>
        <w:ind w:left="1600" w:right="1359" w:firstLine="271"/>
        <w:spacing w:after="0" w:line="282" w:lineRule="auto"/>
        <w:tabs>
          <w:tab w:leader="none" w:pos="212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2" w:lineRule="exact"/>
        <w:rPr>
          <w:rFonts w:ascii="Times New Roman" w:cs="Times New Roman" w:eastAsia="Times New Roman" w:hAnsi="Times New Roman"/>
          <w:sz w:val="14"/>
          <w:szCs w:val="14"/>
          <w:color w:val="auto"/>
        </w:rPr>
      </w:pPr>
    </w:p>
    <w:p>
      <w:pPr>
        <w:ind w:left="1600" w:right="1999" w:firstLine="271"/>
        <w:spacing w:after="0" w:line="267" w:lineRule="auto"/>
        <w:tabs>
          <w:tab w:leader="none" w:pos="2168"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2" w:lineRule="exact"/>
        <w:rPr>
          <w:rFonts w:ascii="Times New Roman" w:cs="Times New Roman" w:eastAsia="Times New Roman" w:hAnsi="Times New Roman"/>
          <w:sz w:val="14"/>
          <w:szCs w:val="14"/>
          <w:color w:val="auto"/>
        </w:rPr>
      </w:pPr>
    </w:p>
    <w:p>
      <w:pPr>
        <w:ind w:left="1600" w:right="1439" w:firstLine="271"/>
        <w:spacing w:after="0" w:line="266" w:lineRule="auto"/>
        <w:tabs>
          <w:tab w:leader="none" w:pos="2215"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4" w:lineRule="exact"/>
        <w:rPr>
          <w:rFonts w:ascii="Times New Roman" w:cs="Times New Roman" w:eastAsia="Times New Roman" w:hAnsi="Times New Roman"/>
          <w:sz w:val="14"/>
          <w:szCs w:val="14"/>
          <w:color w:val="auto"/>
        </w:rPr>
      </w:pPr>
    </w:p>
    <w:p>
      <w:pPr>
        <w:ind w:left="1600" w:right="1419" w:firstLine="271"/>
        <w:spacing w:after="0" w:line="282" w:lineRule="auto"/>
        <w:tabs>
          <w:tab w:leader="none" w:pos="2199"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2" w:lineRule="exact"/>
        <w:rPr>
          <w:rFonts w:ascii="Times New Roman" w:cs="Times New Roman" w:eastAsia="Times New Roman" w:hAnsi="Times New Roman"/>
          <w:sz w:val="14"/>
          <w:szCs w:val="14"/>
          <w:color w:val="auto"/>
        </w:rPr>
      </w:pPr>
    </w:p>
    <w:p>
      <w:pPr>
        <w:jc w:val="both"/>
        <w:ind w:left="1320" w:right="1379" w:firstLine="271"/>
        <w:spacing w:after="0" w:line="257" w:lineRule="auto"/>
        <w:tabs>
          <w:tab w:leader="none" w:pos="188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89" w:lineRule="exact"/>
        <w:rPr>
          <w:rFonts w:ascii="Times New Roman" w:cs="Times New Roman" w:eastAsia="Times New Roman" w:hAnsi="Times New Roman"/>
          <w:sz w:val="14"/>
          <w:szCs w:val="14"/>
          <w:color w:val="auto"/>
        </w:rPr>
      </w:pPr>
    </w:p>
    <w:p>
      <w:pPr>
        <w:ind w:left="1320" w:right="1359" w:firstLine="271"/>
        <w:spacing w:after="0" w:line="255" w:lineRule="auto"/>
        <w:tabs>
          <w:tab w:leader="none" w:pos="188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201295</wp:posOffset>
            </wp:positionV>
            <wp:extent cx="53206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61" w:lineRule="auto"/>
        <w:rPr>
          <w:sz w:val="20"/>
          <w:szCs w:val="20"/>
          <w:color w:val="auto"/>
        </w:rPr>
      </w:pPr>
      <w:r>
        <w:rPr>
          <w:rFonts w:ascii="Times New Roman" w:cs="Times New Roman" w:eastAsia="Times New Roman" w:hAnsi="Times New Roman"/>
          <w:sz w:val="14"/>
          <w:szCs w:val="14"/>
          <w:color w:val="auto"/>
        </w:rPr>
        <w:t>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7" w:lineRule="exact"/>
        <w:rPr>
          <w:sz w:val="20"/>
          <w:szCs w:val="20"/>
          <w:color w:val="auto"/>
        </w:rPr>
      </w:pPr>
    </w:p>
    <w:p>
      <w:pPr>
        <w:ind w:left="1320" w:right="1699" w:firstLine="271"/>
        <w:spacing w:after="0" w:line="266" w:lineRule="auto"/>
        <w:tabs>
          <w:tab w:leader="none" w:pos="188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day of July, 2025.</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WASTE MANAGEMENT, INC.</w:t>
      </w:r>
    </w:p>
    <w:p>
      <w:pPr>
        <w:spacing w:after="0" w:line="1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33655</wp:posOffset>
            </wp:positionV>
            <wp:extent cx="21005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2100580" cy="6985"/>
                    </a:xfrm>
                    <a:prstGeom prst="rect">
                      <a:avLst/>
                    </a:prstGeom>
                    <a:noFill/>
                  </pic:spPr>
                </pic:pic>
              </a:graphicData>
            </a:graphic>
          </wp:anchor>
        </w:drawing>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James C. Fish, Jr.,</w:t>
      </w:r>
    </w:p>
    <w:p>
      <w:pPr>
        <w:spacing w:after="0" w:line="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KNOWN ALL PERSONS BY THESE PRESENTS, that the individuals whose signature appears below hereby constitute and appoint Devina A. Rankin, Charles C. Boettcher and Courtney A. Tippy,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 -in-fact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 facts and agents or any of them, or of his substitute or substitutes, may lawfully do to cause to be done by virtue hereof.</w:t>
      </w:r>
    </w:p>
    <w:p>
      <w:pPr>
        <w:sectPr>
          <w:pgSz w:w="11900" w:h="16838" w:orient="portrait"/>
          <w:cols w:equalWidth="0" w:num="1">
            <w:col w:w="9019"/>
          </w:cols>
          <w:pgMar w:left="1440" w:top="105" w:right="1440" w:bottom="1440" w:gutter="0" w:footer="0" w:header="0"/>
        </w:sectPr>
      </w:pPr>
    </w:p>
    <w:p>
      <w:pPr>
        <w:spacing w:after="0" w:line="84" w:lineRule="exact"/>
        <w:rPr>
          <w:sz w:val="20"/>
          <w:szCs w:val="20"/>
          <w:color w:val="auto"/>
        </w:rPr>
      </w:pPr>
    </w:p>
    <w:p>
      <w:pPr>
        <w:ind w:left="1320" w:firstLine="280"/>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by the following persons in the capacities indicated 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459" w:firstLine="6"/>
        <w:spacing w:after="0" w:line="243" w:lineRule="auto"/>
        <w:rPr>
          <w:sz w:val="20"/>
          <w:szCs w:val="20"/>
          <w:color w:val="auto"/>
        </w:rPr>
      </w:pPr>
      <w:r>
        <w:rPr>
          <w:rFonts w:ascii="Times New Roman" w:cs="Times New Roman" w:eastAsia="Times New Roman" w:hAnsi="Times New Roman"/>
          <w:sz w:val="14"/>
          <w:szCs w:val="14"/>
          <w:color w:val="auto"/>
        </w:rPr>
        <w:t>of 1933, this registration statement has been signed the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day of July, 2025.</w:t>
      </w:r>
    </w:p>
    <w:p>
      <w:pPr>
        <w:spacing w:after="0" w:line="1" w:lineRule="exact"/>
        <w:rPr>
          <w:sz w:val="20"/>
          <w:szCs w:val="20"/>
          <w:color w:val="auto"/>
        </w:rPr>
      </w:pPr>
    </w:p>
    <w:p>
      <w:pPr>
        <w:sectPr>
          <w:pgSz w:w="11900" w:h="16838" w:orient="portrait"/>
          <w:cols w:equalWidth="0" w:num="2">
            <w:col w:w="4520" w:space="40"/>
            <w:col w:w="4459"/>
          </w:cols>
          <w:pgMar w:left="1440" w:top="105" w:right="1440" w:bottom="1440" w:gutter="0" w:footer="0" w:header="0"/>
          <w:type w:val="continuous"/>
        </w:sectPr>
      </w:pPr>
    </w:p>
    <w:p>
      <w:pPr>
        <w:ind w:left="2640" w:hanging="1329"/>
        <w:spacing w:after="0" w:line="237" w:lineRule="auto"/>
        <w:tabs>
          <w:tab w:leader="none" w:pos="2640" w:val="left"/>
        </w:tabs>
        <w:numPr>
          <w:ilvl w:val="0"/>
          <w:numId w:val="35"/>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32" w:lineRule="exact"/>
        <w:rPr>
          <w:rFonts w:ascii="Times New Roman" w:cs="Times New Roman" w:eastAsia="Times New Roman" w:hAnsi="Times New Roman"/>
          <w:sz w:val="22"/>
          <w:szCs w:val="22"/>
          <w:b w:val="1"/>
          <w:bCs w:val="1"/>
          <w:color w:val="auto"/>
          <w:vertAlign w:val="subscript"/>
        </w:rPr>
      </w:pPr>
    </w:p>
    <w:p>
      <w:pPr>
        <w:ind w:left="2160" w:hanging="849"/>
        <w:spacing w:after="0" w:line="193" w:lineRule="auto"/>
        <w:tabs>
          <w:tab w:leader="none" w:pos="2160" w:val="left"/>
        </w:tabs>
        <w:numPr>
          <w:ilvl w:val="0"/>
          <w:numId w:val="35"/>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27305</wp:posOffset>
            </wp:positionV>
            <wp:extent cx="19608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-165100</wp:posOffset>
            </wp:positionV>
            <wp:extent cx="19805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5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James C. Fish, Jr.</w:t>
      </w:r>
    </w:p>
    <w:p>
      <w:pPr>
        <w:spacing w:after="0" w:line="191" w:lineRule="exact"/>
        <w:rPr>
          <w:sz w:val="20"/>
          <w:szCs w:val="20"/>
          <w:color w:val="auto"/>
        </w:rPr>
      </w:pPr>
    </w:p>
    <w:p>
      <w:pPr>
        <w:ind w:left="2120" w:hanging="809"/>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DEVINA A. RANKIN</w:t>
      </w:r>
    </w:p>
    <w:p>
      <w:pPr>
        <w:spacing w:after="0" w:line="80" w:lineRule="exact"/>
        <w:rPr>
          <w:rFonts w:ascii="Times New Roman" w:cs="Times New Roman" w:eastAsia="Times New Roman" w:hAnsi="Times New Roman"/>
          <w:sz w:val="14"/>
          <w:szCs w:val="14"/>
          <w:color w:val="auto"/>
        </w:rPr>
      </w:pPr>
    </w:p>
    <w:p>
      <w:pPr>
        <w:ind w:left="2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Devina A. Rankin</w:t>
      </w:r>
    </w:p>
    <w:p>
      <w:pPr>
        <w:spacing w:after="0" w:line="196" w:lineRule="exact"/>
        <w:rPr>
          <w:rFonts w:ascii="Times New Roman" w:cs="Times New Roman" w:eastAsia="Times New Roman" w:hAnsi="Times New Roman"/>
          <w:sz w:val="14"/>
          <w:szCs w:val="14"/>
          <w:color w:val="auto"/>
        </w:rPr>
      </w:pPr>
    </w:p>
    <w:p>
      <w:pPr>
        <w:ind w:left="2240" w:hanging="929"/>
        <w:spacing w:after="0"/>
        <w:tabs>
          <w:tab w:leader="none" w:pos="2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JOHN CARROLL</w:t>
      </w:r>
    </w:p>
    <w:p>
      <w:pPr>
        <w:spacing w:after="0" w:line="80" w:lineRule="exact"/>
        <w:rPr>
          <w:rFonts w:ascii="Times New Roman" w:cs="Times New Roman" w:eastAsia="Times New Roman" w:hAnsi="Times New Roman"/>
          <w:sz w:val="14"/>
          <w:szCs w:val="14"/>
          <w:color w:val="auto"/>
        </w:rPr>
      </w:pPr>
    </w:p>
    <w:p>
      <w:pPr>
        <w:ind w:left="2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Carroll</w:t>
      </w:r>
    </w:p>
    <w:p>
      <w:pPr>
        <w:spacing w:after="0" w:line="196" w:lineRule="exact"/>
        <w:rPr>
          <w:rFonts w:ascii="Times New Roman" w:cs="Times New Roman" w:eastAsia="Times New Roman" w:hAnsi="Times New Roman"/>
          <w:sz w:val="14"/>
          <w:szCs w:val="14"/>
          <w:color w:val="auto"/>
        </w:rPr>
      </w:pPr>
    </w:p>
    <w:p>
      <w:pPr>
        <w:ind w:left="2180" w:hanging="869"/>
        <w:spacing w:after="0"/>
        <w:tabs>
          <w:tab w:leader="none" w:pos="21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THOMAS L. BENÉ</w:t>
      </w:r>
    </w:p>
    <w:p>
      <w:pPr>
        <w:spacing w:after="0" w:line="80" w:lineRule="exact"/>
        <w:rPr>
          <w:rFonts w:ascii="Times New Roman" w:cs="Times New Roman" w:eastAsia="Times New Roman" w:hAnsi="Times New Roman"/>
          <w:sz w:val="14"/>
          <w:szCs w:val="14"/>
          <w:color w:val="auto"/>
        </w:rPr>
      </w:pPr>
    </w:p>
    <w:p>
      <w:pPr>
        <w:ind w:left="2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L. Bené</w:t>
      </w:r>
    </w:p>
    <w:p>
      <w:pPr>
        <w:spacing w:after="0" w:line="196" w:lineRule="exact"/>
        <w:rPr>
          <w:rFonts w:ascii="Times New Roman" w:cs="Times New Roman" w:eastAsia="Times New Roman" w:hAnsi="Times New Roman"/>
          <w:sz w:val="14"/>
          <w:szCs w:val="14"/>
          <w:color w:val="auto"/>
        </w:rPr>
      </w:pPr>
    </w:p>
    <w:p>
      <w:pPr>
        <w:ind w:left="2220" w:hanging="909"/>
        <w:spacing w:after="0"/>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BRUCE E. CHINN</w:t>
      </w:r>
    </w:p>
    <w:p>
      <w:pPr>
        <w:spacing w:after="0" w:line="80" w:lineRule="exact"/>
        <w:rPr>
          <w:rFonts w:ascii="Times New Roman" w:cs="Times New Roman" w:eastAsia="Times New Roman" w:hAnsi="Times New Roman"/>
          <w:sz w:val="14"/>
          <w:szCs w:val="14"/>
          <w:color w:val="auto"/>
        </w:rPr>
      </w:pPr>
    </w:p>
    <w:p>
      <w:pPr>
        <w:ind w:left="2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Bruce E. Chinn</w:t>
      </w:r>
    </w:p>
    <w:p>
      <w:pPr>
        <w:spacing w:after="0" w:line="196" w:lineRule="exact"/>
        <w:rPr>
          <w:rFonts w:ascii="Times New Roman" w:cs="Times New Roman" w:eastAsia="Times New Roman" w:hAnsi="Times New Roman"/>
          <w:sz w:val="14"/>
          <w:szCs w:val="14"/>
          <w:color w:val="auto"/>
        </w:rPr>
      </w:pPr>
    </w:p>
    <w:p>
      <w:pPr>
        <w:ind w:left="2120" w:hanging="809"/>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ANDRÉS R. GLUSKI</w:t>
      </w:r>
    </w:p>
    <w:p>
      <w:pPr>
        <w:spacing w:after="0" w:line="80" w:lineRule="exact"/>
        <w:rPr>
          <w:rFonts w:ascii="Times New Roman" w:cs="Times New Roman" w:eastAsia="Times New Roman" w:hAnsi="Times New Roman"/>
          <w:sz w:val="14"/>
          <w:szCs w:val="14"/>
          <w:color w:val="auto"/>
        </w:rPr>
      </w:pPr>
    </w:p>
    <w:p>
      <w:pPr>
        <w:ind w:left="2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Andrés R. Gluski</w:t>
      </w:r>
    </w:p>
    <w:p>
      <w:pPr>
        <w:spacing w:after="0" w:line="196" w:lineRule="exact"/>
        <w:rPr>
          <w:rFonts w:ascii="Times New Roman" w:cs="Times New Roman" w:eastAsia="Times New Roman" w:hAnsi="Times New Roman"/>
          <w:sz w:val="14"/>
          <w:szCs w:val="14"/>
          <w:color w:val="auto"/>
        </w:rPr>
      </w:pPr>
    </w:p>
    <w:p>
      <w:pPr>
        <w:ind w:left="2140" w:hanging="829"/>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VICTORIA M. HOLT</w:t>
      </w:r>
    </w:p>
    <w:p>
      <w:pPr>
        <w:spacing w:after="0" w:line="80" w:lineRule="exact"/>
        <w:rPr>
          <w:rFonts w:ascii="Times New Roman" w:cs="Times New Roman" w:eastAsia="Times New Roman" w:hAnsi="Times New Roman"/>
          <w:sz w:val="14"/>
          <w:szCs w:val="14"/>
          <w:color w:val="auto"/>
        </w:rPr>
      </w:pPr>
    </w:p>
    <w:p>
      <w:pPr>
        <w:ind w:left="2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Victoria M. Holt</w:t>
      </w:r>
    </w:p>
    <w:p>
      <w:pPr>
        <w:spacing w:after="0" w:line="196" w:lineRule="exact"/>
        <w:rPr>
          <w:rFonts w:ascii="Times New Roman" w:cs="Times New Roman" w:eastAsia="Times New Roman" w:hAnsi="Times New Roman"/>
          <w:sz w:val="14"/>
          <w:szCs w:val="14"/>
          <w:color w:val="auto"/>
        </w:rPr>
      </w:pPr>
    </w:p>
    <w:p>
      <w:pPr>
        <w:ind w:left="1800" w:hanging="489"/>
        <w:spacing w:after="0"/>
        <w:tabs>
          <w:tab w:leader="none" w:pos="18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KATHLEEN M. MAZZARELLA</w:t>
      </w:r>
    </w:p>
    <w:p>
      <w:pPr>
        <w:spacing w:after="0" w:line="80"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Kathleen M. Mazzarella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-2393315</wp:posOffset>
            </wp:positionV>
            <wp:extent cx="19608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-2012950</wp:posOffset>
            </wp:positionV>
            <wp:extent cx="19608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-1632585</wp:posOffset>
            </wp:positionV>
            <wp:extent cx="19608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-1252855</wp:posOffset>
            </wp:positionV>
            <wp:extent cx="19608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-872490</wp:posOffset>
            </wp:positionV>
            <wp:extent cx="19608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-492125</wp:posOffset>
            </wp:positionV>
            <wp:extent cx="19608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-112395</wp:posOffset>
            </wp:positionV>
            <wp:extent cx="196088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19608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9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7"/>
        </w:trPr>
        <w:tc>
          <w:tcPr>
            <w:tcW w:w="300" w:type="dxa"/>
            <w:vAlign w:val="bottom"/>
            <w:gridSpan w:val="2"/>
            <w:vMerge w:val="continue"/>
          </w:tcPr>
          <w:p>
            <w:pPr>
              <w:spacing w:after="0"/>
              <w:rPr>
                <w:sz w:val="5"/>
                <w:szCs w:val="5"/>
                <w:color w:val="auto"/>
              </w:rPr>
            </w:pPr>
          </w:p>
        </w:tc>
        <w:tc>
          <w:tcPr>
            <w:tcW w:w="294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​​Executive Vice President and Chief Financial Officer ​</w:t>
      </w:r>
    </w:p>
    <w:p>
      <w:pPr>
        <w:spacing w:after="0" w:line="32" w:lineRule="exact"/>
        <w:rPr>
          <w:sz w:val="20"/>
          <w:szCs w:val="20"/>
          <w:color w:val="auto"/>
        </w:rPr>
      </w:pPr>
    </w:p>
    <w:p>
      <w:pPr>
        <w:jc w:val="center"/>
        <w:ind w:right="125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Chair of the Board and Director</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ectPr>
          <w:pgSz w:w="11900" w:h="16838" w:orient="portrait"/>
          <w:cols w:equalWidth="0" w:num="2">
            <w:col w:w="3940" w:space="520"/>
            <w:col w:w="4559"/>
          </w:cols>
          <w:pgMar w:left="1440" w:top="105" w:right="1440" w:bottom="1440" w:gutter="0" w:footer="0" w:header="0"/>
          <w:type w:val="continuous"/>
        </w:sectPr>
      </w:pP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201295</wp:posOffset>
            </wp:positionV>
            <wp:extent cx="53206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32" w:lineRule="exact"/>
        <w:rPr>
          <w:sz w:val="20"/>
          <w:szCs w:val="20"/>
          <w:color w:val="auto"/>
        </w:rPr>
      </w:pPr>
    </w:p>
    <w:p>
      <w:pPr>
        <w:ind w:left="2640" w:hanging="1329"/>
        <w:spacing w:after="0"/>
        <w:tabs>
          <w:tab w:leader="none" w:pos="2640" w:val="left"/>
        </w:tabs>
        <w:numPr>
          <w:ilvl w:val="0"/>
          <w:numId w:val="37"/>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13" w:lineRule="exact"/>
        <w:rPr>
          <w:rFonts w:ascii="Times New Roman" w:cs="Times New Roman" w:eastAsia="Times New Roman" w:hAnsi="Times New Roman"/>
          <w:sz w:val="22"/>
          <w:szCs w:val="22"/>
          <w:b w:val="1"/>
          <w:bCs w:val="1"/>
          <w:color w:val="auto"/>
          <w:vertAlign w:val="subscript"/>
        </w:rPr>
      </w:pPr>
    </w:p>
    <w:p>
      <w:pPr>
        <w:ind w:left="2220" w:hanging="909"/>
        <w:spacing w:after="0"/>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SEAN E.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40640</wp:posOffset>
            </wp:positionV>
            <wp:extent cx="19608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-219075</wp:posOffset>
            </wp:positionV>
            <wp:extent cx="19672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7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Sean E. Menke</w:t>
      </w:r>
    </w:p>
    <w:p>
      <w:pPr>
        <w:spacing w:after="0" w:line="186" w:lineRule="exact"/>
        <w:rPr>
          <w:sz w:val="20"/>
          <w:szCs w:val="20"/>
          <w:color w:val="auto"/>
        </w:rPr>
      </w:pPr>
    </w:p>
    <w:p>
      <w:pPr>
        <w:ind w:left="1980" w:hanging="669"/>
        <w:spacing w:after="0"/>
        <w:tabs>
          <w:tab w:leader="none" w:pos="1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WILLIAM B. PLUMMER</w:t>
      </w:r>
    </w:p>
    <w:p>
      <w:pPr>
        <w:spacing w:after="0" w:line="91" w:lineRule="exact"/>
        <w:rPr>
          <w:rFonts w:ascii="Times New Roman" w:cs="Times New Roman" w:eastAsia="Times New Roman" w:hAnsi="Times New Roman"/>
          <w:sz w:val="14"/>
          <w:szCs w:val="14"/>
          <w:color w:val="auto"/>
        </w:rPr>
      </w:pPr>
    </w:p>
    <w:p>
      <w:pPr>
        <w:ind w:left="2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William B. Plummer</w:t>
      </w:r>
    </w:p>
    <w:p>
      <w:pPr>
        <w:spacing w:after="0" w:line="185" w:lineRule="exact"/>
        <w:rPr>
          <w:rFonts w:ascii="Times New Roman" w:cs="Times New Roman" w:eastAsia="Times New Roman" w:hAnsi="Times New Roman"/>
          <w:sz w:val="14"/>
          <w:szCs w:val="14"/>
          <w:color w:val="auto"/>
        </w:rPr>
      </w:pPr>
    </w:p>
    <w:p>
      <w:pPr>
        <w:ind w:left="1880" w:hanging="569"/>
        <w:spacing w:after="0"/>
        <w:tabs>
          <w:tab w:leader="none" w:pos="18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MARYROSE T. SYLVESTER</w:t>
      </w:r>
    </w:p>
    <w:p>
      <w:pPr>
        <w:spacing w:after="0" w:line="91" w:lineRule="exact"/>
        <w:rPr>
          <w:rFonts w:ascii="Times New Roman" w:cs="Times New Roman" w:eastAsia="Times New Roman" w:hAnsi="Times New Roman"/>
          <w:sz w:val="14"/>
          <w:szCs w:val="14"/>
          <w:color w:val="auto"/>
        </w:rPr>
      </w:pPr>
    </w:p>
    <w:p>
      <w:pPr>
        <w:ind w:left="2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Maryrose T. Sylvester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-499110</wp:posOffset>
            </wp:positionV>
            <wp:extent cx="19608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196088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-118745</wp:posOffset>
            </wp:positionV>
            <wp:extent cx="19608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9608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77"/>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6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194310</wp:posOffset>
            </wp:positionV>
            <wp:extent cx="53206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2">
            <w:col w:w="3840" w:space="540"/>
            <w:col w:w="4639"/>
          </w:cols>
          <w:pgMar w:left="1440" w:top="105"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jc w:val="both"/>
        <w:ind w:left="1320" w:right="1459" w:firstLine="280"/>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Securities Act, Waste Management Holdings, Inc. certifies that it has reasonable grounds to believe that it meets all of the requirements for filing on Form S-3 and has duly caused this registration statement to be signed on its behalf by the undersigned, thereunto duly authorized, in the City of Houston, State of Texas, on this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day of July, 2025.</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WASTE MANAGEMENT HOLDINGS, INC.</w:t>
      </w:r>
    </w:p>
    <w:p>
      <w:pPr>
        <w:spacing w:after="0" w:line="177"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color w:val="auto"/>
        </w:rPr>
        <w:t>/s/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33655</wp:posOffset>
            </wp:positionV>
            <wp:extent cx="21005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2100580" cy="6985"/>
                    </a:xfrm>
                    <a:prstGeom prst="rect">
                      <a:avLst/>
                    </a:prstGeom>
                    <a:noFill/>
                  </pic:spPr>
                </pic:pic>
              </a:graphicData>
            </a:graphic>
          </wp:anchor>
        </w:drawing>
      </w:r>
    </w:p>
    <w:p>
      <w:pPr>
        <w:spacing w:after="0" w:line="59"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color w:val="auto"/>
        </w:rPr>
        <w:t xml:space="preserve">Mark A. Lockett, </w:t>
      </w:r>
      <w:r>
        <w:rPr>
          <w:rFonts w:ascii="Times New Roman" w:cs="Times New Roman" w:eastAsia="Times New Roman" w:hAnsi="Times New Roman"/>
          <w:sz w:val="14"/>
          <w:szCs w:val="14"/>
          <w:i w:val="1"/>
          <w:iCs w:val="1"/>
          <w:color w:val="auto"/>
        </w:rPr>
        <w:t>President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20" w:right="1359" w:firstLine="280"/>
        <w:spacing w:after="0" w:line="253" w:lineRule="auto"/>
        <w:rPr>
          <w:sz w:val="20"/>
          <w:szCs w:val="20"/>
          <w:color w:val="auto"/>
        </w:rPr>
      </w:pPr>
      <w:r>
        <w:rPr>
          <w:rFonts w:ascii="Times New Roman" w:cs="Times New Roman" w:eastAsia="Times New Roman" w:hAnsi="Times New Roman"/>
          <w:sz w:val="14"/>
          <w:szCs w:val="14"/>
          <w:color w:val="auto"/>
        </w:rPr>
        <w:t>KNOWN ALL PERSONS BY THESE PRESENTS, that the individuals whose signature appears below hereby constitute and appoint Charles C. Boettcher and Courtney A. Tippy,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87" w:lineRule="exact"/>
        <w:rPr>
          <w:sz w:val="20"/>
          <w:szCs w:val="20"/>
          <w:color w:val="auto"/>
        </w:rPr>
      </w:pPr>
    </w:p>
    <w:p>
      <w:pPr>
        <w:ind w:left="1320" w:right="1459" w:firstLine="280"/>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indicated on the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day of July, 2025.</w:t>
      </w:r>
    </w:p>
    <w:p>
      <w:pPr>
        <w:spacing w:after="0" w:line="33" w:lineRule="exact"/>
        <w:rPr>
          <w:sz w:val="20"/>
          <w:szCs w:val="20"/>
          <w:color w:val="auto"/>
        </w:rPr>
      </w:pPr>
    </w:p>
    <w:tbl>
      <w:tblPr>
        <w:tblLayout w:type="fixed"/>
        <w:tblInd w:w="1320" w:type="dxa"/>
        <w:tblCellMar>
          <w:top w:w="0" w:type="dxa"/>
          <w:left w:w="0" w:type="dxa"/>
          <w:bottom w:w="0" w:type="dxa"/>
          <w:right w:w="0" w:type="dxa"/>
        </w:tblCellMar>
      </w:tblP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620" w:type="dxa"/>
            <w:vAlign w:val="bottom"/>
          </w:tcPr>
          <w:p>
            <w:pPr>
              <w:jc w:val="center"/>
              <w:ind w:right="292"/>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vMerge w:val="continue"/>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vMerge w:val="continue"/>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4"/>
                <w:szCs w:val="14"/>
                <w:color w:val="auto"/>
              </w:rPr>
              <w:t>/s/ MARK A. LOCKETT</w:t>
            </w:r>
          </w:p>
        </w:tc>
        <w:tc>
          <w:tcPr>
            <w:tcW w:w="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2620" w:type="dxa"/>
            <w:vAlign w:val="bottom"/>
          </w:tcPr>
          <w:p>
            <w:pPr>
              <w:jc w:val="center"/>
              <w:ind w:right="292"/>
              <w:spacing w:after="0"/>
              <w:rPr>
                <w:sz w:val="20"/>
                <w:szCs w:val="20"/>
                <w:color w:val="auto"/>
              </w:rPr>
            </w:pPr>
            <w:r>
              <w:rPr>
                <w:rFonts w:ascii="Times New Roman" w:cs="Times New Roman" w:eastAsia="Times New Roman" w:hAnsi="Times New Roman"/>
                <w:sz w:val="14"/>
                <w:szCs w:val="14"/>
                <w:color w:val="auto"/>
              </w:rPr>
              <w:t>Mark A. Lockett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center"/>
              <w:ind w:right="292"/>
              <w:spacing w:after="0"/>
              <w:rPr>
                <w:sz w:val="20"/>
                <w:szCs w:val="20"/>
                <w:color w:val="auto"/>
              </w:rPr>
            </w:pPr>
            <w:r>
              <w:rPr>
                <w:rFonts w:ascii="Times New Roman" w:cs="Times New Roman" w:eastAsia="Times New Roman" w:hAnsi="Times New Roman"/>
                <w:sz w:val="14"/>
                <w:szCs w:val="14"/>
                <w:color w:val="auto"/>
              </w:rPr>
              <w:t>/s/ JOHN CARROLL</w:t>
            </w:r>
          </w:p>
        </w:tc>
        <w:tc>
          <w:tcPr>
            <w:tcW w:w="20" w:type="dxa"/>
            <w:vAlign w:val="bottom"/>
          </w:tcPr>
          <w:p>
            <w:pPr>
              <w:spacing w:after="0"/>
              <w:rPr>
                <w:sz w:val="21"/>
                <w:szCs w:val="21"/>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Vice President, Chief Financial Officer and Controller</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380" w:type="dxa"/>
            <w:vAlign w:val="bottom"/>
            <w:vMerge w:val="continue"/>
          </w:tcPr>
          <w:p>
            <w:pPr>
              <w:spacing w:after="0"/>
              <w:rPr>
                <w:sz w:val="14"/>
                <w:szCs w:val="14"/>
                <w:color w:val="auto"/>
              </w:rPr>
            </w:pPr>
          </w:p>
        </w:tc>
        <w:tc>
          <w:tcPr>
            <w:tcW w:w="2620" w:type="dxa"/>
            <w:vAlign w:val="bottom"/>
            <w:vMerge w:val="restart"/>
          </w:tcPr>
          <w:p>
            <w:pPr>
              <w:jc w:val="center"/>
              <w:ind w:right="292"/>
              <w:spacing w:after="0"/>
              <w:rPr>
                <w:sz w:val="20"/>
                <w:szCs w:val="20"/>
                <w:color w:val="auto"/>
              </w:rPr>
            </w:pPr>
            <w:r>
              <w:rPr>
                <w:rFonts w:ascii="Times New Roman" w:cs="Times New Roman" w:eastAsia="Times New Roman" w:hAnsi="Times New Roman"/>
                <w:sz w:val="14"/>
                <w:szCs w:val="14"/>
                <w:color w:val="auto"/>
              </w:rPr>
              <w:t>John Carroll</w:t>
            </w:r>
          </w:p>
        </w:tc>
        <w:tc>
          <w:tcPr>
            <w:tcW w:w="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 and Principal</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Accounting Officer)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3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center"/>
              <w:ind w:right="292"/>
              <w:spacing w:after="0"/>
              <w:rPr>
                <w:sz w:val="20"/>
                <w:szCs w:val="20"/>
                <w:color w:val="auto"/>
              </w:rPr>
            </w:pPr>
            <w:r>
              <w:rPr>
                <w:rFonts w:ascii="Times New Roman" w:cs="Times New Roman" w:eastAsia="Times New Roman" w:hAnsi="Times New Roman"/>
                <w:sz w:val="14"/>
                <w:szCs w:val="14"/>
                <w:color w:val="auto"/>
              </w:rPr>
              <w:t>/s/ COURTNEY A. TIPPY</w:t>
            </w:r>
          </w:p>
        </w:tc>
        <w:tc>
          <w:tcPr>
            <w:tcW w:w="20" w:type="dxa"/>
            <w:vAlign w:val="bottom"/>
          </w:tcPr>
          <w:p>
            <w:pPr>
              <w:spacing w:after="0"/>
              <w:rPr>
                <w:sz w:val="23"/>
                <w:szCs w:val="23"/>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6"/>
        </w:trPr>
        <w:tc>
          <w:tcPr>
            <w:tcW w:w="380" w:type="dxa"/>
            <w:vAlign w:val="bottom"/>
            <w:vMerge w:val="continue"/>
          </w:tcPr>
          <w:p>
            <w:pPr>
              <w:spacing w:after="0"/>
              <w:rPr>
                <w:sz w:val="10"/>
                <w:szCs w:val="10"/>
                <w:color w:val="auto"/>
              </w:rPr>
            </w:pPr>
          </w:p>
        </w:tc>
        <w:tc>
          <w:tcPr>
            <w:tcW w:w="2620" w:type="dxa"/>
            <w:vAlign w:val="bottom"/>
            <w:vMerge w:val="restart"/>
          </w:tcPr>
          <w:p>
            <w:pPr>
              <w:jc w:val="center"/>
              <w:ind w:right="292"/>
              <w:spacing w:after="0"/>
              <w:rPr>
                <w:sz w:val="20"/>
                <w:szCs w:val="20"/>
                <w:color w:val="auto"/>
              </w:rPr>
            </w:pPr>
            <w:r>
              <w:rPr>
                <w:rFonts w:ascii="Times New Roman" w:cs="Times New Roman" w:eastAsia="Times New Roman" w:hAnsi="Times New Roman"/>
                <w:sz w:val="14"/>
                <w:szCs w:val="14"/>
                <w:color w:val="auto"/>
              </w:rPr>
              <w:t>Courtney A. Tippy</w:t>
            </w:r>
          </w:p>
        </w:tc>
        <w:tc>
          <w:tcPr>
            <w:tcW w:w="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-499745</wp:posOffset>
            </wp:positionV>
            <wp:extent cx="19075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190754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-132715</wp:posOffset>
            </wp:positionV>
            <wp:extent cx="19075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9075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194310</wp:posOffset>
            </wp:positionV>
            <wp:extent cx="53206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532066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1073785" cy="433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073785"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WASTE MANAGEMENT</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800 Capitol Street, Suite 3000</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Houston, TX 77002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Waste Management,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800 Capitol Street, Suite 3000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Waste Management Holdings,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800 Capitol Street, Suite 3000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Waste Management, Inc. and Waste Management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 on Form S-3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ind w:right="20" w:firstLine="252"/>
        <w:spacing w:after="0" w:line="254" w:lineRule="auto"/>
        <w:rPr>
          <w:sz w:val="20"/>
          <w:szCs w:val="20"/>
          <w:color w:val="auto"/>
        </w:rPr>
      </w:pPr>
      <w:r>
        <w:rPr>
          <w:rFonts w:ascii="Times New Roman" w:cs="Times New Roman" w:eastAsia="Times New Roman" w:hAnsi="Times New Roman"/>
          <w:sz w:val="14"/>
          <w:szCs w:val="14"/>
          <w:color w:val="auto"/>
        </w:rPr>
        <w:t>I am Vice President and Corporate Secretary of Waste Management, Inc., a Delaware corporation (“WMI”), and have acted as General Counsel—Securities &amp; Governance to WMI and Waste Management Holdings, Inc., a Delaware corporation (“Holdings”), in connection with the preparation and filing with the Securities and Exchange Commission (the “Commission”) under the Securities Act of 1933, as amended (the “Act”), of a Registration Statement (filed July 31, 2025) on Form S-3 (the “Registration Statement”). The Registration Statement relates to (a) securities of WMI (the “WMI Securities”), including (i) debt securities of WMI (“Debt Securities”), (ii) common stock of WMI, par value $0.01 per share (“Common Stock”), (iii) preferred stock of WMI, par value $0.01 per share (“Preferred Stock”), (iv) warrants of WMI (“Warrants”), representing rights to purchase Debt Securities, Preferred Stock, Common Stock or other securities, property or assets pursuant to one or more warrant agreements (“Warrant Agreements”), and (v) units of WMI (“Units”) representing rights to, ownership of, or undivided beneficial ownership interests in, Debt Securities, shares of Common Stock, shares of Preferred Stock, debt obligations of third parties or Warrants relating to any of the foregoing; and (b) guarantees that Holdings may issue with respect to Debt Securities (“Holdings Guarantees,” and collectively with the WMI Securities, the “Securities”), all of which may be issued and sold from time to time in one or more series. WMI has advised me that the Securities will be offered in amounts, at prices and on terms to be determined in light of market conditions at the time of sale and to be set forth in supplements to the prospectus contained in the Registration Statement to which this opinion is an exhibit.</w:t>
      </w:r>
    </w:p>
    <w:p>
      <w:pPr>
        <w:spacing w:after="0" w:line="145" w:lineRule="exact"/>
        <w:rPr>
          <w:sz w:val="20"/>
          <w:szCs w:val="20"/>
          <w:color w:val="auto"/>
        </w:rPr>
      </w:pPr>
    </w:p>
    <w:p>
      <w:pPr>
        <w:ind w:right="100" w:firstLine="252"/>
        <w:spacing w:after="0" w:line="281" w:lineRule="auto"/>
        <w:rPr>
          <w:sz w:val="20"/>
          <w:szCs w:val="20"/>
          <w:color w:val="auto"/>
        </w:rPr>
      </w:pPr>
      <w:r>
        <w:rPr>
          <w:rFonts w:ascii="Times New Roman" w:cs="Times New Roman" w:eastAsia="Times New Roman" w:hAnsi="Times New Roman"/>
          <w:sz w:val="13"/>
          <w:szCs w:val="13"/>
          <w:color w:val="auto"/>
        </w:rPr>
        <w:t>I have examined and relied upon executed originals or copies, certified or otherwise identified to my satisfaction, of (i) the Fourth Restated Certificate of Incorporation and Amended and Restated By-laws of WMI, each as amended to the date hereof; (ii) the Third Restated Certificate of Incorporation and Amended and Restated By-laws of Holdings, each as amended to the date hereof;</w:t>
      </w:r>
    </w:p>
    <w:p>
      <w:pPr>
        <w:spacing w:after="0" w:line="1" w:lineRule="exact"/>
        <w:rPr>
          <w:sz w:val="20"/>
          <w:szCs w:val="20"/>
          <w:color w:val="auto"/>
        </w:rPr>
      </w:pPr>
    </w:p>
    <w:p>
      <w:pPr>
        <w:ind w:right="80" w:firstLine="4"/>
        <w:spacing w:after="0" w:line="252" w:lineRule="auto"/>
        <w:tabs>
          <w:tab w:leader="none" w:pos="24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resolutions adopted by the Board of Directors of WMI and Holdings; (iv) the Registration Statement; (v) the Indenture between WMI, formerly known as USA Waste Services, Inc., and The Bank of New York Mellon Trust Company, N.A. (the current successor to Texas Commerce Bank National Association), as trustee, dated September 10, 1997 (the “Senior Indenture”) relating to the senior Debt Securities, in the form incorporated as an exhibit to the Registration Statement; (vi) the Subordinated Indenture between WMI, formerly known as USA Waste Services, Inc., and The Bank of New York Mellon Trust Company, N.A. (the current successor to Texas Commerce Bank National Association), as trustee, dated February 1, 1997 (the “Subordinated Indenture”, and together with the Senior Indenture, the “Indentures”) relating to the subordinated Debt Securities, in the form incorporated as an exhibit to the Registration Statement; and (vii) such other certificates, statutes and other instruments and documents as I considered appropriate for purposes of the opinions hereafter expressed.</w:t>
      </w:r>
    </w:p>
    <w:p>
      <w:pPr>
        <w:spacing w:after="0" w:line="147"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As to any facts material to the opinions contained herein, I have made no independent investigation of such facts and have relied, to the extent that I deemed such reliance proper, upon certificates of public officials and officers or other representatives of WMI and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71628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38" w:name="page39"/>
    <w:bookmarkEnd w:id="38"/>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475615</wp:posOffset>
            </wp:positionV>
            <wp:extent cx="1073785" cy="433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073785" cy="433705"/>
                    </a:xfrm>
                    <a:prstGeom prst="rect">
                      <a:avLst/>
                    </a:prstGeom>
                    <a:noFill/>
                  </pic:spPr>
                </pic:pic>
              </a:graphicData>
            </a:graphic>
          </wp:anchor>
        </w:drawing>
      </w:r>
    </w:p>
    <w:p>
      <w:pPr>
        <w:ind w:firstLine="252"/>
        <w:spacing w:after="0" w:line="253" w:lineRule="auto"/>
        <w:rPr>
          <w:sz w:val="20"/>
          <w:szCs w:val="20"/>
          <w:color w:val="auto"/>
        </w:rPr>
      </w:pPr>
      <w:r>
        <w:rPr>
          <w:rFonts w:ascii="Times New Roman" w:cs="Times New Roman" w:eastAsia="Times New Roman" w:hAnsi="Times New Roman"/>
          <w:sz w:val="14"/>
          <w:szCs w:val="14"/>
          <w:color w:val="auto"/>
        </w:rPr>
        <w:t>In rendering the opinions set forth below, I have assumed that (i) all information contained in all documents reviewed by me is true and correct; (ii) all signatures on all documents examined by me are genuine; (iii) all documents submitted to me as originals are authentic and complete and all documents submitted to me as copies conform to the originals of those documents; (iv) each natural person signing any document reviewed by me had the legal capacity to do so; (v) each person signing in a representative capacity (other than on behalf of WMI or Holdings) any document reviewed by me had authority to sign in such capacity; (vi) the Registration Statement, and any post-effective amendments thereto, will be effective and comply with all applicable laws; (vii) one or more prospectus supplements will have been prepared and filed with the Commission describing the Securities offered thereby; (viii) all Securities will be issued and sold in compliance with applicable federal and state securities laws and in the manner stated in the Registration Statement and an applicable prospectus supplement; (ix) each of the Senior Indenture and the Subordinated Indenture, together with any supplemental indenture or other instruments establishing a series of Debt Securities to be issued under either of the Indentures, has been or will be duly authorized, executed and delivered by the parties thereto in substantially the form reviewed by me or with changes that do not affect the opinions given hereunder; (x) at the time of any offering or sale of any shares of Common Stock or Preferred Stock, that WMI will have at least such number of shares of Common Stock or Preferred Stock authorized, created and, if appropriate, reserved for issuance; (xi) a definitive purchase, underwriting or similar agreement with respect to any Securities offered will have been duly authorized and validly executed and delivered by WMI and the other parties thereto; and (xii) any Securities issuable upon conversion, exchange or exercise of any Security being offered or sold will at the time of such offering or sale have been duly authorized, created and, if appropriate, reserved for issuance upon such conversion, exchange or exercise.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on the foregoing, and subject to the assumptions, qualifications, limitations and exceptions set forth herein, I am of the opinion that:</w:t>
      </w:r>
    </w:p>
    <w:p>
      <w:pPr>
        <w:spacing w:after="0" w:line="175" w:lineRule="exact"/>
        <w:rPr>
          <w:sz w:val="20"/>
          <w:szCs w:val="20"/>
          <w:color w:val="auto"/>
        </w:rPr>
      </w:pPr>
    </w:p>
    <w:p>
      <w:pPr>
        <w:ind w:left="500" w:right="60" w:firstLine="8"/>
        <w:spacing w:after="0" w:line="255" w:lineRule="auto"/>
        <w:tabs>
          <w:tab w:leader="none" w:pos="75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Debt Securities, when (i) the applicable Indenture has been duly qualified under the Trust Indenture Act of 1939; (ii) the Board of Directors of WMI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WMI or any of its assets or properties and so as to comply with any requirement or restriction imposed by any court or governmental body having jurisdiction over WMI or any of its assets or properties; and (iv) such Debt Securities have been duly executed, authenticated, issued and delivered in accordance with the provisions of the applicable Indenture and in accordance with the applicable definitive purchase, underwriting or similar agreement approved by the Board or persons duly authorized thereby, then upon payment of the consideration therefor provided therein, such Debt Securities will be legally issued and will constitute valid and binding obligations of WMI, enforceable against WMI in accordance with their terms and will be entitled to the benefits of the applicable Indenture.</w:t>
      </w:r>
    </w:p>
    <w:p>
      <w:pPr>
        <w:spacing w:after="0" w:line="144" w:lineRule="exact"/>
        <w:rPr>
          <w:rFonts w:ascii="Times New Roman" w:cs="Times New Roman" w:eastAsia="Times New Roman" w:hAnsi="Times New Roman"/>
          <w:sz w:val="14"/>
          <w:szCs w:val="14"/>
          <w:color w:val="auto"/>
        </w:rPr>
      </w:pPr>
    </w:p>
    <w:p>
      <w:pPr>
        <w:ind w:left="780" w:hanging="272"/>
        <w:spacing w:after="0"/>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shares of Common Stock, when (i) the Board has taken all necessary corporate action to approve the issuance and terms of the offering thereof and related matters; and</w:t>
      </w:r>
    </w:p>
    <w:p>
      <w:pPr>
        <w:spacing w:after="0" w:line="21" w:lineRule="exact"/>
        <w:rPr>
          <w:rFonts w:ascii="Times New Roman" w:cs="Times New Roman" w:eastAsia="Times New Roman" w:hAnsi="Times New Roman"/>
          <w:sz w:val="14"/>
          <w:szCs w:val="14"/>
          <w:color w:val="auto"/>
        </w:rPr>
      </w:pPr>
    </w:p>
    <w:p>
      <w:pPr>
        <w:ind w:left="500" w:right="20" w:firstLine="8"/>
        <w:spacing w:after="0" w:line="253" w:lineRule="auto"/>
        <w:tabs>
          <w:tab w:leader="none" w:pos="7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representing the shares of Common Stock have been duly executed, countersigned, registered and delivered either (A) in accordance with the applicable definitive purchase, underwriting or similar agreement approved by the Board,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or persons duly authorized thereby, such shares of Common Stock will be validly issued, fully paid and non-assessable.</w:t>
      </w:r>
    </w:p>
    <w:p>
      <w:pPr>
        <w:spacing w:after="0" w:line="145" w:lineRule="exact"/>
        <w:rPr>
          <w:rFonts w:ascii="Times New Roman" w:cs="Times New Roman" w:eastAsia="Times New Roman" w:hAnsi="Times New Roman"/>
          <w:sz w:val="14"/>
          <w:szCs w:val="14"/>
          <w:color w:val="auto"/>
        </w:rPr>
      </w:pPr>
    </w:p>
    <w:p>
      <w:pPr>
        <w:ind w:left="500" w:right="100" w:firstLine="8"/>
        <w:spacing w:after="0" w:line="255" w:lineRule="auto"/>
        <w:tabs>
          <w:tab w:leader="none" w:pos="75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shares of any series of Preferred Stock, when (i) the Board has taken all necessary corporate action to approve the issuance and terms of the shares of the series, the terms 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as required under Section 151 of the General Corporation law of the State of Delaware (the “DGCL”); and (ii) certificates representing the shares of the series of Preferred Stock have been duly executed, countersigned, registered and delivered either (A) in accordance with the applicable definitive purchase, underwriting or similar agreement approved by the Board,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or persons duly authorized thereby, the shares of the series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1628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39" w:name="page40"/>
    <w:bookmarkEnd w:id="39"/>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475615</wp:posOffset>
            </wp:positionV>
            <wp:extent cx="1073785" cy="433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73785" cy="433705"/>
                    </a:xfrm>
                    <a:prstGeom prst="rect">
                      <a:avLst/>
                    </a:prstGeom>
                    <a:noFill/>
                  </pic:spPr>
                </pic:pic>
              </a:graphicData>
            </a:graphic>
          </wp:anchor>
        </w:drawing>
      </w:r>
    </w:p>
    <w:p>
      <w:pPr>
        <w:ind w:left="500" w:firstLine="8"/>
        <w:spacing w:after="0" w:line="258" w:lineRule="auto"/>
        <w:tabs>
          <w:tab w:leader="none" w:pos="76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WMI and the warrant agent appointed by WMI;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persons duly authorized thereby, then upon payment of the consideration therefor provided therein, the Warrants will be legally issued and will constitute valid and binding obligations of WMI.</w:t>
      </w:r>
    </w:p>
    <w:p>
      <w:pPr>
        <w:spacing w:after="0" w:line="142" w:lineRule="exact"/>
        <w:rPr>
          <w:rFonts w:ascii="Times New Roman" w:cs="Times New Roman" w:eastAsia="Times New Roman" w:hAnsi="Times New Roman"/>
          <w:sz w:val="14"/>
          <w:szCs w:val="14"/>
          <w:color w:val="auto"/>
        </w:rPr>
      </w:pPr>
    </w:p>
    <w:p>
      <w:pPr>
        <w:ind w:left="500" w:right="40" w:firstLine="8"/>
        <w:spacing w:after="0" w:line="261" w:lineRule="auto"/>
        <w:tabs>
          <w:tab w:leader="none" w:pos="75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Units, when (i) the purchase agreement for the Units has been duly authorized and validly executed by the parties thereto, (ii) the Board has taken all necessary corporate action to approve and establish the terms of the Units and to authorize and approve the issuance thereof, the terms of the offering and related matters; and (iii) the Units have been duly executed and delivered in accordance with the purchase agreement and the applicable definitive purchase, underwriting or similar agreement approved by or on behalf of the Board or persons duly authorized thereby, then upon payment of the consideration therefor provided therein, the Units will be legally issued and will constitute valid and binding obligations of WMI.</w:t>
      </w:r>
    </w:p>
    <w:p>
      <w:pPr>
        <w:spacing w:after="0" w:line="139" w:lineRule="exact"/>
        <w:rPr>
          <w:rFonts w:ascii="Times New Roman" w:cs="Times New Roman" w:eastAsia="Times New Roman" w:hAnsi="Times New Roman"/>
          <w:sz w:val="14"/>
          <w:szCs w:val="14"/>
          <w:color w:val="auto"/>
        </w:rPr>
      </w:pPr>
    </w:p>
    <w:p>
      <w:pPr>
        <w:ind w:left="500" w:right="40" w:firstLine="8"/>
        <w:spacing w:after="0" w:line="261" w:lineRule="auto"/>
        <w:tabs>
          <w:tab w:leader="none" w:pos="77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Holdings Guarantees, when (i) the terms of the Holdings Guarantees and of their issuance, sale and related matters have been duly authorized and approved by all necessary action of Holdings’ Board of Directors or persons duly authorized thereby; and (ii) the Holdings Guarantees have been duly executed and delivered in accordance with the purchase agreement and the applicable definitive purchase, underwriting or similar agreement approved by or on behalf of the Holdings’ Board of Directors, then upon payment of the consideration therefor provided therein, the Holdings Guarantees will be legally issued and will constitute valid and binding obligations of Holdings.</w:t>
      </w:r>
    </w:p>
    <w:p>
      <w:pPr>
        <w:spacing w:after="0" w:line="140" w:lineRule="exact"/>
        <w:rPr>
          <w:sz w:val="20"/>
          <w:szCs w:val="20"/>
          <w:color w:val="auto"/>
        </w:rPr>
      </w:pPr>
    </w:p>
    <w:p>
      <w:pPr>
        <w:ind w:right="80" w:firstLine="252"/>
        <w:spacing w:after="0" w:line="258" w:lineRule="auto"/>
        <w:rPr>
          <w:sz w:val="20"/>
          <w:szCs w:val="20"/>
          <w:color w:val="auto"/>
        </w:rPr>
      </w:pPr>
      <w:r>
        <w:rPr>
          <w:rFonts w:ascii="Times New Roman" w:cs="Times New Roman" w:eastAsia="Times New Roman" w:hAnsi="Times New Roman"/>
          <w:sz w:val="14"/>
          <w:szCs w:val="14"/>
          <w:color w:val="auto"/>
        </w:rPr>
        <w:t>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(regardless of whether enforcement is sought in a proceeding in equity or law),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43" w:lineRule="exact"/>
        <w:rPr>
          <w:sz w:val="20"/>
          <w:szCs w:val="20"/>
          <w:color w:val="auto"/>
        </w:rPr>
      </w:pPr>
    </w:p>
    <w:p>
      <w:pPr>
        <w:ind w:right="300" w:firstLine="252"/>
        <w:spacing w:after="0" w:line="266" w:lineRule="auto"/>
        <w:rPr>
          <w:sz w:val="20"/>
          <w:szCs w:val="20"/>
          <w:color w:val="auto"/>
        </w:rPr>
      </w:pPr>
      <w:r>
        <w:rPr>
          <w:rFonts w:ascii="Times New Roman" w:cs="Times New Roman" w:eastAsia="Times New Roman" w:hAnsi="Times New Roman"/>
          <w:sz w:val="14"/>
          <w:szCs w:val="14"/>
          <w:color w:val="auto"/>
        </w:rPr>
        <w:t>I express no opinions concerning (i) the validity or enforceability of any provisions contained in either of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716280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40" w:name="page41"/>
    <w:bookmarkEnd w:id="40"/>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475615</wp:posOffset>
            </wp:positionV>
            <wp:extent cx="1073785" cy="433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073785" cy="433705"/>
                    </a:xfrm>
                    <a:prstGeom prst="rect">
                      <a:avLst/>
                    </a:prstGeom>
                    <a:noFill/>
                  </pic:spPr>
                </pic:pic>
              </a:graphicData>
            </a:graphic>
          </wp:anchor>
        </w:drawing>
      </w:r>
    </w:p>
    <w:p>
      <w:pPr>
        <w:ind w:firstLine="252"/>
        <w:spacing w:after="0" w:line="287" w:lineRule="auto"/>
        <w:rPr>
          <w:sz w:val="20"/>
          <w:szCs w:val="20"/>
          <w:color w:val="auto"/>
        </w:rPr>
      </w:pPr>
      <w:r>
        <w:rPr>
          <w:rFonts w:ascii="Times New Roman" w:cs="Times New Roman" w:eastAsia="Times New Roman" w:hAnsi="Times New Roman"/>
          <w:sz w:val="13"/>
          <w:szCs w:val="13"/>
          <w:color w:val="auto"/>
        </w:rPr>
        <w:t>The opinions set forth above are limited in all respects to matters of the contract law of the State of New York, the DGCL and the federal laws of the United States (except that I express no opinion with respect to any state securities laws or “blue sky” laws) (the “Applicable Laws”), and I do not express any opinion herein concerning any other law. I am licensed to practice law in the State of Texas. I have not examined any laws, regulations or other governmental proceedings other than laws and regulations of general application. 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125"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I hereby consent to the filing of this opinion as an exhibit to the Registration Statement. By giving such consent, I do not admit that I am within the category of persons whose consent is required under Section 7 of the Act or the rules and regulations of Commission issued thereunder.</w:t>
      </w:r>
    </w:p>
    <w:p>
      <w:pPr>
        <w:spacing w:after="0" w:line="1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/s/ Courtney A. Tippy</w:t>
      </w:r>
    </w:p>
    <w:p>
      <w:pPr>
        <w:spacing w:after="0" w:line="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-101600</wp:posOffset>
            </wp:positionV>
            <wp:extent cx="39217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3921760" cy="6985"/>
                    </a:xfrm>
                    <a:prstGeom prst="rect">
                      <a:avLst/>
                    </a:prstGeom>
                    <a:noFill/>
                  </pic:spPr>
                </pic:pic>
              </a:graphicData>
            </a:graphic>
          </wp:anchor>
        </w:drawing>
      </w:r>
    </w:p>
    <w:p>
      <w:pPr>
        <w:ind w:left="5100"/>
        <w:spacing w:after="0"/>
        <w:rPr>
          <w:sz w:val="20"/>
          <w:szCs w:val="20"/>
          <w:color w:val="auto"/>
        </w:rPr>
      </w:pPr>
      <w:r>
        <w:rPr>
          <w:rFonts w:ascii="Times New Roman" w:cs="Times New Roman" w:eastAsia="Times New Roman" w:hAnsi="Times New Roman"/>
          <w:sz w:val="14"/>
          <w:szCs w:val="14"/>
          <w:color w:val="auto"/>
        </w:rPr>
        <w:t>Waste Management, Inc.</w:t>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i w:val="1"/>
          <w:iCs w:val="1"/>
          <w:color w:val="auto"/>
        </w:rPr>
        <w:t>Vice President &amp; Corporate Secretary</w:t>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i w:val="1"/>
          <w:iCs w:val="1"/>
          <w:color w:val="auto"/>
        </w:rPr>
        <w:t>General Counsel—Securities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1628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ind w:right="20" w:firstLine="252"/>
        <w:spacing w:after="0" w:line="261"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this Registration Statement (Form S-3) and related Prospectus of Waste Management, Inc. for the registration of debt securities, common stock, preferred stock, warrants, guarantees, and units, and to the incorporation by reference therein of our reports dated February 19, 2025, with respect to the consolidated financial statements of Waste Management, Inc., and the effectiveness of internal control over financial reporting of Waste Management, Inc., included in its Annual Report (Form 10-K) for the year ended December 31, 2024, filed with the Securities and Exchange Commission.</w:t>
      </w:r>
    </w:p>
    <w:p>
      <w:pPr>
        <w:spacing w:after="0" w:line="1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-101600</wp:posOffset>
            </wp:positionV>
            <wp:extent cx="35814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358140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1628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16280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71628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920" w:type="dxa"/>
            <w:vAlign w:val="bottom"/>
          </w:tcPr>
          <w:p>
            <w:pPr>
              <w:spacing w:after="0"/>
              <w:rPr>
                <w:sz w:val="24"/>
                <w:szCs w:val="24"/>
                <w:color w:val="auto"/>
              </w:rPr>
            </w:pPr>
          </w:p>
        </w:tc>
        <w:tc>
          <w:tcPr>
            <w:tcW w:w="10360" w:type="dxa"/>
            <w:vAlign w:val="bottom"/>
            <w:gridSpan w:val="2"/>
          </w:tcPr>
          <w:p>
            <w:pPr>
              <w:jc w:val="center"/>
              <w:ind w:right="135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185"/>
        </w:trPr>
        <w:tc>
          <w:tcPr>
            <w:tcW w:w="920" w:type="dxa"/>
            <w:vAlign w:val="bottom"/>
          </w:tcPr>
          <w:p>
            <w:pPr>
              <w:spacing w:after="0"/>
              <w:rPr>
                <w:sz w:val="16"/>
                <w:szCs w:val="16"/>
                <w:color w:val="auto"/>
              </w:rPr>
            </w:pPr>
          </w:p>
        </w:tc>
        <w:tc>
          <w:tcPr>
            <w:tcW w:w="696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3400" w:type="dxa"/>
            <w:vAlign w:val="bottom"/>
          </w:tcPr>
          <w:p>
            <w:pPr>
              <w:spacing w:after="0"/>
              <w:rPr>
                <w:sz w:val="16"/>
                <w:szCs w:val="16"/>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r>
      <w:tr>
        <w:trPr>
          <w:trHeight w:val="455"/>
        </w:trPr>
        <w:tc>
          <w:tcPr>
            <w:tcW w:w="920" w:type="dxa"/>
            <w:vAlign w:val="bottom"/>
          </w:tcPr>
          <w:p>
            <w:pPr>
              <w:spacing w:after="0"/>
              <w:rPr>
                <w:sz w:val="24"/>
                <w:szCs w:val="24"/>
                <w:color w:val="auto"/>
              </w:rPr>
            </w:pPr>
          </w:p>
        </w:tc>
        <w:tc>
          <w:tcPr>
            <w:tcW w:w="6960" w:type="dxa"/>
            <w:vAlign w:val="bottom"/>
          </w:tcPr>
          <w:p>
            <w:pPr>
              <w:jc w:val="center"/>
              <w:ind w:left="1880"/>
              <w:spacing w:after="0"/>
              <w:rPr>
                <w:sz w:val="20"/>
                <w:szCs w:val="20"/>
                <w:color w:val="auto"/>
              </w:rPr>
            </w:pPr>
            <w:r>
              <w:rPr>
                <w:rFonts w:ascii="Times New Roman" w:cs="Times New Roman" w:eastAsia="Times New Roman" w:hAnsi="Times New Roman"/>
                <w:sz w:val="25"/>
                <w:szCs w:val="25"/>
                <w:b w:val="1"/>
                <w:bCs w:val="1"/>
                <w:color w:val="auto"/>
                <w:w w:val="99"/>
              </w:rPr>
              <w:t>FORM T-1</w:t>
            </w:r>
          </w:p>
        </w:tc>
        <w:tc>
          <w:tcPr>
            <w:tcW w:w="3400" w:type="dxa"/>
            <w:vAlign w:val="bottom"/>
          </w:tcPr>
          <w:p>
            <w:pPr>
              <w:spacing w:after="0"/>
              <w:rPr>
                <w:sz w:val="24"/>
                <w:szCs w:val="24"/>
                <w:color w:val="auto"/>
              </w:rPr>
            </w:pPr>
          </w:p>
        </w:tc>
      </w:tr>
      <w:tr>
        <w:trPr>
          <w:trHeight w:val="166"/>
        </w:trPr>
        <w:tc>
          <w:tcPr>
            <w:tcW w:w="920" w:type="dxa"/>
            <w:vAlign w:val="bottom"/>
            <w:tcBorders>
              <w:bottom w:val="single" w:sz="8" w:color="auto"/>
            </w:tcBorders>
          </w:tcPr>
          <w:p>
            <w:pPr>
              <w:spacing w:after="0"/>
              <w:rPr>
                <w:sz w:val="14"/>
                <w:szCs w:val="14"/>
                <w:color w:val="auto"/>
              </w:rPr>
            </w:pPr>
          </w:p>
        </w:tc>
        <w:tc>
          <w:tcPr>
            <w:tcW w:w="10360" w:type="dxa"/>
            <w:vAlign w:val="bottom"/>
            <w:tcBorders>
              <w:bottom w:val="single" w:sz="8" w:color="auto"/>
            </w:tcBorders>
            <w:gridSpan w:val="2"/>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10360" w:type="dxa"/>
            <w:vAlign w:val="bottom"/>
            <w:gridSpan w:val="2"/>
          </w:tcPr>
          <w:p>
            <w:pPr>
              <w:jc w:val="center"/>
              <w:ind w:right="850"/>
              <w:spacing w:after="0"/>
              <w:rPr>
                <w:sz w:val="20"/>
                <w:szCs w:val="20"/>
                <w:color w:val="auto"/>
              </w:rPr>
            </w:pPr>
            <w:r>
              <w:rPr>
                <w:rFonts w:ascii="Times New Roman" w:cs="Times New Roman" w:eastAsia="Times New Roman" w:hAnsi="Times New Roman"/>
                <w:sz w:val="14"/>
                <w:szCs w:val="14"/>
                <w:b w:val="1"/>
                <w:bCs w:val="1"/>
                <w:color w:val="auto"/>
                <w:w w:val="99"/>
              </w:rPr>
              <w:t>STATEMENT OF ELIGIBILITY UNDER THE TRUST INDENTURE ACT OF 1939</w:t>
            </w:r>
          </w:p>
        </w:tc>
      </w:tr>
      <w:tr>
        <w:trPr>
          <w:trHeight w:val="185"/>
        </w:trPr>
        <w:tc>
          <w:tcPr>
            <w:tcW w:w="920" w:type="dxa"/>
            <w:vAlign w:val="bottom"/>
          </w:tcPr>
          <w:p>
            <w:pPr>
              <w:spacing w:after="0"/>
              <w:rPr>
                <w:sz w:val="16"/>
                <w:szCs w:val="16"/>
                <w:color w:val="auto"/>
              </w:rPr>
            </w:pPr>
          </w:p>
        </w:tc>
        <w:tc>
          <w:tcPr>
            <w:tcW w:w="6960" w:type="dxa"/>
            <w:vAlign w:val="bottom"/>
          </w:tcPr>
          <w:p>
            <w:pPr>
              <w:jc w:val="center"/>
              <w:ind w:left="2400"/>
              <w:spacing w:after="0"/>
              <w:rPr>
                <w:sz w:val="20"/>
                <w:szCs w:val="20"/>
                <w:color w:val="auto"/>
              </w:rPr>
            </w:pPr>
            <w:r>
              <w:rPr>
                <w:rFonts w:ascii="Times New Roman" w:cs="Times New Roman" w:eastAsia="Times New Roman" w:hAnsi="Times New Roman"/>
                <w:sz w:val="14"/>
                <w:szCs w:val="14"/>
                <w:b w:val="1"/>
                <w:bCs w:val="1"/>
                <w:color w:val="auto"/>
                <w:w w:val="99"/>
              </w:rPr>
              <w:t>OF A CORPORATION DESIGNATED TO ACT AS TRUSTEE</w:t>
            </w:r>
          </w:p>
        </w:tc>
        <w:tc>
          <w:tcPr>
            <w:tcW w:w="3400" w:type="dxa"/>
            <w:vAlign w:val="bottom"/>
          </w:tcPr>
          <w:p>
            <w:pPr>
              <w:spacing w:after="0"/>
              <w:rPr>
                <w:sz w:val="16"/>
                <w:szCs w:val="16"/>
                <w:color w:val="auto"/>
              </w:rPr>
            </w:pPr>
          </w:p>
        </w:tc>
      </w:tr>
      <w:tr>
        <w:trPr>
          <w:trHeight w:val="319"/>
        </w:trPr>
        <w:tc>
          <w:tcPr>
            <w:tcW w:w="9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0360" w:type="dxa"/>
            <w:vAlign w:val="bottom"/>
            <w:gridSpan w:val="2"/>
          </w:tcPr>
          <w:p>
            <w:pPr>
              <w:jc w:val="center"/>
              <w:ind w:right="650"/>
              <w:spacing w:after="0"/>
              <w:rPr>
                <w:sz w:val="20"/>
                <w:szCs w:val="20"/>
                <w:color w:val="auto"/>
              </w:rPr>
            </w:pPr>
            <w:r>
              <w:rPr>
                <w:rFonts w:ascii="Times New Roman" w:cs="Times New Roman" w:eastAsia="Times New Roman" w:hAnsi="Times New Roman"/>
                <w:sz w:val="14"/>
                <w:szCs w:val="14"/>
                <w:b w:val="1"/>
                <w:bCs w:val="1"/>
                <w:color w:val="auto"/>
                <w:w w:val="99"/>
              </w:rPr>
              <w:t>CHECK IF AN APPLICATION TO DETERMINE ELIGIBILITY OF A TRUSTEE</w:t>
            </w:r>
          </w:p>
        </w:tc>
      </w:tr>
      <w:tr>
        <w:trPr>
          <w:trHeight w:val="185"/>
        </w:trPr>
        <w:tc>
          <w:tcPr>
            <w:tcW w:w="920" w:type="dxa"/>
            <w:vAlign w:val="bottom"/>
          </w:tcPr>
          <w:p>
            <w:pPr>
              <w:spacing w:after="0"/>
              <w:rPr>
                <w:sz w:val="16"/>
                <w:szCs w:val="16"/>
                <w:color w:val="auto"/>
              </w:rPr>
            </w:pPr>
          </w:p>
        </w:tc>
        <w:tc>
          <w:tcPr>
            <w:tcW w:w="6960" w:type="dxa"/>
            <w:vAlign w:val="bottom"/>
          </w:tcPr>
          <w:p>
            <w:pPr>
              <w:jc w:val="center"/>
              <w:ind w:left="2640"/>
              <w:spacing w:after="0"/>
              <w:rPr>
                <w:sz w:val="20"/>
                <w:szCs w:val="20"/>
                <w:color w:val="auto"/>
              </w:rPr>
            </w:pPr>
            <w:r>
              <w:rPr>
                <w:rFonts w:ascii="Times New Roman" w:cs="Times New Roman" w:eastAsia="Times New Roman" w:hAnsi="Times New Roman"/>
                <w:sz w:val="14"/>
                <w:szCs w:val="14"/>
                <w:b w:val="1"/>
                <w:bCs w:val="1"/>
                <w:color w:val="auto"/>
                <w:w w:val="99"/>
              </w:rPr>
              <w:t>PURSUANT TO SECTION 305(b)(2)</w:t>
            </w:r>
          </w:p>
        </w:tc>
        <w:tc>
          <w:tcPr>
            <w:tcW w:w="3400" w:type="dxa"/>
            <w:vAlign w:val="bottom"/>
          </w:tcPr>
          <w:p>
            <w:pPr>
              <w:spacing w:after="0"/>
              <w:rPr>
                <w:sz w:val="16"/>
                <w:szCs w:val="16"/>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r>
      <w:tr>
        <w:trPr>
          <w:trHeight w:val="404"/>
        </w:trPr>
        <w:tc>
          <w:tcPr>
            <w:tcW w:w="920" w:type="dxa"/>
            <w:vAlign w:val="bottom"/>
          </w:tcPr>
          <w:p>
            <w:pPr>
              <w:spacing w:after="0"/>
              <w:rPr>
                <w:sz w:val="24"/>
                <w:szCs w:val="24"/>
                <w:color w:val="auto"/>
              </w:rPr>
            </w:pPr>
          </w:p>
        </w:tc>
        <w:tc>
          <w:tcPr>
            <w:tcW w:w="6960" w:type="dxa"/>
            <w:vAlign w:val="bottom"/>
          </w:tcPr>
          <w:p>
            <w:pPr>
              <w:jc w:val="center"/>
              <w:ind w:left="2360"/>
              <w:spacing w:after="0"/>
              <w:rPr>
                <w:sz w:val="20"/>
                <w:szCs w:val="20"/>
                <w:color w:val="auto"/>
              </w:rPr>
            </w:pPr>
            <w:r>
              <w:rPr>
                <w:rFonts w:ascii="Times New Roman" w:cs="Times New Roman" w:eastAsia="Times New Roman" w:hAnsi="Times New Roman"/>
                <w:sz w:val="25"/>
                <w:szCs w:val="25"/>
                <w:b w:val="1"/>
                <w:bCs w:val="1"/>
                <w:color w:val="auto"/>
              </w:rPr>
              <w:t>THE BANK OF NEW YORK MELLON</w:t>
            </w:r>
          </w:p>
        </w:tc>
        <w:tc>
          <w:tcPr>
            <w:tcW w:w="3400" w:type="dxa"/>
            <w:vAlign w:val="bottom"/>
          </w:tcPr>
          <w:p>
            <w:pPr>
              <w:spacing w:after="0"/>
              <w:rPr>
                <w:sz w:val="24"/>
                <w:szCs w:val="24"/>
                <w:color w:val="auto"/>
              </w:rPr>
            </w:pPr>
          </w:p>
        </w:tc>
      </w:tr>
      <w:tr>
        <w:trPr>
          <w:trHeight w:val="305"/>
        </w:trPr>
        <w:tc>
          <w:tcPr>
            <w:tcW w:w="920" w:type="dxa"/>
            <w:vAlign w:val="bottom"/>
          </w:tcPr>
          <w:p>
            <w:pPr>
              <w:spacing w:after="0"/>
              <w:rPr>
                <w:sz w:val="24"/>
                <w:szCs w:val="24"/>
                <w:color w:val="auto"/>
              </w:rPr>
            </w:pPr>
          </w:p>
        </w:tc>
        <w:tc>
          <w:tcPr>
            <w:tcW w:w="6960" w:type="dxa"/>
            <w:vAlign w:val="bottom"/>
          </w:tcPr>
          <w:p>
            <w:pPr>
              <w:jc w:val="center"/>
              <w:ind w:left="2400"/>
              <w:spacing w:after="0"/>
              <w:rPr>
                <w:sz w:val="20"/>
                <w:szCs w:val="20"/>
                <w:color w:val="auto"/>
              </w:rPr>
            </w:pPr>
            <w:r>
              <w:rPr>
                <w:rFonts w:ascii="Times New Roman" w:cs="Times New Roman" w:eastAsia="Times New Roman" w:hAnsi="Times New Roman"/>
                <w:sz w:val="25"/>
                <w:szCs w:val="25"/>
                <w:b w:val="1"/>
                <w:bCs w:val="1"/>
                <w:color w:val="auto"/>
                <w:w w:val="99"/>
              </w:rPr>
              <w:t>TRUST COMPANY, N.A.</w:t>
            </w:r>
          </w:p>
        </w:tc>
        <w:tc>
          <w:tcPr>
            <w:tcW w:w="340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696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tc>
        <w:tc>
          <w:tcPr>
            <w:tcW w:w="3400" w:type="dxa"/>
            <w:vAlign w:val="bottom"/>
          </w:tcPr>
          <w:p>
            <w:pPr>
              <w:spacing w:after="0"/>
              <w:rPr>
                <w:sz w:val="16"/>
                <w:szCs w:val="16"/>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6960" w:type="dxa"/>
            <w:vAlign w:val="bottom"/>
          </w:tcPr>
          <w:p>
            <w:pPr>
              <w:jc w:val="center"/>
              <w:ind w:right="306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400" w:type="dxa"/>
            <w:vAlign w:val="bottom"/>
          </w:tcPr>
          <w:p>
            <w:pPr>
              <w:jc w:val="right"/>
              <w:ind w:right="2410"/>
              <w:spacing w:after="0"/>
              <w:rPr>
                <w:sz w:val="20"/>
                <w:szCs w:val="20"/>
                <w:color w:val="auto"/>
              </w:rPr>
            </w:pPr>
            <w:r>
              <w:rPr>
                <w:rFonts w:ascii="Times New Roman" w:cs="Times New Roman" w:eastAsia="Times New Roman" w:hAnsi="Times New Roman"/>
                <w:sz w:val="14"/>
                <w:szCs w:val="14"/>
                <w:b w:val="1"/>
                <w:bCs w:val="1"/>
                <w:color w:val="auto"/>
              </w:rPr>
              <w:t>95-3571558</w:t>
            </w:r>
          </w:p>
        </w:tc>
      </w:tr>
      <w:tr>
        <w:trPr>
          <w:trHeight w:val="168"/>
        </w:trPr>
        <w:tc>
          <w:tcPr>
            <w:tcW w:w="920" w:type="dxa"/>
            <w:vAlign w:val="bottom"/>
          </w:tcPr>
          <w:p>
            <w:pPr>
              <w:spacing w:after="0"/>
              <w:rPr>
                <w:sz w:val="14"/>
                <w:szCs w:val="14"/>
                <w:color w:val="auto"/>
              </w:rPr>
            </w:pPr>
          </w:p>
        </w:tc>
        <w:tc>
          <w:tcPr>
            <w:tcW w:w="6960" w:type="dxa"/>
            <w:vAlign w:val="bottom"/>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w w:val="99"/>
              </w:rPr>
              <w:t>(State of incorporation</w:t>
            </w:r>
          </w:p>
        </w:tc>
        <w:tc>
          <w:tcPr>
            <w:tcW w:w="3400" w:type="dxa"/>
            <w:vAlign w:val="bottom"/>
          </w:tcPr>
          <w:p>
            <w:pPr>
              <w:jc w:val="center"/>
              <w:ind w:right="2190"/>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920" w:type="dxa"/>
            <w:vAlign w:val="bottom"/>
          </w:tcPr>
          <w:p>
            <w:pPr>
              <w:spacing w:after="0"/>
              <w:rPr>
                <w:sz w:val="16"/>
                <w:szCs w:val="16"/>
                <w:color w:val="auto"/>
              </w:rPr>
            </w:pPr>
          </w:p>
        </w:tc>
        <w:tc>
          <w:tcPr>
            <w:tcW w:w="6960" w:type="dxa"/>
            <w:vAlign w:val="bottom"/>
          </w:tcPr>
          <w:p>
            <w:pPr>
              <w:jc w:val="center"/>
              <w:ind w:right="3060"/>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400" w:type="dxa"/>
            <w:vAlign w:val="bottom"/>
          </w:tcPr>
          <w:p>
            <w:pPr>
              <w:jc w:val="center"/>
              <w:ind w:right="215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9"/>
        </w:trPr>
        <w:tc>
          <w:tcPr>
            <w:tcW w:w="920" w:type="dxa"/>
            <w:vAlign w:val="bottom"/>
          </w:tcPr>
          <w:p>
            <w:pPr>
              <w:spacing w:after="0"/>
              <w:rPr>
                <w:sz w:val="24"/>
                <w:szCs w:val="24"/>
                <w:color w:val="auto"/>
              </w:rPr>
            </w:pPr>
          </w:p>
        </w:tc>
        <w:tc>
          <w:tcPr>
            <w:tcW w:w="6960" w:type="dxa"/>
            <w:vAlign w:val="bottom"/>
          </w:tcPr>
          <w:p>
            <w:pPr>
              <w:jc w:val="center"/>
              <w:ind w:right="3060"/>
              <w:spacing w:after="0"/>
              <w:rPr>
                <w:sz w:val="20"/>
                <w:szCs w:val="20"/>
                <w:color w:val="auto"/>
              </w:rPr>
            </w:pPr>
            <w:r>
              <w:rPr>
                <w:rFonts w:ascii="Times New Roman" w:cs="Times New Roman" w:eastAsia="Times New Roman" w:hAnsi="Times New Roman"/>
                <w:sz w:val="14"/>
                <w:szCs w:val="14"/>
                <w:b w:val="1"/>
                <w:bCs w:val="1"/>
                <w:color w:val="auto"/>
                <w:w w:val="99"/>
              </w:rPr>
              <w:t>333 South Hope Street, Suite 2525</w:t>
            </w:r>
          </w:p>
        </w:tc>
        <w:tc>
          <w:tcPr>
            <w:tcW w:w="340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6960" w:type="dxa"/>
            <w:vAlign w:val="bottom"/>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w w:val="99"/>
              </w:rPr>
              <w:t>Los Angeles, California</w:t>
            </w:r>
          </w:p>
        </w:tc>
        <w:tc>
          <w:tcPr>
            <w:tcW w:w="3400" w:type="dxa"/>
            <w:vAlign w:val="bottom"/>
          </w:tcPr>
          <w:p>
            <w:pPr>
              <w:jc w:val="right"/>
              <w:ind w:right="2570"/>
              <w:spacing w:after="0"/>
              <w:rPr>
                <w:sz w:val="20"/>
                <w:szCs w:val="20"/>
                <w:color w:val="auto"/>
              </w:rPr>
            </w:pPr>
            <w:r>
              <w:rPr>
                <w:rFonts w:ascii="Times New Roman" w:cs="Times New Roman" w:eastAsia="Times New Roman" w:hAnsi="Times New Roman"/>
                <w:sz w:val="14"/>
                <w:szCs w:val="14"/>
                <w:b w:val="1"/>
                <w:bCs w:val="1"/>
                <w:color w:val="auto"/>
              </w:rPr>
              <w:t>90071</w:t>
            </w:r>
          </w:p>
        </w:tc>
      </w:tr>
      <w:tr>
        <w:trPr>
          <w:trHeight w:val="185"/>
        </w:trPr>
        <w:tc>
          <w:tcPr>
            <w:tcW w:w="920" w:type="dxa"/>
            <w:vAlign w:val="bottom"/>
          </w:tcPr>
          <w:p>
            <w:pPr>
              <w:spacing w:after="0"/>
              <w:rPr>
                <w:sz w:val="16"/>
                <w:szCs w:val="16"/>
                <w:color w:val="auto"/>
              </w:rPr>
            </w:pPr>
          </w:p>
        </w:tc>
        <w:tc>
          <w:tcPr>
            <w:tcW w:w="6960" w:type="dxa"/>
            <w:vAlign w:val="bottom"/>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0" w:type="dxa"/>
            <w:vAlign w:val="bottom"/>
          </w:tcPr>
          <w:p>
            <w:pPr>
              <w:jc w:val="center"/>
              <w:ind w:right="217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179"/>
        </w:trPr>
        <w:tc>
          <w:tcPr>
            <w:tcW w:w="92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r>
      <w:tr>
        <w:trPr>
          <w:trHeight w:val="394"/>
        </w:trPr>
        <w:tc>
          <w:tcPr>
            <w:tcW w:w="920" w:type="dxa"/>
            <w:vAlign w:val="bottom"/>
          </w:tcPr>
          <w:p>
            <w:pPr>
              <w:spacing w:after="0"/>
              <w:rPr>
                <w:sz w:val="24"/>
                <w:szCs w:val="24"/>
                <w:color w:val="auto"/>
              </w:rPr>
            </w:pPr>
          </w:p>
        </w:tc>
        <w:tc>
          <w:tcPr>
            <w:tcW w:w="6960" w:type="dxa"/>
            <w:vAlign w:val="bottom"/>
          </w:tcPr>
          <w:p>
            <w:pPr>
              <w:jc w:val="center"/>
              <w:ind w:left="1900"/>
              <w:spacing w:after="0"/>
              <w:rPr>
                <w:sz w:val="20"/>
                <w:szCs w:val="20"/>
                <w:color w:val="auto"/>
              </w:rPr>
            </w:pPr>
            <w:r>
              <w:rPr>
                <w:rFonts w:ascii="Times New Roman" w:cs="Times New Roman" w:eastAsia="Times New Roman" w:hAnsi="Times New Roman"/>
                <w:sz w:val="20"/>
                <w:szCs w:val="20"/>
                <w:b w:val="1"/>
                <w:bCs w:val="1"/>
                <w:color w:val="auto"/>
                <w:w w:val="96"/>
              </w:rPr>
              <w:t>WASTE MANAGEMENT, INC.</w:t>
            </w:r>
          </w:p>
        </w:tc>
        <w:tc>
          <w:tcPr>
            <w:tcW w:w="340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696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(Exact name of obligors as specified in their charters)</w:t>
            </w:r>
          </w:p>
        </w:tc>
        <w:tc>
          <w:tcPr>
            <w:tcW w:w="3400" w:type="dxa"/>
            <w:vAlign w:val="bottom"/>
          </w:tcPr>
          <w:p>
            <w:pPr>
              <w:spacing w:after="0"/>
              <w:rPr>
                <w:sz w:val="16"/>
                <w:szCs w:val="16"/>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6960" w:type="dxa"/>
            <w:vAlign w:val="bottom"/>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400" w:type="dxa"/>
            <w:vAlign w:val="bottom"/>
          </w:tcPr>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73-1309529</w:t>
            </w:r>
          </w:p>
        </w:tc>
      </w:tr>
      <w:tr>
        <w:trPr>
          <w:trHeight w:val="168"/>
        </w:trPr>
        <w:tc>
          <w:tcPr>
            <w:tcW w:w="920" w:type="dxa"/>
            <w:vAlign w:val="bottom"/>
          </w:tcPr>
          <w:p>
            <w:pPr>
              <w:spacing w:after="0"/>
              <w:rPr>
                <w:sz w:val="14"/>
                <w:szCs w:val="14"/>
                <w:color w:val="auto"/>
              </w:rPr>
            </w:pPr>
          </w:p>
        </w:tc>
        <w:tc>
          <w:tcPr>
            <w:tcW w:w="6960" w:type="dxa"/>
            <w:vAlign w:val="bottom"/>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920" w:type="dxa"/>
            <w:vAlign w:val="bottom"/>
          </w:tcPr>
          <w:p>
            <w:pPr>
              <w:spacing w:after="0"/>
              <w:rPr>
                <w:sz w:val="16"/>
                <w:szCs w:val="16"/>
                <w:color w:val="auto"/>
              </w:rPr>
            </w:pPr>
          </w:p>
        </w:tc>
        <w:tc>
          <w:tcPr>
            <w:tcW w:w="6960" w:type="dxa"/>
            <w:vAlign w:val="bottom"/>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400" w:type="dxa"/>
            <w:vAlign w:val="bottom"/>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9"/>
        </w:trPr>
        <w:tc>
          <w:tcPr>
            <w:tcW w:w="920" w:type="dxa"/>
            <w:vAlign w:val="bottom"/>
          </w:tcPr>
          <w:p>
            <w:pPr>
              <w:spacing w:after="0"/>
              <w:rPr>
                <w:sz w:val="24"/>
                <w:szCs w:val="24"/>
                <w:color w:val="auto"/>
              </w:rPr>
            </w:pPr>
          </w:p>
        </w:tc>
        <w:tc>
          <w:tcPr>
            <w:tcW w:w="6960" w:type="dxa"/>
            <w:vAlign w:val="bottom"/>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9"/>
              </w:rPr>
              <w:t>800 Capitol Street, Suite 3000</w:t>
            </w:r>
          </w:p>
        </w:tc>
        <w:tc>
          <w:tcPr>
            <w:tcW w:w="340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6960" w:type="dxa"/>
            <w:vAlign w:val="bottom"/>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9"/>
              </w:rPr>
              <w:t>Houston, Texas</w:t>
            </w:r>
          </w:p>
        </w:tc>
        <w:tc>
          <w:tcPr>
            <w:tcW w:w="340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960" w:type="dxa"/>
            <w:vAlign w:val="bottom"/>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(713) 512-6200</w:t>
            </w:r>
          </w:p>
        </w:tc>
        <w:tc>
          <w:tcPr>
            <w:tcW w:w="3400" w:type="dxa"/>
            <w:vAlign w:val="bottom"/>
          </w:tcPr>
          <w:p>
            <w:pPr>
              <w:jc w:val="right"/>
              <w:ind w:right="1730"/>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185"/>
        </w:trPr>
        <w:tc>
          <w:tcPr>
            <w:tcW w:w="920" w:type="dxa"/>
            <w:vAlign w:val="bottom"/>
          </w:tcPr>
          <w:p>
            <w:pPr>
              <w:spacing w:after="0"/>
              <w:rPr>
                <w:sz w:val="16"/>
                <w:szCs w:val="16"/>
                <w:color w:val="auto"/>
              </w:rPr>
            </w:pPr>
          </w:p>
        </w:tc>
        <w:tc>
          <w:tcPr>
            <w:tcW w:w="6960" w:type="dxa"/>
            <w:vAlign w:val="bottom"/>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9"/>
              </w:rPr>
              <w:t>(Address of registrants’ principal executive offices)</w:t>
            </w:r>
          </w:p>
        </w:tc>
        <w:tc>
          <w:tcPr>
            <w:tcW w:w="3400" w:type="dxa"/>
            <w:vAlign w:val="bottom"/>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1628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Senior Debt Securities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1628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716280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483870</wp:posOffset>
            </wp:positionV>
            <wp:extent cx="71628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43" w:name="page44"/>
    <w:bookmarkEnd w:id="43"/>
    <w:p>
      <w:pPr>
        <w:ind w:left="496" w:hanging="496"/>
        <w:spacing w:after="0"/>
        <w:tabs>
          <w:tab w:leader="none" w:pos="496"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75" w:lineRule="exact"/>
        <w:rPr>
          <w:rFonts w:ascii="Times New Roman" w:cs="Times New Roman" w:eastAsia="Times New Roman" w:hAnsi="Times New Roman"/>
          <w:sz w:val="14"/>
          <w:szCs w:val="14"/>
          <w:b w:val="1"/>
          <w:bCs w:val="1"/>
          <w:color w:val="auto"/>
        </w:rPr>
      </w:pPr>
    </w:p>
    <w:p>
      <w:pPr>
        <w:ind w:left="756" w:hanging="252"/>
        <w:spacing w:after="0"/>
        <w:tabs>
          <w:tab w:leader="none" w:pos="756" w:val="left"/>
        </w:tabs>
        <w:numPr>
          <w:ilvl w:val="1"/>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88" w:lineRule="exact"/>
        <w:rPr>
          <w:sz w:val="20"/>
          <w:szCs w:val="20"/>
          <w:color w:val="auto"/>
        </w:rPr>
      </w:pPr>
    </w:p>
    <w:tbl>
      <w:tblPr>
        <w:tblLayout w:type="fixed"/>
        <w:tblInd w:w="756"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color w:val="auto"/>
              </w:rPr>
              <w:t>Name</w:t>
            </w:r>
          </w:p>
        </w:tc>
        <w:tc>
          <w:tcPr>
            <w:tcW w:w="200" w:type="dxa"/>
            <w:vAlign w:val="bottom"/>
          </w:tcPr>
          <w:p>
            <w:pPr>
              <w:spacing w:after="0"/>
              <w:rPr>
                <w:sz w:val="15"/>
                <w:szCs w:val="15"/>
                <w:color w:val="auto"/>
              </w:rPr>
            </w:pPr>
          </w:p>
        </w:tc>
        <w:tc>
          <w:tcPr>
            <w:tcW w:w="50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color w:val="auto"/>
              </w:rPr>
              <w:t>Address</w:t>
            </w:r>
          </w:p>
        </w:tc>
      </w:tr>
      <w:tr>
        <w:trPr>
          <w:trHeight w:val="144"/>
        </w:trPr>
        <w:tc>
          <w:tcPr>
            <w:tcW w:w="20" w:type="dxa"/>
            <w:vAlign w:val="bottom"/>
          </w:tcPr>
          <w:p>
            <w:pPr>
              <w:spacing w:after="0"/>
              <w:rPr>
                <w:sz w:val="12"/>
                <w:szCs w:val="12"/>
                <w:color w:val="auto"/>
              </w:rPr>
            </w:pPr>
          </w:p>
        </w:tc>
        <w:tc>
          <w:tcPr>
            <w:tcW w:w="50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200" w:type="dxa"/>
            <w:vAlign w:val="bottom"/>
          </w:tcPr>
          <w:p>
            <w:pPr>
              <w:spacing w:after="0"/>
              <w:rPr>
                <w:sz w:val="12"/>
                <w:szCs w:val="12"/>
                <w:color w:val="auto"/>
              </w:rPr>
            </w:pPr>
          </w:p>
        </w:tc>
        <w:tc>
          <w:tcPr>
            <w:tcW w:w="50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Stated Department of the Treasury</w:t>
            </w:r>
          </w:p>
        </w:tc>
        <w:tc>
          <w:tcPr>
            <w:tcW w:w="200" w:type="dxa"/>
            <w:vAlign w:val="bottom"/>
          </w:tcPr>
          <w:p>
            <w:pPr>
              <w:spacing w:after="0"/>
              <w:rPr>
                <w:sz w:val="15"/>
                <w:szCs w:val="15"/>
                <w:color w:val="auto"/>
              </w:rPr>
            </w:pPr>
          </w:p>
        </w:tc>
        <w:tc>
          <w:tcPr>
            <w:tcW w:w="5060" w:type="dxa"/>
            <w:vAlign w:val="bottom"/>
          </w:tcPr>
          <w:p>
            <w:pPr>
              <w:spacing w:after="0"/>
              <w:rPr>
                <w:sz w:val="15"/>
                <w:szCs w:val="15"/>
                <w:color w:val="auto"/>
              </w:rPr>
            </w:pPr>
          </w:p>
        </w:tc>
      </w:tr>
      <w:tr>
        <w:trPr>
          <w:trHeight w:val="33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 of San Francisco</w:t>
            </w: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1" w:lineRule="exact"/>
        <w:rPr>
          <w:sz w:val="20"/>
          <w:szCs w:val="20"/>
          <w:color w:val="auto"/>
        </w:rPr>
      </w:pPr>
    </w:p>
    <w:p>
      <w:pPr>
        <w:ind w:left="1016" w:right="6760" w:hanging="512"/>
        <w:spacing w:after="0" w:line="501" w:lineRule="auto"/>
        <w:tabs>
          <w:tab w:leader="none" w:pos="764"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ind w:left="496" w:hanging="496"/>
        <w:spacing w:after="0"/>
        <w:tabs>
          <w:tab w:leader="none" w:pos="496"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 and Guarantor.</w:t>
      </w:r>
    </w:p>
    <w:p>
      <w:pPr>
        <w:spacing w:after="0" w:line="175"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4"/>
          <w:szCs w:val="14"/>
          <w:b w:val="1"/>
          <w:bCs w:val="1"/>
          <w:color w:val="auto"/>
        </w:rPr>
        <w:t>If the obligor or guarantor is an affiliate of the trustee, describe each such affiliation.</w:t>
      </w:r>
    </w:p>
    <w:p>
      <w:pPr>
        <w:spacing w:after="0" w:line="177"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4"/>
          <w:szCs w:val="14"/>
          <w:color w:val="auto"/>
        </w:rPr>
        <w:t>None.</w:t>
      </w:r>
    </w:p>
    <w:p>
      <w:pPr>
        <w:spacing w:after="0" w:line="173" w:lineRule="exact"/>
        <w:rPr>
          <w:sz w:val="20"/>
          <w:szCs w:val="20"/>
          <w:color w:val="auto"/>
        </w:rPr>
      </w:pPr>
    </w:p>
    <w:p>
      <w:pPr>
        <w:ind w:left="516" w:right="120" w:hanging="520"/>
        <w:spacing w:after="0" w:line="285" w:lineRule="auto"/>
        <w:tabs>
          <w:tab w:leader="none" w:pos="496" w:val="left"/>
        </w:tabs>
        <w:rPr>
          <w:sz w:val="20"/>
          <w:szCs w:val="20"/>
          <w:color w:val="auto"/>
        </w:rPr>
      </w:pPr>
      <w:r>
        <w:rPr>
          <w:rFonts w:ascii="Times New Roman" w:cs="Times New Roman" w:eastAsia="Times New Roman" w:hAnsi="Times New Roman"/>
          <w:sz w:val="14"/>
          <w:szCs w:val="14"/>
          <w:b w:val="1"/>
          <w:bCs w:val="1"/>
          <w:color w:val="auto"/>
        </w:rPr>
        <w:t>3-15.</w:t>
        <w:tab/>
        <w:t>Pursuant to General Instruction B of the Form T-1, no responses are included for Items 3-15 of this Form T-1 because, to the best of the Trustee’s knowledge, the obligor or the guarantor is not in default under any Indenture for which the Trustee acts as Trustee and the Trustee is not a foreign trustee as provided under Item 15 .</w:t>
      </w:r>
    </w:p>
    <w:p>
      <w:pPr>
        <w:spacing w:after="0" w:line="122" w:lineRule="exact"/>
        <w:rPr>
          <w:sz w:val="20"/>
          <w:szCs w:val="20"/>
          <w:color w:val="auto"/>
        </w:rPr>
      </w:pPr>
    </w:p>
    <w:p>
      <w:pPr>
        <w:ind w:left="496" w:hanging="496"/>
        <w:spacing w:after="0"/>
        <w:tabs>
          <w:tab w:leader="none" w:pos="496"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sz w:val="20"/>
          <w:szCs w:val="20"/>
          <w:color w:val="auto"/>
        </w:rPr>
      </w:pPr>
    </w:p>
    <w:p>
      <w:pPr>
        <w:ind w:left="1016" w:right="80"/>
        <w:spacing w:after="0" w:line="285" w:lineRule="auto"/>
        <w:rPr>
          <w:sz w:val="20"/>
          <w:szCs w:val="20"/>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24" w:lineRule="exact"/>
        <w:rPr>
          <w:sz w:val="20"/>
          <w:szCs w:val="20"/>
          <w:color w:val="auto"/>
        </w:rPr>
      </w:pPr>
    </w:p>
    <w:p>
      <w:pPr>
        <w:ind w:left="1016" w:right="120" w:hanging="8"/>
        <w:spacing w:after="0" w:line="282" w:lineRule="auto"/>
        <w:tabs>
          <w:tab w:leader="none" w:pos="1331"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21"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T- 1 filed with Registration Statement No. 333-152875).).</w:t>
      </w:r>
    </w:p>
    <w:p>
      <w:pPr>
        <w:spacing w:after="0" w:line="160"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333-162713).</w:t>
      </w:r>
    </w:p>
    <w:p>
      <w:pPr>
        <w:spacing w:after="0" w:line="175" w:lineRule="exact"/>
        <w:rPr>
          <w:sz w:val="20"/>
          <w:szCs w:val="20"/>
          <w:color w:val="auto"/>
        </w:rPr>
      </w:pPr>
    </w:p>
    <w:p>
      <w:pPr>
        <w:ind w:left="1316" w:hanging="308"/>
        <w:spacing w:after="0"/>
        <w:tabs>
          <w:tab w:leader="none" w:pos="13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628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076"/>
          </w:cols>
          <w:pgMar w:left="304" w:top="732" w:right="519" w:bottom="1440" w:gutter="0" w:footer="0" w:header="0"/>
        </w:sectPr>
      </w:pPr>
    </w:p>
    <w:bookmarkStart w:id="44" w:name="page45"/>
    <w:bookmarkEnd w:id="44"/>
    <w:p>
      <w:pPr>
        <w:jc w:val="center"/>
        <w:ind w:right="180"/>
        <w:spacing w:after="0"/>
        <w:rPr>
          <w:sz w:val="20"/>
          <w:szCs w:val="20"/>
          <w:color w:val="auto"/>
        </w:rPr>
      </w:pPr>
      <w:r>
        <w:rPr>
          <w:rFonts w:ascii="Times New Roman" w:cs="Times New Roman" w:eastAsia="Times New Roman" w:hAnsi="Times New Roman"/>
          <w:sz w:val="14"/>
          <w:szCs w:val="14"/>
          <w:color w:val="auto"/>
        </w:rPr>
        <w:t>SIGNATURE</w:t>
      </w:r>
    </w:p>
    <w:p>
      <w:pPr>
        <w:spacing w:after="0" w:line="17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Jacksonville, and State of Florida, on July 31, 2025.</w:t>
      </w:r>
    </w:p>
    <w:p>
      <w:pPr>
        <w:spacing w:after="0" w:line="1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TRUST COMPANY, N.A.</w:t>
      </w:r>
    </w:p>
    <w:p>
      <w:pPr>
        <w:spacing w:after="0" w:line="175"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Terence Rawlins</w:t>
      </w:r>
    </w:p>
    <w:p>
      <w:pPr>
        <w:spacing w:after="0" w:line="22"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Name:</w:t>
        <w:tab/>
        <w:t>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1628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0960"/>
          </w:cols>
          <w:pgMar w:left="300" w:top="734" w:right="6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At the close of business March 31, 2025, published in accordance with Federal regulatory authority instructions.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9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50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22,273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Interest-bearing balances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232,197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99,690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856,313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114,304</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1,334,040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419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32" w:right="31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Deposits:</w:t>
            </w:r>
          </w:p>
        </w:tc>
        <w:tc>
          <w:tcPr>
            <w:tcW w:w="9140" w:type="dxa"/>
            <w:vAlign w:val="bottom"/>
            <w:tcBorders>
              <w:top w:val="single" w:sz="8" w:color="CCEEFF"/>
            </w:tcBorders>
            <w:gridSpan w:val="2"/>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266,162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267,044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99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107,496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958,504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1,066,996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1,066,996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94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Total liabilities and equity capital</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1,334,040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4"/>
          <w:szCs w:val="14"/>
          <w:color w:val="auto"/>
        </w:rPr>
        <w:t>I, Shana Quinn,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6" w:lineRule="exact"/>
        <w:rPr>
          <w:sz w:val="20"/>
          <w:szCs w:val="20"/>
          <w:color w:val="auto"/>
        </w:rPr>
      </w:pPr>
    </w:p>
    <w:p>
      <w:pPr>
        <w:ind w:left="500"/>
        <w:spacing w:after="0"/>
        <w:tabs>
          <w:tab w:leader="none" w:pos="1500" w:val="left"/>
          <w:tab w:leader="none" w:pos="3080" w:val="left"/>
        </w:tabs>
        <w:rPr>
          <w:sz w:val="20"/>
          <w:szCs w:val="20"/>
          <w:color w:val="auto"/>
        </w:rPr>
      </w:pPr>
      <w:r>
        <w:rPr>
          <w:rFonts w:ascii="Times New Roman" w:cs="Times New Roman" w:eastAsia="Times New Roman" w:hAnsi="Times New Roman"/>
          <w:sz w:val="14"/>
          <w:szCs w:val="14"/>
          <w:color w:val="auto"/>
        </w:rPr>
        <w:t>Shana Quinn</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CFO</w:t>
      </w:r>
    </w:p>
    <w:p>
      <w:pPr>
        <w:spacing w:after="0" w:line="175"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Kevin C. Weeks, President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100" w:type="dxa"/>
            <w:vAlign w:val="bottom"/>
          </w:tcPr>
          <w:p>
            <w:pPr>
              <w:spacing w:after="0"/>
              <w:rPr>
                <w:sz w:val="15"/>
                <w:szCs w:val="15"/>
                <w:color w:val="auto"/>
              </w:rPr>
            </w:pPr>
          </w:p>
        </w:tc>
      </w:tr>
      <w:tr>
        <w:trPr>
          <w:trHeight w:val="189"/>
        </w:trPr>
        <w:tc>
          <w:tcPr>
            <w:tcW w:w="3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Cathleen Sokolowski, Managing Director</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100" w:type="dxa"/>
            <w:vAlign w:val="bottom"/>
          </w:tcPr>
          <w:p>
            <w:pPr>
              <w:jc w:val="right"/>
              <w:ind w:right="481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89"/>
        </w:trPr>
        <w:tc>
          <w:tcPr>
            <w:tcW w:w="3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100" w:type="dxa"/>
            <w:vAlign w:val="bottom"/>
          </w:tcPr>
          <w:p>
            <w:pPr>
              <w:spacing w:after="0"/>
              <w:rPr>
                <w:sz w:val="16"/>
                <w:szCs w:val="16"/>
                <w:color w:val="auto"/>
              </w:rPr>
            </w:pPr>
          </w:p>
        </w:tc>
      </w:tr>
      <w:tr>
        <w:trPr>
          <w:trHeight w:val="525"/>
        </w:trPr>
        <w:tc>
          <w:tcPr>
            <w:tcW w:w="3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724"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16280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71628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40" w:type="dxa"/>
            <w:vAlign w:val="bottom"/>
          </w:tcPr>
          <w:p>
            <w:pPr>
              <w:spacing w:after="0"/>
              <w:rPr>
                <w:sz w:val="24"/>
                <w:szCs w:val="24"/>
                <w:color w:val="auto"/>
              </w:rPr>
            </w:pPr>
          </w:p>
        </w:tc>
        <w:tc>
          <w:tcPr>
            <w:tcW w:w="10540" w:type="dxa"/>
            <w:vAlign w:val="bottom"/>
            <w:gridSpan w:val="2"/>
          </w:tcPr>
          <w:p>
            <w:pPr>
              <w:jc w:val="center"/>
              <w:ind w:right="117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185"/>
        </w:trPr>
        <w:tc>
          <w:tcPr>
            <w:tcW w:w="740" w:type="dxa"/>
            <w:vAlign w:val="bottom"/>
          </w:tcPr>
          <w:p>
            <w:pPr>
              <w:spacing w:after="0"/>
              <w:rPr>
                <w:sz w:val="16"/>
                <w:szCs w:val="16"/>
                <w:color w:val="auto"/>
              </w:rPr>
            </w:pPr>
          </w:p>
        </w:tc>
        <w:tc>
          <w:tcPr>
            <w:tcW w:w="7000" w:type="dxa"/>
            <w:vAlign w:val="bottom"/>
          </w:tcPr>
          <w:p>
            <w:pPr>
              <w:jc w:val="center"/>
              <w:ind w:left="2202"/>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3540" w:type="dxa"/>
            <w:vAlign w:val="bottom"/>
          </w:tcPr>
          <w:p>
            <w:pPr>
              <w:spacing w:after="0"/>
              <w:rPr>
                <w:sz w:val="16"/>
                <w:szCs w:val="16"/>
                <w:color w:val="auto"/>
              </w:rPr>
            </w:pPr>
          </w:p>
        </w:tc>
      </w:tr>
      <w:tr>
        <w:trPr>
          <w:trHeight w:val="168"/>
        </w:trPr>
        <w:tc>
          <w:tcPr>
            <w:tcW w:w="74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455"/>
        </w:trPr>
        <w:tc>
          <w:tcPr>
            <w:tcW w:w="740" w:type="dxa"/>
            <w:vAlign w:val="bottom"/>
          </w:tcPr>
          <w:p>
            <w:pPr>
              <w:spacing w:after="0"/>
              <w:rPr>
                <w:sz w:val="24"/>
                <w:szCs w:val="24"/>
                <w:color w:val="auto"/>
              </w:rPr>
            </w:pPr>
          </w:p>
        </w:tc>
        <w:tc>
          <w:tcPr>
            <w:tcW w:w="7000" w:type="dxa"/>
            <w:vAlign w:val="bottom"/>
          </w:tcPr>
          <w:p>
            <w:pPr>
              <w:jc w:val="center"/>
              <w:ind w:left="2202"/>
              <w:spacing w:after="0"/>
              <w:rPr>
                <w:sz w:val="20"/>
                <w:szCs w:val="20"/>
                <w:color w:val="auto"/>
              </w:rPr>
            </w:pPr>
            <w:r>
              <w:rPr>
                <w:rFonts w:ascii="Times New Roman" w:cs="Times New Roman" w:eastAsia="Times New Roman" w:hAnsi="Times New Roman"/>
                <w:sz w:val="25"/>
                <w:szCs w:val="25"/>
                <w:b w:val="1"/>
                <w:bCs w:val="1"/>
                <w:color w:val="auto"/>
                <w:w w:val="99"/>
              </w:rPr>
              <w:t>FORM T-1</w:t>
            </w:r>
          </w:p>
        </w:tc>
        <w:tc>
          <w:tcPr>
            <w:tcW w:w="3540" w:type="dxa"/>
            <w:vAlign w:val="bottom"/>
          </w:tcPr>
          <w:p>
            <w:pPr>
              <w:spacing w:after="0"/>
              <w:rPr>
                <w:sz w:val="24"/>
                <w:szCs w:val="24"/>
                <w:color w:val="auto"/>
              </w:rPr>
            </w:pPr>
          </w:p>
        </w:tc>
      </w:tr>
      <w:tr>
        <w:trPr>
          <w:trHeight w:val="166"/>
        </w:trPr>
        <w:tc>
          <w:tcPr>
            <w:tcW w:w="74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7000" w:type="dxa"/>
            <w:vAlign w:val="bottom"/>
          </w:tcPr>
          <w:p>
            <w:pPr>
              <w:jc w:val="center"/>
              <w:ind w:left="2742"/>
              <w:spacing w:after="0"/>
              <w:rPr>
                <w:sz w:val="20"/>
                <w:szCs w:val="20"/>
                <w:color w:val="auto"/>
              </w:rPr>
            </w:pPr>
            <w:r>
              <w:rPr>
                <w:rFonts w:ascii="Times New Roman" w:cs="Times New Roman" w:eastAsia="Times New Roman" w:hAnsi="Times New Roman"/>
                <w:sz w:val="14"/>
                <w:szCs w:val="14"/>
                <w:b w:val="1"/>
                <w:bCs w:val="1"/>
                <w:color w:val="auto"/>
                <w:w w:val="99"/>
              </w:rPr>
              <w:t>STATEMENT OF ELIGIBILITY</w:t>
            </w:r>
          </w:p>
        </w:tc>
        <w:tc>
          <w:tcPr>
            <w:tcW w:w="3540" w:type="dxa"/>
            <w:vAlign w:val="bottom"/>
          </w:tcPr>
          <w:p>
            <w:pPr>
              <w:spacing w:after="0"/>
              <w:rPr>
                <w:sz w:val="24"/>
                <w:szCs w:val="24"/>
                <w:color w:val="auto"/>
              </w:rPr>
            </w:pPr>
          </w:p>
        </w:tc>
      </w:tr>
      <w:tr>
        <w:trPr>
          <w:trHeight w:val="168"/>
        </w:trPr>
        <w:tc>
          <w:tcPr>
            <w:tcW w:w="740" w:type="dxa"/>
            <w:vAlign w:val="bottom"/>
          </w:tcPr>
          <w:p>
            <w:pPr>
              <w:spacing w:after="0"/>
              <w:rPr>
                <w:sz w:val="14"/>
                <w:szCs w:val="14"/>
                <w:color w:val="auto"/>
              </w:rPr>
            </w:pPr>
          </w:p>
        </w:tc>
        <w:tc>
          <w:tcPr>
            <w:tcW w:w="7000" w:type="dxa"/>
            <w:vAlign w:val="bottom"/>
          </w:tcPr>
          <w:p>
            <w:pPr>
              <w:jc w:val="center"/>
              <w:ind w:left="2722"/>
              <w:spacing w:after="0"/>
              <w:rPr>
                <w:sz w:val="20"/>
                <w:szCs w:val="20"/>
                <w:color w:val="auto"/>
              </w:rPr>
            </w:pPr>
            <w:r>
              <w:rPr>
                <w:rFonts w:ascii="Times New Roman" w:cs="Times New Roman" w:eastAsia="Times New Roman" w:hAnsi="Times New Roman"/>
                <w:sz w:val="14"/>
                <w:szCs w:val="14"/>
                <w:b w:val="1"/>
                <w:bCs w:val="1"/>
                <w:color w:val="auto"/>
                <w:w w:val="99"/>
              </w:rPr>
              <w:t>UNDER THE TRUST INDENTURE ACT OF 1939</w:t>
            </w:r>
          </w:p>
        </w:tc>
        <w:tc>
          <w:tcPr>
            <w:tcW w:w="3540" w:type="dxa"/>
            <w:vAlign w:val="bottom"/>
          </w:tcPr>
          <w:p>
            <w:pPr>
              <w:spacing w:after="0"/>
              <w:rPr>
                <w:sz w:val="14"/>
                <w:szCs w:val="14"/>
                <w:color w:val="auto"/>
              </w:rPr>
            </w:pPr>
          </w:p>
        </w:tc>
      </w:tr>
      <w:tr>
        <w:trPr>
          <w:trHeight w:val="185"/>
        </w:trPr>
        <w:tc>
          <w:tcPr>
            <w:tcW w:w="740" w:type="dxa"/>
            <w:vAlign w:val="bottom"/>
          </w:tcPr>
          <w:p>
            <w:pPr>
              <w:spacing w:after="0"/>
              <w:rPr>
                <w:sz w:val="16"/>
                <w:szCs w:val="16"/>
                <w:color w:val="auto"/>
              </w:rPr>
            </w:pPr>
          </w:p>
        </w:tc>
        <w:tc>
          <w:tcPr>
            <w:tcW w:w="7000" w:type="dxa"/>
            <w:vAlign w:val="bottom"/>
          </w:tcPr>
          <w:p>
            <w:pPr>
              <w:jc w:val="center"/>
              <w:ind w:left="2722"/>
              <w:spacing w:after="0"/>
              <w:rPr>
                <w:sz w:val="20"/>
                <w:szCs w:val="20"/>
                <w:color w:val="auto"/>
              </w:rPr>
            </w:pPr>
            <w:r>
              <w:rPr>
                <w:rFonts w:ascii="Times New Roman" w:cs="Times New Roman" w:eastAsia="Times New Roman" w:hAnsi="Times New Roman"/>
                <w:sz w:val="14"/>
                <w:szCs w:val="14"/>
                <w:b w:val="1"/>
                <w:bCs w:val="1"/>
                <w:color w:val="auto"/>
                <w:w w:val="99"/>
              </w:rPr>
              <w:t>OF A CORPORATION DESIGNATED TO ACT AS TRUSTEE</w:t>
            </w:r>
          </w:p>
        </w:tc>
        <w:tc>
          <w:tcPr>
            <w:tcW w:w="3540" w:type="dxa"/>
            <w:vAlign w:val="bottom"/>
          </w:tcPr>
          <w:p>
            <w:pPr>
              <w:spacing w:after="0"/>
              <w:rPr>
                <w:sz w:val="16"/>
                <w:szCs w:val="16"/>
                <w:color w:val="auto"/>
              </w:rPr>
            </w:pPr>
          </w:p>
        </w:tc>
      </w:tr>
      <w:tr>
        <w:trPr>
          <w:trHeight w:val="358"/>
        </w:trPr>
        <w:tc>
          <w:tcPr>
            <w:tcW w:w="7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054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CHECK IF AN APPLICATION TO DETERMINE ELIGIBILITY OF A TRUSTEE PURSUANT TO SECTION 305(b)(2)</w:t>
            </w:r>
          </w:p>
        </w:tc>
      </w:tr>
      <w:tr>
        <w:trPr>
          <w:trHeight w:val="146"/>
        </w:trPr>
        <w:tc>
          <w:tcPr>
            <w:tcW w:w="740" w:type="dxa"/>
            <w:vAlign w:val="bottom"/>
            <w:tcBorders>
              <w:bottom w:val="single" w:sz="8" w:color="auto"/>
            </w:tcBorders>
          </w:tcPr>
          <w:p>
            <w:pPr>
              <w:spacing w:after="0"/>
              <w:rPr>
                <w:sz w:val="12"/>
                <w:szCs w:val="12"/>
                <w:color w:val="auto"/>
              </w:rPr>
            </w:pPr>
          </w:p>
        </w:tc>
        <w:tc>
          <w:tcPr>
            <w:tcW w:w="10540" w:type="dxa"/>
            <w:vAlign w:val="bottom"/>
            <w:tcBorders>
              <w:bottom w:val="single" w:sz="8" w:color="auto"/>
            </w:tcBorders>
            <w:gridSpan w:val="2"/>
          </w:tcPr>
          <w:p>
            <w:pPr>
              <w:spacing w:after="0"/>
              <w:rPr>
                <w:sz w:val="12"/>
                <w:szCs w:val="12"/>
                <w:color w:val="auto"/>
              </w:rPr>
            </w:pPr>
          </w:p>
        </w:tc>
      </w:tr>
      <w:tr>
        <w:trPr>
          <w:trHeight w:val="425"/>
        </w:trPr>
        <w:tc>
          <w:tcPr>
            <w:tcW w:w="740" w:type="dxa"/>
            <w:vAlign w:val="bottom"/>
          </w:tcPr>
          <w:p>
            <w:pPr>
              <w:spacing w:after="0"/>
              <w:rPr>
                <w:sz w:val="24"/>
                <w:szCs w:val="24"/>
                <w:color w:val="auto"/>
              </w:rPr>
            </w:pPr>
          </w:p>
        </w:tc>
        <w:tc>
          <w:tcPr>
            <w:tcW w:w="10540" w:type="dxa"/>
            <w:vAlign w:val="bottom"/>
            <w:gridSpan w:val="2"/>
          </w:tcPr>
          <w:p>
            <w:pPr>
              <w:jc w:val="center"/>
              <w:ind w:right="650"/>
              <w:spacing w:after="0"/>
              <w:rPr>
                <w:sz w:val="20"/>
                <w:szCs w:val="20"/>
                <w:color w:val="auto"/>
              </w:rPr>
            </w:pPr>
            <w:r>
              <w:rPr>
                <w:rFonts w:ascii="Times New Roman" w:cs="Times New Roman" w:eastAsia="Times New Roman" w:hAnsi="Times New Roman"/>
                <w:sz w:val="25"/>
                <w:szCs w:val="25"/>
                <w:b w:val="1"/>
                <w:bCs w:val="1"/>
                <w:color w:val="auto"/>
              </w:rPr>
              <w:t>THE BANK OF NEW YORK MELLON TRUST COMPANY, N.A.</w:t>
            </w:r>
          </w:p>
        </w:tc>
      </w:tr>
      <w:tr>
        <w:trPr>
          <w:trHeight w:val="185"/>
        </w:trPr>
        <w:tc>
          <w:tcPr>
            <w:tcW w:w="740" w:type="dxa"/>
            <w:vAlign w:val="bottom"/>
          </w:tcPr>
          <w:p>
            <w:pPr>
              <w:spacing w:after="0"/>
              <w:rPr>
                <w:sz w:val="16"/>
                <w:szCs w:val="16"/>
                <w:color w:val="auto"/>
              </w:rPr>
            </w:pPr>
          </w:p>
        </w:tc>
        <w:tc>
          <w:tcPr>
            <w:tcW w:w="7000" w:type="dxa"/>
            <w:vAlign w:val="bottom"/>
          </w:tcPr>
          <w:p>
            <w:pPr>
              <w:jc w:val="center"/>
              <w:ind w:left="2202"/>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tc>
        <w:tc>
          <w:tcPr>
            <w:tcW w:w="3540" w:type="dxa"/>
            <w:vAlign w:val="bottom"/>
          </w:tcPr>
          <w:p>
            <w:pPr>
              <w:spacing w:after="0"/>
              <w:rPr>
                <w:sz w:val="16"/>
                <w:szCs w:val="16"/>
                <w:color w:val="auto"/>
              </w:rPr>
            </w:pPr>
          </w:p>
        </w:tc>
      </w:tr>
      <w:tr>
        <w:trPr>
          <w:trHeight w:val="168"/>
        </w:trPr>
        <w:tc>
          <w:tcPr>
            <w:tcW w:w="74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7000" w:type="dxa"/>
            <w:vAlign w:val="bottom"/>
          </w:tcPr>
          <w:p>
            <w:pPr>
              <w:jc w:val="center"/>
              <w:ind w:right="2742"/>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54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rPr>
              <w:t>95-3571558</w:t>
            </w:r>
          </w:p>
        </w:tc>
      </w:tr>
      <w:tr>
        <w:trPr>
          <w:trHeight w:val="168"/>
        </w:trPr>
        <w:tc>
          <w:tcPr>
            <w:tcW w:w="740" w:type="dxa"/>
            <w:vAlign w:val="bottom"/>
          </w:tcPr>
          <w:p>
            <w:pPr>
              <w:spacing w:after="0"/>
              <w:rPr>
                <w:sz w:val="14"/>
                <w:szCs w:val="14"/>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w w:val="99"/>
              </w:rPr>
              <w:t>(State of incorporation</w:t>
            </w:r>
          </w:p>
        </w:tc>
        <w:tc>
          <w:tcPr>
            <w:tcW w:w="3540" w:type="dxa"/>
            <w:vAlign w:val="bottom"/>
          </w:tcPr>
          <w:p>
            <w:pPr>
              <w:jc w:val="center"/>
              <w:ind w:right="2010"/>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740" w:type="dxa"/>
            <w:vAlign w:val="bottom"/>
          </w:tcPr>
          <w:p>
            <w:pPr>
              <w:spacing w:after="0"/>
              <w:rPr>
                <w:sz w:val="16"/>
                <w:szCs w:val="16"/>
                <w:color w:val="auto"/>
              </w:rPr>
            </w:pPr>
          </w:p>
        </w:tc>
        <w:tc>
          <w:tcPr>
            <w:tcW w:w="7000" w:type="dxa"/>
            <w:vAlign w:val="bottom"/>
          </w:tcPr>
          <w:p>
            <w:pPr>
              <w:jc w:val="center"/>
              <w:ind w:right="2742"/>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540" w:type="dxa"/>
            <w:vAlign w:val="bottom"/>
          </w:tcPr>
          <w:p>
            <w:pPr>
              <w:jc w:val="center"/>
              <w:ind w:right="201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9"/>
        </w:trPr>
        <w:tc>
          <w:tcPr>
            <w:tcW w:w="740" w:type="dxa"/>
            <w:vAlign w:val="bottom"/>
          </w:tcPr>
          <w:p>
            <w:pPr>
              <w:spacing w:after="0"/>
              <w:rPr>
                <w:sz w:val="24"/>
                <w:szCs w:val="24"/>
                <w:color w:val="auto"/>
              </w:rPr>
            </w:pPr>
          </w:p>
        </w:tc>
        <w:tc>
          <w:tcPr>
            <w:tcW w:w="7000" w:type="dxa"/>
            <w:vAlign w:val="bottom"/>
          </w:tcPr>
          <w:p>
            <w:pPr>
              <w:jc w:val="center"/>
              <w:ind w:right="2782"/>
              <w:spacing w:after="0"/>
              <w:rPr>
                <w:sz w:val="20"/>
                <w:szCs w:val="20"/>
                <w:color w:val="auto"/>
              </w:rPr>
            </w:pPr>
            <w:r>
              <w:rPr>
                <w:rFonts w:ascii="Times New Roman" w:cs="Times New Roman" w:eastAsia="Times New Roman" w:hAnsi="Times New Roman"/>
                <w:sz w:val="14"/>
                <w:szCs w:val="14"/>
                <w:b w:val="1"/>
                <w:bCs w:val="1"/>
                <w:color w:val="auto"/>
                <w:w w:val="99"/>
              </w:rPr>
              <w:t>333 South Hope Street, Suite 2525</w:t>
            </w:r>
          </w:p>
        </w:tc>
        <w:tc>
          <w:tcPr>
            <w:tcW w:w="3540" w:type="dxa"/>
            <w:vAlign w:val="bottom"/>
          </w:tcPr>
          <w:p>
            <w:pPr>
              <w:spacing w:after="0"/>
              <w:rPr>
                <w:sz w:val="24"/>
                <w:szCs w:val="24"/>
                <w:color w:val="auto"/>
              </w:rPr>
            </w:pPr>
          </w:p>
        </w:tc>
      </w:tr>
      <w:tr>
        <w:trPr>
          <w:trHeight w:val="168"/>
        </w:trPr>
        <w:tc>
          <w:tcPr>
            <w:tcW w:w="740" w:type="dxa"/>
            <w:vAlign w:val="bottom"/>
          </w:tcPr>
          <w:p>
            <w:pPr>
              <w:spacing w:after="0"/>
              <w:rPr>
                <w:sz w:val="14"/>
                <w:szCs w:val="14"/>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w w:val="99"/>
              </w:rPr>
              <w:t>Los Angeles, California</w:t>
            </w:r>
          </w:p>
        </w:tc>
        <w:tc>
          <w:tcPr>
            <w:tcW w:w="354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rPr>
              <w:t>90071</w:t>
            </w:r>
          </w:p>
        </w:tc>
      </w:tr>
      <w:tr>
        <w:trPr>
          <w:trHeight w:val="185"/>
        </w:trPr>
        <w:tc>
          <w:tcPr>
            <w:tcW w:w="740" w:type="dxa"/>
            <w:vAlign w:val="bottom"/>
          </w:tcPr>
          <w:p>
            <w:pPr>
              <w:spacing w:after="0"/>
              <w:rPr>
                <w:sz w:val="16"/>
                <w:szCs w:val="16"/>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179"/>
        </w:trPr>
        <w:tc>
          <w:tcPr>
            <w:tcW w:w="740" w:type="dxa"/>
            <w:vAlign w:val="bottom"/>
            <w:tcBorders>
              <w:bottom w:val="single" w:sz="8" w:color="auto"/>
            </w:tcBorders>
          </w:tcPr>
          <w:p>
            <w:pPr>
              <w:spacing w:after="0"/>
              <w:rPr>
                <w:sz w:val="15"/>
                <w:szCs w:val="15"/>
                <w:color w:val="auto"/>
              </w:rPr>
            </w:pPr>
          </w:p>
        </w:tc>
        <w:tc>
          <w:tcPr>
            <w:tcW w:w="70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r>
      <w:tr>
        <w:trPr>
          <w:trHeight w:val="394"/>
        </w:trPr>
        <w:tc>
          <w:tcPr>
            <w:tcW w:w="740" w:type="dxa"/>
            <w:vAlign w:val="bottom"/>
          </w:tcPr>
          <w:p>
            <w:pPr>
              <w:spacing w:after="0"/>
              <w:rPr>
                <w:sz w:val="24"/>
                <w:szCs w:val="24"/>
                <w:color w:val="auto"/>
              </w:rPr>
            </w:pPr>
          </w:p>
        </w:tc>
        <w:tc>
          <w:tcPr>
            <w:tcW w:w="7000" w:type="dxa"/>
            <w:vAlign w:val="bottom"/>
          </w:tcPr>
          <w:p>
            <w:pPr>
              <w:jc w:val="center"/>
              <w:ind w:left="2222"/>
              <w:spacing w:after="0"/>
              <w:rPr>
                <w:sz w:val="20"/>
                <w:szCs w:val="20"/>
                <w:color w:val="auto"/>
              </w:rPr>
            </w:pPr>
            <w:r>
              <w:rPr>
                <w:rFonts w:ascii="Times New Roman" w:cs="Times New Roman" w:eastAsia="Times New Roman" w:hAnsi="Times New Roman"/>
                <w:sz w:val="20"/>
                <w:szCs w:val="20"/>
                <w:b w:val="1"/>
                <w:bCs w:val="1"/>
                <w:color w:val="auto"/>
                <w:w w:val="96"/>
              </w:rPr>
              <w:t>WASTE MANAGEMENT, INC.</w:t>
            </w:r>
          </w:p>
        </w:tc>
        <w:tc>
          <w:tcPr>
            <w:tcW w:w="3540" w:type="dxa"/>
            <w:vAlign w:val="bottom"/>
          </w:tcPr>
          <w:p>
            <w:pPr>
              <w:spacing w:after="0"/>
              <w:rPr>
                <w:sz w:val="24"/>
                <w:szCs w:val="24"/>
                <w:color w:val="auto"/>
              </w:rPr>
            </w:pPr>
          </w:p>
        </w:tc>
      </w:tr>
      <w:tr>
        <w:trPr>
          <w:trHeight w:val="185"/>
        </w:trPr>
        <w:tc>
          <w:tcPr>
            <w:tcW w:w="740" w:type="dxa"/>
            <w:vAlign w:val="bottom"/>
          </w:tcPr>
          <w:p>
            <w:pPr>
              <w:spacing w:after="0"/>
              <w:rPr>
                <w:sz w:val="16"/>
                <w:szCs w:val="16"/>
                <w:color w:val="auto"/>
              </w:rPr>
            </w:pPr>
          </w:p>
        </w:tc>
        <w:tc>
          <w:tcPr>
            <w:tcW w:w="7000" w:type="dxa"/>
            <w:vAlign w:val="bottom"/>
          </w:tcPr>
          <w:p>
            <w:pPr>
              <w:jc w:val="center"/>
              <w:ind w:left="2202"/>
              <w:spacing w:after="0"/>
              <w:rPr>
                <w:sz w:val="20"/>
                <w:szCs w:val="20"/>
                <w:color w:val="auto"/>
              </w:rPr>
            </w:pPr>
            <w:r>
              <w:rPr>
                <w:rFonts w:ascii="Times New Roman" w:cs="Times New Roman" w:eastAsia="Times New Roman" w:hAnsi="Times New Roman"/>
                <w:sz w:val="14"/>
                <w:szCs w:val="14"/>
                <w:b w:val="1"/>
                <w:bCs w:val="1"/>
                <w:color w:val="auto"/>
              </w:rPr>
              <w:t>(Exact name of obligors as specified in their charters)</w:t>
            </w:r>
          </w:p>
        </w:tc>
        <w:tc>
          <w:tcPr>
            <w:tcW w:w="3540" w:type="dxa"/>
            <w:vAlign w:val="bottom"/>
          </w:tcPr>
          <w:p>
            <w:pPr>
              <w:spacing w:after="0"/>
              <w:rPr>
                <w:sz w:val="16"/>
                <w:szCs w:val="16"/>
                <w:color w:val="auto"/>
              </w:rPr>
            </w:pPr>
          </w:p>
        </w:tc>
      </w:tr>
      <w:tr>
        <w:trPr>
          <w:trHeight w:val="168"/>
        </w:trPr>
        <w:tc>
          <w:tcPr>
            <w:tcW w:w="74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4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rPr>
              <w:t>73-1309529</w:t>
            </w:r>
          </w:p>
        </w:tc>
      </w:tr>
      <w:tr>
        <w:trPr>
          <w:trHeight w:val="168"/>
        </w:trPr>
        <w:tc>
          <w:tcPr>
            <w:tcW w:w="740" w:type="dxa"/>
            <w:vAlign w:val="bottom"/>
          </w:tcPr>
          <w:p>
            <w:pPr>
              <w:spacing w:after="0"/>
              <w:rPr>
                <w:sz w:val="14"/>
                <w:szCs w:val="14"/>
                <w:color w:val="auto"/>
              </w:rPr>
            </w:pPr>
          </w:p>
        </w:tc>
        <w:tc>
          <w:tcPr>
            <w:tcW w:w="7000" w:type="dxa"/>
            <w:vAlign w:val="bottom"/>
          </w:tcPr>
          <w:p>
            <w:pPr>
              <w:jc w:val="center"/>
              <w:ind w:right="2782"/>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540" w:type="dxa"/>
            <w:vAlign w:val="bottom"/>
          </w:tcPr>
          <w:p>
            <w:pPr>
              <w:jc w:val="center"/>
              <w:ind w:right="2010"/>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740" w:type="dxa"/>
            <w:vAlign w:val="bottom"/>
          </w:tcPr>
          <w:p>
            <w:pPr>
              <w:spacing w:after="0"/>
              <w:rPr>
                <w:sz w:val="16"/>
                <w:szCs w:val="16"/>
                <w:color w:val="auto"/>
              </w:rPr>
            </w:pPr>
          </w:p>
        </w:tc>
        <w:tc>
          <w:tcPr>
            <w:tcW w:w="7000" w:type="dxa"/>
            <w:vAlign w:val="bottom"/>
          </w:tcPr>
          <w:p>
            <w:pPr>
              <w:jc w:val="center"/>
              <w:ind w:right="2742"/>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540" w:type="dxa"/>
            <w:vAlign w:val="bottom"/>
          </w:tcPr>
          <w:p>
            <w:pPr>
              <w:jc w:val="center"/>
              <w:ind w:right="201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9"/>
        </w:trPr>
        <w:tc>
          <w:tcPr>
            <w:tcW w:w="740" w:type="dxa"/>
            <w:vAlign w:val="bottom"/>
          </w:tcPr>
          <w:p>
            <w:pPr>
              <w:spacing w:after="0"/>
              <w:rPr>
                <w:sz w:val="24"/>
                <w:szCs w:val="24"/>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w w:val="99"/>
              </w:rPr>
              <w:t>800 Capitol Street, Suite 3000</w:t>
            </w:r>
          </w:p>
        </w:tc>
        <w:tc>
          <w:tcPr>
            <w:tcW w:w="3540" w:type="dxa"/>
            <w:vAlign w:val="bottom"/>
          </w:tcPr>
          <w:p>
            <w:pPr>
              <w:spacing w:after="0"/>
              <w:rPr>
                <w:sz w:val="24"/>
                <w:szCs w:val="24"/>
                <w:color w:val="auto"/>
              </w:rPr>
            </w:pPr>
          </w:p>
        </w:tc>
      </w:tr>
      <w:tr>
        <w:trPr>
          <w:trHeight w:val="168"/>
        </w:trPr>
        <w:tc>
          <w:tcPr>
            <w:tcW w:w="740" w:type="dxa"/>
            <w:vAlign w:val="bottom"/>
          </w:tcPr>
          <w:p>
            <w:pPr>
              <w:spacing w:after="0"/>
              <w:rPr>
                <w:sz w:val="14"/>
                <w:szCs w:val="14"/>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w w:val="99"/>
              </w:rPr>
              <w:t>Houston, Texas</w:t>
            </w:r>
          </w:p>
        </w:tc>
        <w:tc>
          <w:tcPr>
            <w:tcW w:w="354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rPr>
              <w:t>(713) 512-6200</w:t>
            </w:r>
          </w:p>
        </w:tc>
        <w:tc>
          <w:tcPr>
            <w:tcW w:w="354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185"/>
        </w:trPr>
        <w:tc>
          <w:tcPr>
            <w:tcW w:w="740" w:type="dxa"/>
            <w:vAlign w:val="bottom"/>
          </w:tcPr>
          <w:p>
            <w:pPr>
              <w:spacing w:after="0"/>
              <w:rPr>
                <w:sz w:val="16"/>
                <w:szCs w:val="16"/>
                <w:color w:val="auto"/>
              </w:rPr>
            </w:pPr>
          </w:p>
        </w:tc>
        <w:tc>
          <w:tcPr>
            <w:tcW w:w="7000" w:type="dxa"/>
            <w:vAlign w:val="bottom"/>
          </w:tcPr>
          <w:p>
            <w:pPr>
              <w:jc w:val="center"/>
              <w:ind w:right="2762"/>
              <w:spacing w:after="0"/>
              <w:rPr>
                <w:sz w:val="20"/>
                <w:szCs w:val="20"/>
                <w:color w:val="auto"/>
              </w:rPr>
            </w:pPr>
            <w:r>
              <w:rPr>
                <w:rFonts w:ascii="Times New Roman" w:cs="Times New Roman" w:eastAsia="Times New Roman" w:hAnsi="Times New Roman"/>
                <w:sz w:val="14"/>
                <w:szCs w:val="14"/>
                <w:b w:val="1"/>
                <w:bCs w:val="1"/>
                <w:color w:val="auto"/>
                <w:w w:val="99"/>
              </w:rPr>
              <w:t>(Address of registrants’ principal executive offices)</w:t>
            </w:r>
          </w:p>
        </w:tc>
        <w:tc>
          <w:tcPr>
            <w:tcW w:w="354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1628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Subordinated Debt Securities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16280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716280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483870</wp:posOffset>
            </wp:positionV>
            <wp:extent cx="71628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48" w:name="page49"/>
    <w:bookmarkEnd w:id="48"/>
    <w:p>
      <w:pPr>
        <w:ind w:left="496" w:hanging="496"/>
        <w:spacing w:after="0"/>
        <w:tabs>
          <w:tab w:leader="none" w:pos="496"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75" w:lineRule="exact"/>
        <w:rPr>
          <w:rFonts w:ascii="Times New Roman" w:cs="Times New Roman" w:eastAsia="Times New Roman" w:hAnsi="Times New Roman"/>
          <w:sz w:val="14"/>
          <w:szCs w:val="14"/>
          <w:b w:val="1"/>
          <w:bCs w:val="1"/>
          <w:color w:val="auto"/>
        </w:rPr>
      </w:pPr>
    </w:p>
    <w:p>
      <w:pPr>
        <w:ind w:left="756" w:hanging="252"/>
        <w:spacing w:after="0"/>
        <w:tabs>
          <w:tab w:leader="none" w:pos="756" w:val="left"/>
        </w:tabs>
        <w:numPr>
          <w:ilvl w:val="1"/>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88" w:lineRule="exact"/>
        <w:rPr>
          <w:sz w:val="20"/>
          <w:szCs w:val="20"/>
          <w:color w:val="auto"/>
        </w:rPr>
      </w:pPr>
    </w:p>
    <w:tbl>
      <w:tblPr>
        <w:tblLayout w:type="fixed"/>
        <w:tblInd w:w="756"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color w:val="auto"/>
              </w:rPr>
              <w:t>Name</w:t>
            </w:r>
          </w:p>
        </w:tc>
        <w:tc>
          <w:tcPr>
            <w:tcW w:w="200" w:type="dxa"/>
            <w:vAlign w:val="bottom"/>
          </w:tcPr>
          <w:p>
            <w:pPr>
              <w:spacing w:after="0"/>
              <w:rPr>
                <w:sz w:val="15"/>
                <w:szCs w:val="15"/>
                <w:color w:val="auto"/>
              </w:rPr>
            </w:pPr>
          </w:p>
        </w:tc>
        <w:tc>
          <w:tcPr>
            <w:tcW w:w="50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color w:val="auto"/>
              </w:rPr>
              <w:t>Address</w:t>
            </w:r>
          </w:p>
        </w:tc>
      </w:tr>
      <w:tr>
        <w:trPr>
          <w:trHeight w:val="144"/>
        </w:trPr>
        <w:tc>
          <w:tcPr>
            <w:tcW w:w="20" w:type="dxa"/>
            <w:vAlign w:val="bottom"/>
          </w:tcPr>
          <w:p>
            <w:pPr>
              <w:spacing w:after="0"/>
              <w:rPr>
                <w:sz w:val="12"/>
                <w:szCs w:val="12"/>
                <w:color w:val="auto"/>
              </w:rPr>
            </w:pPr>
          </w:p>
        </w:tc>
        <w:tc>
          <w:tcPr>
            <w:tcW w:w="50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200" w:type="dxa"/>
            <w:vAlign w:val="bottom"/>
          </w:tcPr>
          <w:p>
            <w:pPr>
              <w:spacing w:after="0"/>
              <w:rPr>
                <w:sz w:val="12"/>
                <w:szCs w:val="12"/>
                <w:color w:val="auto"/>
              </w:rPr>
            </w:pPr>
          </w:p>
        </w:tc>
        <w:tc>
          <w:tcPr>
            <w:tcW w:w="50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Stated Department of the Treasury</w:t>
            </w:r>
          </w:p>
        </w:tc>
        <w:tc>
          <w:tcPr>
            <w:tcW w:w="200" w:type="dxa"/>
            <w:vAlign w:val="bottom"/>
          </w:tcPr>
          <w:p>
            <w:pPr>
              <w:spacing w:after="0"/>
              <w:rPr>
                <w:sz w:val="15"/>
                <w:szCs w:val="15"/>
                <w:color w:val="auto"/>
              </w:rPr>
            </w:pPr>
          </w:p>
        </w:tc>
        <w:tc>
          <w:tcPr>
            <w:tcW w:w="5060" w:type="dxa"/>
            <w:vAlign w:val="bottom"/>
          </w:tcPr>
          <w:p>
            <w:pPr>
              <w:spacing w:after="0"/>
              <w:rPr>
                <w:sz w:val="15"/>
                <w:szCs w:val="15"/>
                <w:color w:val="auto"/>
              </w:rPr>
            </w:pPr>
          </w:p>
        </w:tc>
      </w:tr>
      <w:tr>
        <w:trPr>
          <w:trHeight w:val="33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 of San Francisco</w:t>
            </w: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1" w:lineRule="exact"/>
        <w:rPr>
          <w:sz w:val="20"/>
          <w:szCs w:val="20"/>
          <w:color w:val="auto"/>
        </w:rPr>
      </w:pPr>
    </w:p>
    <w:p>
      <w:pPr>
        <w:ind w:left="1016" w:right="6760" w:hanging="512"/>
        <w:spacing w:after="0" w:line="501" w:lineRule="auto"/>
        <w:tabs>
          <w:tab w:leader="none" w:pos="764" w:val="left"/>
        </w:tabs>
        <w:numPr>
          <w:ilvl w:val="1"/>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ind w:left="496" w:hanging="496"/>
        <w:spacing w:after="0"/>
        <w:tabs>
          <w:tab w:leader="none" w:pos="49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 and Guarantor.</w:t>
      </w:r>
    </w:p>
    <w:p>
      <w:pPr>
        <w:spacing w:after="0" w:line="175"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4"/>
          <w:szCs w:val="14"/>
          <w:b w:val="1"/>
          <w:bCs w:val="1"/>
          <w:color w:val="auto"/>
        </w:rPr>
        <w:t>If the obligor or guarantor is an affiliate of the trustee, describe each such affiliation.</w:t>
      </w:r>
    </w:p>
    <w:p>
      <w:pPr>
        <w:spacing w:after="0" w:line="177"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4"/>
          <w:szCs w:val="14"/>
          <w:color w:val="auto"/>
        </w:rPr>
        <w:t>None.</w:t>
      </w:r>
    </w:p>
    <w:p>
      <w:pPr>
        <w:spacing w:after="0" w:line="173" w:lineRule="exact"/>
        <w:rPr>
          <w:sz w:val="20"/>
          <w:szCs w:val="20"/>
          <w:color w:val="auto"/>
        </w:rPr>
      </w:pPr>
    </w:p>
    <w:p>
      <w:pPr>
        <w:ind w:left="516" w:right="120" w:hanging="520"/>
        <w:spacing w:after="0" w:line="285" w:lineRule="auto"/>
        <w:tabs>
          <w:tab w:leader="none" w:pos="496" w:val="left"/>
        </w:tabs>
        <w:rPr>
          <w:sz w:val="20"/>
          <w:szCs w:val="20"/>
          <w:color w:val="auto"/>
        </w:rPr>
      </w:pPr>
      <w:r>
        <w:rPr>
          <w:rFonts w:ascii="Times New Roman" w:cs="Times New Roman" w:eastAsia="Times New Roman" w:hAnsi="Times New Roman"/>
          <w:sz w:val="14"/>
          <w:szCs w:val="14"/>
          <w:b w:val="1"/>
          <w:bCs w:val="1"/>
          <w:color w:val="auto"/>
        </w:rPr>
        <w:t>3-15.</w:t>
        <w:tab/>
        <w:t>Pursuant to General Instruction B of the Form T-1, no responses are included for Items 3-15 of this Form T-1 because, to the best of the Trustee’s knowledge, the obligor or the guarantor is not in default under any Indenture for which the Trustee acts as Trustee and the Trustee is not a foreign trustee as provided under Item 15 .</w:t>
      </w:r>
    </w:p>
    <w:p>
      <w:pPr>
        <w:spacing w:after="0" w:line="122" w:lineRule="exact"/>
        <w:rPr>
          <w:sz w:val="20"/>
          <w:szCs w:val="20"/>
          <w:color w:val="auto"/>
        </w:rPr>
      </w:pPr>
    </w:p>
    <w:p>
      <w:pPr>
        <w:ind w:left="496" w:hanging="496"/>
        <w:spacing w:after="0"/>
        <w:tabs>
          <w:tab w:leader="none" w:pos="496"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sz w:val="20"/>
          <w:szCs w:val="20"/>
          <w:color w:val="auto"/>
        </w:rPr>
      </w:pPr>
    </w:p>
    <w:p>
      <w:pPr>
        <w:ind w:left="1016" w:right="80"/>
        <w:spacing w:after="0" w:line="285" w:lineRule="auto"/>
        <w:rPr>
          <w:sz w:val="20"/>
          <w:szCs w:val="20"/>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24" w:lineRule="exact"/>
        <w:rPr>
          <w:sz w:val="20"/>
          <w:szCs w:val="20"/>
          <w:color w:val="auto"/>
        </w:rPr>
      </w:pPr>
    </w:p>
    <w:p>
      <w:pPr>
        <w:ind w:left="1016" w:right="120" w:hanging="8"/>
        <w:spacing w:after="0" w:line="282" w:lineRule="auto"/>
        <w:tabs>
          <w:tab w:leader="none" w:pos="133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21"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T- 1 filed with Registration Statement No. 333-152875).).</w:t>
      </w:r>
    </w:p>
    <w:p>
      <w:pPr>
        <w:spacing w:after="0" w:line="160"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333-162713).</w:t>
      </w:r>
    </w:p>
    <w:p>
      <w:pPr>
        <w:spacing w:after="0" w:line="175" w:lineRule="exact"/>
        <w:rPr>
          <w:sz w:val="20"/>
          <w:szCs w:val="20"/>
          <w:color w:val="auto"/>
        </w:rPr>
      </w:pPr>
    </w:p>
    <w:p>
      <w:pPr>
        <w:ind w:left="1316" w:hanging="308"/>
        <w:spacing w:after="0"/>
        <w:tabs>
          <w:tab w:leader="none" w:pos="13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1316" w:hanging="308"/>
        <w:spacing w:after="0"/>
        <w:tabs>
          <w:tab w:leader="none" w:pos="13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6280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076"/>
          </w:cols>
          <w:pgMar w:left="304" w:top="732" w:right="519" w:bottom="1440" w:gutter="0" w:footer="0" w:header="0"/>
        </w:sectPr>
      </w:pPr>
    </w:p>
    <w:bookmarkStart w:id="49" w:name="page50"/>
    <w:bookmarkEnd w:id="49"/>
    <w:p>
      <w:pPr>
        <w:jc w:val="center"/>
        <w:ind w:right="180"/>
        <w:spacing w:after="0"/>
        <w:rPr>
          <w:sz w:val="20"/>
          <w:szCs w:val="20"/>
          <w:color w:val="auto"/>
        </w:rPr>
      </w:pPr>
      <w:r>
        <w:rPr>
          <w:rFonts w:ascii="Times New Roman" w:cs="Times New Roman" w:eastAsia="Times New Roman" w:hAnsi="Times New Roman"/>
          <w:sz w:val="14"/>
          <w:szCs w:val="14"/>
          <w:color w:val="auto"/>
        </w:rPr>
        <w:t>SIGNATURE</w:t>
      </w:r>
    </w:p>
    <w:p>
      <w:pPr>
        <w:spacing w:after="0" w:line="22" w:lineRule="exact"/>
        <w:rPr>
          <w:sz w:val="20"/>
          <w:szCs w:val="20"/>
          <w:color w:val="auto"/>
        </w:rPr>
      </w:pPr>
    </w:p>
    <w:p>
      <w:pPr>
        <w:ind w:firstLine="252"/>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Jacksonville, and State of Florida, on July 31, 2025.</w:t>
      </w:r>
    </w:p>
    <w:p>
      <w:pPr>
        <w:spacing w:after="0" w:line="1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5"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Terence Rawlins</w:t>
      </w:r>
    </w:p>
    <w:p>
      <w:pPr>
        <w:spacing w:after="0" w:line="22"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Name:</w:t>
        <w:tab/>
        <w:t>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1628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0960"/>
          </w:cols>
          <w:pgMar w:left="300" w:top="734" w:right="6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At the close of business March 31, 2025, published in accordance with Federal regulatory authority instructions.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9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50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22,273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Interest-bearing balances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232,197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99,690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856,313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114,304</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1,334,040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419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32" w:right="31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Deposits:</w:t>
            </w:r>
          </w:p>
        </w:tc>
        <w:tc>
          <w:tcPr>
            <w:tcW w:w="9140" w:type="dxa"/>
            <w:vAlign w:val="bottom"/>
            <w:tcBorders>
              <w:top w:val="single" w:sz="8" w:color="CCEEFF"/>
            </w:tcBorders>
            <w:gridSpan w:val="2"/>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266,162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267,044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99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107,496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958,504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1,066,996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1,066,996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94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Total liabilities and equity capital</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1,334,040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4"/>
          <w:szCs w:val="14"/>
          <w:color w:val="auto"/>
        </w:rPr>
        <w:t>I, Shana Quinn,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6" w:lineRule="exact"/>
        <w:rPr>
          <w:sz w:val="20"/>
          <w:szCs w:val="20"/>
          <w:color w:val="auto"/>
        </w:rPr>
      </w:pPr>
    </w:p>
    <w:p>
      <w:pPr>
        <w:ind w:left="500"/>
        <w:spacing w:after="0"/>
        <w:tabs>
          <w:tab w:leader="none" w:pos="1500" w:val="left"/>
          <w:tab w:leader="none" w:pos="3080" w:val="left"/>
        </w:tabs>
        <w:rPr>
          <w:sz w:val="20"/>
          <w:szCs w:val="20"/>
          <w:color w:val="auto"/>
        </w:rPr>
      </w:pPr>
      <w:r>
        <w:rPr>
          <w:rFonts w:ascii="Times New Roman" w:cs="Times New Roman" w:eastAsia="Times New Roman" w:hAnsi="Times New Roman"/>
          <w:sz w:val="14"/>
          <w:szCs w:val="14"/>
          <w:color w:val="auto"/>
        </w:rPr>
        <w:t>Shana Quinn</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CFO</w:t>
      </w:r>
    </w:p>
    <w:p>
      <w:pPr>
        <w:spacing w:after="0" w:line="175"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Kevin C. Weeks, President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100" w:type="dxa"/>
            <w:vAlign w:val="bottom"/>
          </w:tcPr>
          <w:p>
            <w:pPr>
              <w:spacing w:after="0"/>
              <w:rPr>
                <w:sz w:val="15"/>
                <w:szCs w:val="15"/>
                <w:color w:val="auto"/>
              </w:rPr>
            </w:pPr>
          </w:p>
        </w:tc>
      </w:tr>
      <w:tr>
        <w:trPr>
          <w:trHeight w:val="189"/>
        </w:trPr>
        <w:tc>
          <w:tcPr>
            <w:tcW w:w="3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Cathleen Sokolowski, Managing Director</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100" w:type="dxa"/>
            <w:vAlign w:val="bottom"/>
          </w:tcPr>
          <w:p>
            <w:pPr>
              <w:jc w:val="right"/>
              <w:ind w:right="481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89"/>
        </w:trPr>
        <w:tc>
          <w:tcPr>
            <w:tcW w:w="3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100" w:type="dxa"/>
            <w:vAlign w:val="bottom"/>
          </w:tcPr>
          <w:p>
            <w:pPr>
              <w:spacing w:after="0"/>
              <w:rPr>
                <w:sz w:val="16"/>
                <w:szCs w:val="16"/>
                <w:color w:val="auto"/>
              </w:rPr>
            </w:pPr>
          </w:p>
        </w:tc>
      </w:tr>
      <w:tr>
        <w:trPr>
          <w:trHeight w:val="525"/>
        </w:trPr>
        <w:tc>
          <w:tcPr>
            <w:tcW w:w="3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724" w:right="319" w:bottom="1440" w:gutter="0" w:footer="0" w:header="0"/>
        </w:sectPr>
      </w:pPr>
    </w:p>
    <w:bookmarkStart w:id="52" w:name="page53"/>
    <w:bookmarkEnd w:id="52"/>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WASTE MANAGEMENT INC</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33655</wp:posOffset>
            </wp:positionV>
            <wp:extent cx="7214235" cy="6795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214235" cy="6795135"/>
                    </a:xfrm>
                    <a:prstGeom prst="rect">
                      <a:avLst/>
                    </a:prstGeom>
                    <a:noFill/>
                  </pic:spPr>
                </pic:pic>
              </a:graphicData>
            </a:graphic>
          </wp:anchor>
        </w:drawing>
      </w:r>
    </w:p>
    <w:p>
      <w:pPr>
        <w:sectPr>
          <w:pgSz w:w="11900" w:h="16838" w:orient="portrait"/>
          <w:cols w:equalWidth="0" w:num="1">
            <w:col w:w="11280"/>
          </w:cols>
          <w:pgMar w:left="340" w:top="142" w:right="279" w:bottom="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651"/>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168"/>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106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06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3"/>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ind w:left="8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Securities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Waste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Management,</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Waste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Management,</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Waste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Management,</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Warrants of</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Waste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Management,</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Guarantees</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of the Debt</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Securities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Waste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Management,</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Inc. by Waste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Management</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Holdings, Inc.</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auto"/>
              </w:rPr>
              <w:t>Units of</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6 Other</w:t>
            </w:r>
          </w:p>
        </w:tc>
        <w:tc>
          <w:tcPr>
            <w:tcW w:w="20" w:type="dxa"/>
            <w:vAlign w:val="bottom"/>
          </w:tcPr>
          <w:p>
            <w:pPr>
              <w:spacing w:after="0"/>
              <w:rPr>
                <w:sz w:val="16"/>
                <w:szCs w:val="16"/>
                <w:color w:val="auto"/>
              </w:rPr>
            </w:pPr>
          </w:p>
        </w:tc>
        <w:tc>
          <w:tcPr>
            <w:tcW w:w="1060" w:type="dxa"/>
            <w:vAlign w:val="bottom"/>
          </w:tcPr>
          <w:p>
            <w:pPr>
              <w:ind w:left="20"/>
              <w:spacing w:after="0" w:line="189" w:lineRule="exact"/>
              <w:rPr>
                <w:sz w:val="20"/>
                <w:szCs w:val="20"/>
                <w:color w:val="auto"/>
              </w:rPr>
            </w:pPr>
            <w:r>
              <w:rPr>
                <w:rFonts w:ascii="Arial" w:cs="Arial" w:eastAsia="Arial" w:hAnsi="Arial"/>
                <w:sz w:val="17"/>
                <w:szCs w:val="17"/>
                <w:color w:val="auto"/>
              </w:rPr>
              <w:t>Waste</w:t>
            </w:r>
          </w:p>
        </w:tc>
        <w:tc>
          <w:tcPr>
            <w:tcW w:w="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auto"/>
                <w:w w:val="98"/>
              </w:rPr>
              <w:t>Management,</w:t>
            </w: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7"/>
          <w:szCs w:val="17"/>
          <w:color w:val="auto"/>
        </w:rPr>
        <w:t>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Previously</w:t>
      </w:r>
    </w:p>
    <w:p>
      <w:pPr>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Carry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Forward</w:t>
      </w:r>
    </w:p>
    <w:p>
      <w:pPr>
        <w:spacing w:after="0"/>
        <w:rPr>
          <w:sz w:val="20"/>
          <w:szCs w:val="20"/>
          <w:color w:val="auto"/>
        </w:rPr>
      </w:pPr>
      <w:r>
        <w:rPr>
          <w:rFonts w:ascii="Arial" w:cs="Arial" w:eastAsia="Arial" w:hAnsi="Arial"/>
          <w:sz w:val="17"/>
          <w:szCs w:val="17"/>
          <w:color w:val="auto"/>
        </w:rPr>
        <w:t>Securities</w:t>
      </w:r>
    </w:p>
    <w:p>
      <w:pPr>
        <w:spacing w:after="0" w:line="20" w:lineRule="exact"/>
        <w:rPr>
          <w:sz w:val="20"/>
          <w:szCs w:val="20"/>
          <w:color w:val="auto"/>
        </w:rPr>
      </w:pPr>
    </w:p>
    <w:tbl>
      <w:tblPr>
        <w:tblLayout w:type="fixed"/>
        <w:tblInd w:w="2540" w:type="dxa"/>
        <w:tblCellMar>
          <w:top w:w="0" w:type="dxa"/>
          <w:left w:w="0" w:type="dxa"/>
          <w:bottom w:w="0" w:type="dxa"/>
          <w:right w:w="0" w:type="dxa"/>
        </w:tblCellMar>
      </w:tblPr>
      <w:tr>
        <w:trPr>
          <w:trHeight w:val="222"/>
        </w:trPr>
        <w:tc>
          <w:tcPr>
            <w:tcW w:w="2660" w:type="dxa"/>
            <w:vAlign w:val="bottom"/>
          </w:tcPr>
          <w:p>
            <w:pPr>
              <w:jc w:val="right"/>
              <w:ind w:right="536"/>
              <w:spacing w:after="0"/>
              <w:rPr>
                <w:sz w:val="20"/>
                <w:szCs w:val="20"/>
                <w:color w:val="auto"/>
              </w:rPr>
            </w:pPr>
            <w:r>
              <w:rPr>
                <w:rFonts w:ascii="Arial" w:cs="Arial" w:eastAsia="Arial" w:hAnsi="Arial"/>
                <w:sz w:val="17"/>
                <w:szCs w:val="17"/>
                <w:color w:val="auto"/>
              </w:rPr>
              <w:t>Total Offering Amounts:</w:t>
            </w:r>
          </w:p>
        </w:tc>
        <w:tc>
          <w:tcPr>
            <w:tcW w:w="1780" w:type="dxa"/>
            <w:vAlign w:val="bottom"/>
          </w:tcPr>
          <w:p>
            <w:pPr>
              <w:jc w:val="right"/>
              <w:ind w:right="616"/>
              <w:spacing w:after="0"/>
              <w:rPr>
                <w:sz w:val="20"/>
                <w:szCs w:val="20"/>
                <w:color w:val="auto"/>
              </w:rPr>
            </w:pPr>
            <w:r>
              <w:rPr>
                <w:rFonts w:ascii="Arial" w:cs="Arial" w:eastAsia="Arial" w:hAnsi="Arial"/>
                <w:sz w:val="17"/>
                <w:szCs w:val="17"/>
                <w:color w:val="auto"/>
              </w:rPr>
              <w:t>$ 0.00</w:t>
            </w:r>
          </w:p>
        </w:tc>
        <w:tc>
          <w:tcPr>
            <w:tcW w:w="116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60" w:type="dxa"/>
            <w:vAlign w:val="bottom"/>
          </w:tcPr>
          <w:p>
            <w:pPr>
              <w:jc w:val="right"/>
              <w:ind w:right="536"/>
              <w:spacing w:after="0"/>
              <w:rPr>
                <w:sz w:val="20"/>
                <w:szCs w:val="20"/>
                <w:color w:val="auto"/>
              </w:rPr>
            </w:pPr>
            <w:r>
              <w:rPr>
                <w:rFonts w:ascii="Arial" w:cs="Arial" w:eastAsia="Arial" w:hAnsi="Arial"/>
                <w:sz w:val="17"/>
                <w:szCs w:val="17"/>
                <w:color w:val="auto"/>
                <w:w w:val="97"/>
              </w:rPr>
              <w:t>Total Fees Previously Paid:</w:t>
            </w:r>
          </w:p>
        </w:tc>
        <w:tc>
          <w:tcPr>
            <w:tcW w:w="1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60" w:type="dxa"/>
            <w:vAlign w:val="bottom"/>
          </w:tcPr>
          <w:p>
            <w:pPr>
              <w:jc w:val="right"/>
              <w:ind w:right="536"/>
              <w:spacing w:after="0"/>
              <w:rPr>
                <w:sz w:val="20"/>
                <w:szCs w:val="20"/>
                <w:color w:val="auto"/>
              </w:rPr>
            </w:pPr>
            <w:r>
              <w:rPr>
                <w:rFonts w:ascii="Arial" w:cs="Arial" w:eastAsia="Arial" w:hAnsi="Arial"/>
                <w:sz w:val="17"/>
                <w:szCs w:val="17"/>
                <w:color w:val="auto"/>
              </w:rPr>
              <w:t>Total Fee Offsets:</w:t>
            </w:r>
          </w:p>
        </w:tc>
        <w:tc>
          <w:tcPr>
            <w:tcW w:w="1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60" w:type="dxa"/>
            <w:vAlign w:val="bottom"/>
          </w:tcPr>
          <w:p>
            <w:pPr>
              <w:jc w:val="right"/>
              <w:ind w:right="536"/>
              <w:spacing w:after="0"/>
              <w:rPr>
                <w:sz w:val="20"/>
                <w:szCs w:val="20"/>
                <w:color w:val="auto"/>
              </w:rPr>
            </w:pPr>
            <w:r>
              <w:rPr>
                <w:rFonts w:ascii="Arial" w:cs="Arial" w:eastAsia="Arial" w:hAnsi="Arial"/>
                <w:sz w:val="17"/>
                <w:szCs w:val="17"/>
                <w:color w:val="auto"/>
              </w:rPr>
              <w:t>Net Fee Due:</w:t>
            </w:r>
          </w:p>
        </w:tc>
        <w:tc>
          <w:tcPr>
            <w:tcW w:w="1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ind w:right="180" w:firstLine="131"/>
        <w:spacing w:after="0" w:line="187"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1" w:lineRule="auto"/>
        <w:tabs>
          <w:tab w:leader="none" w:pos="780" w:val="left"/>
        </w:tabs>
        <w:rPr>
          <w:sz w:val="20"/>
          <w:szCs w:val="20"/>
          <w:color w:val="auto"/>
        </w:rPr>
      </w:pPr>
      <w:r>
        <w:rPr>
          <w:rFonts w:ascii="Arial" w:cs="Arial" w:eastAsia="Arial" w:hAnsi="Arial"/>
          <w:sz w:val="22"/>
          <w:szCs w:val="22"/>
          <w:b w:val="1"/>
          <w:bCs w:val="1"/>
          <w:color w:val="auto"/>
          <w:vertAlign w:val="subscript"/>
        </w:rPr>
        <w:t>Date</w:t>
      </w:r>
      <w:r>
        <w:rPr>
          <w:sz w:val="20"/>
          <w:szCs w:val="20"/>
          <w:color w:val="auto"/>
        </w:rPr>
        <w:tab/>
      </w:r>
      <w:r>
        <w:rPr>
          <w:rFonts w:ascii="Arial" w:cs="Arial" w:eastAsia="Arial" w:hAnsi="Arial"/>
          <w:sz w:val="13"/>
          <w:szCs w:val="13"/>
          <w:b w:val="1"/>
          <w:bCs w:val="1"/>
          <w:color w:val="auto"/>
        </w:rPr>
        <w:t>Securities</w:t>
      </w:r>
    </w:p>
    <w:p>
      <w:pPr>
        <w:ind w:left="1000"/>
        <w:spacing w:after="0" w:line="232" w:lineRule="auto"/>
        <w:rPr>
          <w:sz w:val="20"/>
          <w:szCs w:val="20"/>
          <w:color w:val="auto"/>
        </w:rPr>
      </w:pPr>
      <w:r>
        <w:rPr>
          <w:rFonts w:ascii="Arial" w:cs="Arial" w:eastAsia="Arial" w:hAnsi="Arial"/>
          <w:sz w:val="17"/>
          <w:szCs w:val="17"/>
          <w:b w:val="1"/>
          <w:bCs w:val="1"/>
          <w:color w:val="auto"/>
        </w:rPr>
        <w:t>to be</w:t>
      </w:r>
    </w:p>
    <w:p>
      <w:pPr>
        <w:ind w:left="900"/>
        <w:spacing w:after="0" w:line="232" w:lineRule="auto"/>
        <w:rPr>
          <w:sz w:val="20"/>
          <w:szCs w:val="20"/>
          <w:color w:val="auto"/>
        </w:rPr>
      </w:pPr>
      <w:r>
        <w:rPr>
          <w:rFonts w:ascii="Arial" w:cs="Arial" w:eastAsia="Arial" w:hAnsi="Arial"/>
          <w:sz w:val="17"/>
          <w:szCs w:val="17"/>
          <w:b w:val="1"/>
          <w:bCs w:val="1"/>
          <w:color w:val="auto"/>
        </w:rPr>
        <w:t>Carried</w:t>
      </w:r>
    </w:p>
    <w:p>
      <w:pPr>
        <w:ind w:left="880"/>
        <w:spacing w:after="0"/>
        <w:rPr>
          <w:sz w:val="20"/>
          <w:szCs w:val="20"/>
          <w:color w:val="auto"/>
        </w:rPr>
      </w:pPr>
      <w:r>
        <w:rPr>
          <w:rFonts w:ascii="Arial" w:cs="Arial" w:eastAsia="Arial" w:hAnsi="Arial"/>
          <w:sz w:val="17"/>
          <w:szCs w:val="17"/>
          <w:b w:val="1"/>
          <w:bCs w:val="1"/>
          <w:color w:val="auto"/>
        </w:rPr>
        <w:t>Forward</w:t>
      </w:r>
    </w:p>
    <w:p>
      <w:pPr>
        <w:spacing w:after="0" w:line="8927" w:lineRule="exact"/>
        <w:rPr>
          <w:sz w:val="20"/>
          <w:szCs w:val="20"/>
          <w:color w:val="auto"/>
        </w:rPr>
      </w:pPr>
    </w:p>
    <w:p>
      <w:pPr>
        <w:sectPr>
          <w:pgSz w:w="11900" w:h="16838" w:orient="portrait"/>
          <w:cols w:equalWidth="0" w:num="2">
            <w:col w:w="9580" w:space="40"/>
            <w:col w:w="1660"/>
          </w:cols>
          <w:pgMar w:left="340" w:top="142" w:right="279" w:bottom="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Any securities registered hereunder may be sold separately or as units with any other securities registered hereunder.</w:t>
      </w:r>
    </w:p>
    <w:p>
      <w:pPr>
        <w:spacing w:after="0" w:line="183" w:lineRule="exact"/>
        <w:rPr>
          <w:sz w:val="20"/>
          <w:szCs w:val="20"/>
          <w:color w:val="auto"/>
        </w:rPr>
      </w:pPr>
    </w:p>
    <w:p>
      <w:pPr>
        <w:ind w:left="180" w:right="360"/>
        <w:spacing w:after="0" w:line="296" w:lineRule="auto"/>
        <w:rPr>
          <w:sz w:val="20"/>
          <w:szCs w:val="20"/>
          <w:color w:val="auto"/>
        </w:rPr>
      </w:pPr>
      <w:r>
        <w:rPr>
          <w:rFonts w:ascii="Arial" w:cs="Arial" w:eastAsia="Arial" w:hAnsi="Arial"/>
          <w:sz w:val="16"/>
          <w:szCs w:val="16"/>
          <w:color w:val="auto"/>
        </w:rPr>
        <w:t>In accordance with Rule 456(b) and Rule 457(r) under the Securities Act of 1933, as amended (the "Securities Act"), the registrants are deferring payment of all of the registration fees required in connection with this Registration Statement and will pay such fees on a pay-as-you-go basis.</w:t>
      </w:r>
    </w:p>
    <w:p>
      <w:pPr>
        <w:spacing w:after="0" w:line="113" w:lineRule="exact"/>
        <w:rPr>
          <w:sz w:val="20"/>
          <w:szCs w:val="20"/>
          <w:color w:val="auto"/>
        </w:rPr>
      </w:pPr>
    </w:p>
    <w:p>
      <w:pPr>
        <w:ind w:left="180" w:right="360"/>
        <w:spacing w:after="0"/>
        <w:rPr>
          <w:sz w:val="20"/>
          <w:szCs w:val="20"/>
          <w:color w:val="auto"/>
        </w:rPr>
      </w:pPr>
      <w:r>
        <w:rPr>
          <w:rFonts w:ascii="Arial" w:cs="Arial" w:eastAsia="Arial" w:hAnsi="Arial"/>
          <w:sz w:val="17"/>
          <w:szCs w:val="17"/>
          <w:color w:val="auto"/>
        </w:rPr>
        <w:t>An indeterminate number or amount of debt securities, common stock, preferred stock, warrants, guarantees of debt securities and units is being registered as may from time to time be issued by the registrants at indeterminate prices and as may be issuable upon exercise, conversion, redemption, settlement or exchange of any securities registered hereunder, including under any applicable antidilution provisions. Separate consideration may or may not be received for securities that are issuable on exercise, conversion, redemption, settlement or exchange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60325</wp:posOffset>
            </wp:positionV>
            <wp:extent cx="7047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76835</wp:posOffset>
            </wp:positionV>
            <wp:extent cx="7047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280"/>
          </w:cols>
          <w:pgMar w:left="340" w:top="142" w:right="279" w:bottom="0" w:gutter="0" w:footer="0" w:header="0"/>
          <w:type w:val="continuous"/>
        </w:sectPr>
      </w:pP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83820</wp:posOffset>
            </wp:positionV>
            <wp:extent cx="7047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ectPr>
          <w:pgSz w:w="11900" w:h="16838" w:orient="portrait"/>
          <w:cols w:equalWidth="0" w:num="1">
            <w:col w:w="11280"/>
          </w:cols>
          <w:pgMar w:left="340" w:top="142" w:right="279" w:bottom="0" w:gutter="0" w:footer="0" w:header="0"/>
          <w:type w:val="continuous"/>
        </w:sectPr>
      </w:pPr>
    </w:p>
    <w:bookmarkStart w:id="53" w:name="page54"/>
    <w:bookmarkEnd w:id="53"/>
    <w:p>
      <w:pPr>
        <w:spacing w:after="0"/>
        <w:rPr>
          <w:sz w:val="20"/>
          <w:szCs w:val="20"/>
          <w:color w:val="auto"/>
        </w:rPr>
      </w:pPr>
      <w:r>
        <w:rPr>
          <w:rFonts w:ascii="Arial" w:cs="Arial" w:eastAsia="Arial" w:hAnsi="Arial"/>
          <w:sz w:val="11"/>
          <w:szCs w:val="11"/>
          <w:color w:val="auto"/>
        </w:rPr>
        <w:t>4</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76835</wp:posOffset>
            </wp:positionV>
            <wp:extent cx="7047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Any securities registered hereunder may be sold separately or as units with any other securities registered hereunder.</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 indeterminate number or amount of debt securities, common stock, preferred stock, warrants, guarantees of debt securities and units is being registered as may from time to time be issued by the registrants at indeterminate prices and as may be issuable upon exercise, conversion, redemption, settlement or exchange of any securities registered hereunder, including under any applicable antidilution provisions. Separate consideration may or may not be received for securities that are issuable on exercise, conversion, redemption, settlement or exchange of other securities.</w:t>
      </w:r>
    </w:p>
    <w:p>
      <w:pPr>
        <w:spacing w:after="0" w:line="157" w:lineRule="exact"/>
        <w:rPr>
          <w:sz w:val="20"/>
          <w:szCs w:val="20"/>
          <w:color w:val="auto"/>
        </w:rPr>
      </w:pPr>
    </w:p>
    <w:p>
      <w:pPr>
        <w:ind w:left="180" w:right="500"/>
        <w:spacing w:after="0" w:line="264" w:lineRule="auto"/>
        <w:rPr>
          <w:sz w:val="20"/>
          <w:szCs w:val="20"/>
          <w:color w:val="auto"/>
        </w:rPr>
      </w:pPr>
      <w:r>
        <w:rPr>
          <w:rFonts w:ascii="Arial" w:cs="Arial" w:eastAsia="Arial" w:hAnsi="Arial"/>
          <w:sz w:val="17"/>
          <w:szCs w:val="17"/>
          <w:color w:val="auto"/>
        </w:rPr>
        <w:t>Waste Management Holdings, Inc. may fully and unconditionally guarantee any series of debt securities of Waste Management, Inc. being registered. Pursuant to Rule 457(n) under the Securities Act, no separate fee is payable with respect to such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47625</wp:posOffset>
            </wp:positionV>
            <wp:extent cx="7047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76835</wp:posOffset>
            </wp:positionV>
            <wp:extent cx="7047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sectPr>
      <w:pgSz w:w="11900" w:h="16838" w:orient="portrait"/>
      <w:cols w:equalWidth="0" w:num="1">
        <w:col w:w="10920"/>
      </w:cols>
      <w:pgMar w:left="340" w:top="13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Letter"/>
      <w:start w:val="1"/>
    </w:lvl>
    <w:lvl w:ilvl="1">
      <w:lvlJc w:val="left"/>
      <w:lvlText w:val="•"/>
      <w:numFmt w:val="bullet"/>
      <w:start w:val="1"/>
    </w:lvl>
  </w:abstractNum>
  <w:abstractNum w:abstractNumId="21">
    <w:nsid w:val="2463B9EA"/>
    <w:multiLevelType w:val="hybridMultilevel"/>
    <w:lvl w:ilvl="0">
      <w:lvlJc w:val="left"/>
      <w:lvlText w:val="(%1)"/>
      <w:numFmt w:val="lowerLetter"/>
      <w:start w:val="14"/>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lvl w:ilvl="1">
      <w:lvlJc w:val="left"/>
      <w:lvlText w:val="(%2)"/>
      <w:numFmt w:val="lowerRoman"/>
      <w:start w:val="1"/>
    </w:lvl>
  </w:abstractNum>
  <w:abstractNum w:abstractNumId="31">
    <w:nsid w:val="1D4ED43B"/>
    <w:multiLevelType w:val="hybridMultilevel"/>
    <w:lvl w:ilvl="0">
      <w:lvlJc w:val="left"/>
      <w:lvlText w:val="(%1)"/>
      <w:numFmt w:val="decimal"/>
      <w:start w:val="2"/>
    </w:lvl>
  </w:abstractNum>
  <w:abstractNum w:abstractNumId="32">
    <w:nsid w:val="725A06FB"/>
    <w:multiLevelType w:val="hybridMultilevel"/>
    <w:lvl w:ilvl="0">
      <w:lvlJc w:val="left"/>
      <w:lvlText w:val="(%1)"/>
      <w:numFmt w:val="decimal"/>
      <w:start w:val="3"/>
    </w:lvl>
    <w:lvl w:ilvl="1">
      <w:lvlJc w:val="left"/>
      <w:lvlText w:val="(%2)"/>
      <w:numFmt w:val="lowerRoman"/>
      <w:start w:val="1"/>
    </w:lvl>
  </w:abstractNum>
  <w:abstractNum w:abstractNumId="33">
    <w:nsid w:val="2CD89A32"/>
    <w:multiLevelType w:val="hybridMultilevel"/>
    <w:lvl w:ilvl="0">
      <w:lvlJc w:val="left"/>
      <w:lvlText w:val="(%1)"/>
      <w:numFmt w:val="decimal"/>
      <w:start w:val="8"/>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Roman"/>
      <w:start w:val="3"/>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35"/>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4"/>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2"/>
    </w:lvl>
  </w:abstractNum>
  <w:abstractNum w:abstractNumId="45">
    <w:nsid w:val="3DC240FB"/>
    <w:multiLevelType w:val="hybridMultilevel"/>
    <w:lvl w:ilvl="0">
      <w:lvlJc w:val="left"/>
      <w:lvlText w:val="%1."/>
      <w:numFmt w:val="decimal"/>
      <w:start w:val="2"/>
    </w:lvl>
    <w:lvl w:ilvl="1">
      <w:lvlJc w:val="left"/>
      <w:lvlText w:val="%2"/>
      <w:numFmt w:val="lowerLetter"/>
      <w:start w:val="1"/>
    </w:lvl>
  </w:abstractNum>
  <w:abstractNum w:abstractNumId="46">
    <w:nsid w:val="1BA026FA"/>
    <w:multiLevelType w:val="hybridMultilevel"/>
    <w:lvl w:ilvl="0">
      <w:lvlJc w:val="left"/>
      <w:lvlText w:val="%1."/>
      <w:numFmt w:val="decimal"/>
      <w:start w:val="16"/>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6"/>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2"/>
    </w:lvl>
  </w:abstractNum>
  <w:abstractNum w:abstractNumId="51">
    <w:nsid w:val="520EEDD1"/>
    <w:multiLevelType w:val="hybridMultilevel"/>
    <w:lvl w:ilvl="0">
      <w:lvlJc w:val="left"/>
      <w:lvlText w:val="%1."/>
      <w:numFmt w:val="decimal"/>
      <w:start w:val="2"/>
    </w:lvl>
    <w:lvl w:ilvl="1">
      <w:lvlJc w:val="left"/>
      <w:lvlText w:val="%2"/>
      <w:numFmt w:val="lowerLetter"/>
      <w:start w:val="1"/>
    </w:lvl>
  </w:abstractNum>
  <w:abstractNum w:abstractNumId="52">
    <w:nsid w:val="374A3FE6"/>
    <w:multiLevelType w:val="hybridMultilevel"/>
    <w:lvl w:ilvl="0">
      <w:lvlJc w:val="left"/>
      <w:lvlText w:val="%1."/>
      <w:numFmt w:val="decimal"/>
      <w:start w:val="16"/>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jpeg"/><Relationship Id="rId96" Type="http://schemas.openxmlformats.org/officeDocument/2006/relationships/image" Target="media/image74.png"/><Relationship Id="rId97" Type="http://schemas.openxmlformats.org/officeDocument/2006/relationships/image" Target="media/image75.jpeg"/><Relationship Id="rId98" Type="http://schemas.openxmlformats.org/officeDocument/2006/relationships/image" Target="media/image76.png"/><Relationship Id="rId99" Type="http://schemas.openxmlformats.org/officeDocument/2006/relationships/image" Target="media/image77.jpeg"/><Relationship Id="rId100" Type="http://schemas.openxmlformats.org/officeDocument/2006/relationships/image" Target="media/image78.png"/><Relationship Id="rId101" Type="http://schemas.openxmlformats.org/officeDocument/2006/relationships/image" Target="media/image79.jpe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29" Type="http://schemas.openxmlformats.org/officeDocument/2006/relationships/hyperlink" Target="http://www.sec.gov/ix?doc=/Archives/edgar/data/823768/000155837025001132/wm-20241231x10k.htm" TargetMode="External"/><Relationship Id="rId30" Type="http://schemas.openxmlformats.org/officeDocument/2006/relationships/hyperlink" Target="http://www.sec.gov/ix?doc=/Archives/edgar/data/823768/000155837025005805/wm-20250331x10q.htm" TargetMode="External"/><Relationship Id="rId31" Type="http://schemas.openxmlformats.org/officeDocument/2006/relationships/hyperlink" Target="http://www.sec.gov/ix?doc=/Archives/edgar/data/823768/000155837025009726/wm-20250630x10q.htm" TargetMode="External"/><Relationship Id="rId32" Type="http://schemas.openxmlformats.org/officeDocument/2006/relationships/hyperlink" Target="http://www.sec.gov/ix?doc=/Archives/edgar/data/823768/000110465925019125/tm257911d1_8k.htm" TargetMode="External"/><Relationship Id="rId33" Type="http://schemas.openxmlformats.org/officeDocument/2006/relationships/hyperlink" Target="http://www.sec.gov/ix?doc=/Archives/edgar/data/823768/000110465925048604/tm2514999d2_8k.htm" TargetMode="External"/><Relationship Id="rId34" Type="http://schemas.openxmlformats.org/officeDocument/2006/relationships/hyperlink" Target="http://www.sec.gov/ix?doc=/Archives/edgar/data/823768/000110465925048609/tm2514999d1_8k.htm" TargetMode="External"/><Relationship Id="rId35" Type="http://schemas.openxmlformats.org/officeDocument/2006/relationships/hyperlink" Target="http://www.sec.gov/Archives/edgar/data/823768/000155837025001132/wm-20241231xex4d6.htm" TargetMode="External"/><Relationship Id="rId61" Type="http://schemas.openxmlformats.org/officeDocument/2006/relationships/hyperlink" Target="http://www.sec.gov/Archives/edgar/data/823768/000110465924063047/tm2412128d3_ex3-2.htm" TargetMode="External"/><Relationship Id="rId62" Type="http://schemas.openxmlformats.org/officeDocument/2006/relationships/hyperlink" Target="http://www.sec.gov/Archives/edgar/data/823768/000110465923115047/tm2329883d1_ex3-2.htm" TargetMode="External"/><Relationship Id="rId63" Type="http://schemas.openxmlformats.org/officeDocument/2006/relationships/hyperlink" Target="http://www.sec.gov/Archives/edgar/data/823768/000095012315002550/d793975dex42.htm" TargetMode="External"/><Relationship Id="rId64" Type="http://schemas.openxmlformats.org/officeDocument/2006/relationships/hyperlink" Target="http://www.sec.gov/Archives/edgar/data/823768/000119312514283972/d740524dex43.htm" TargetMode="External"/><Relationship Id="rId65" Type="http://schemas.openxmlformats.org/officeDocument/2006/relationships/hyperlink" Target="http://www.sec.gov/Archives/edgar/data/823768/0000950129-99-001268-index.htm" TargetMode="External"/><Relationship Id="rId66" Type="http://schemas.openxmlformats.org/officeDocument/2006/relationships/hyperlink" Target="http://www.sec.gov/Archives/edgar/data/823768/0000950129-97-000380-index.htm" TargetMode="External"/><Relationship Id="rId69" Type="http://schemas.openxmlformats.org/officeDocument/2006/relationships/hyperlink" Target="http://www.sec.gov/Archives/edgar/data/823768/0000950129-97-003909-index.htm" TargetMode="External"/><Relationship Id="rId70" Type="http://schemas.openxmlformats.org/officeDocument/2006/relationships/hyperlink" Target="http://www.sec.gov/Archives/edgar/data/823768/000155837025009726/wm-20250630xex2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2025-07-31T15:48:37Z</dcterms:created>
  <dcterms:modified xsi:type="dcterms:W3CDTF">2025-07-31T15:48:37Z</dcterms:modified>
</cp:coreProperties>
</file>