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13,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At the Annual Meeting of Waste Management, Inc. (the “Company”), a total of 426,423,629 shares of the Company’s common stock, out of a total of 475,145,633 shares of common stock outstanding and entitled to vote, were present in person or represented by proxies. The proposals set forth below were voted on by the Company’s stockholders at the Annual Meeting, and each of proposals 1, 2, 3 and 5 were approved by the Company’s stockholders.</w:t>
      </w:r>
    </w:p>
    <w:p>
      <w:pPr>
        <w:spacing w:after="0" w:line="3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eight director nominees: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4"/>
                <w:szCs w:val="14"/>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Abstentions</w:t>
            </w:r>
          </w:p>
        </w:tc>
        <w:tc>
          <w:tcPr>
            <w:tcW w:w="62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Affirmative Votes</w:t>
            </w:r>
          </w:p>
        </w:tc>
        <w:tc>
          <w:tcPr>
            <w:tcW w:w="6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Negative Votes</w:t>
            </w:r>
          </w:p>
        </w:tc>
        <w:tc>
          <w:tcPr>
            <w:tcW w:w="6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Non-Votes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2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360,212,056</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5,118,198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1,489,500</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Frank M. Clark, Jr.</w:t>
            </w:r>
          </w:p>
        </w:tc>
        <w:tc>
          <w:tcPr>
            <w:tcW w:w="2180" w:type="dxa"/>
            <w:vAlign w:val="bottom"/>
            <w:gridSpan w:val="3"/>
          </w:tcPr>
          <w:p>
            <w:pPr>
              <w:jc w:val="right"/>
              <w:ind w:right="600"/>
              <w:spacing w:after="0"/>
              <w:rPr>
                <w:sz w:val="20"/>
                <w:szCs w:val="20"/>
                <w:color w:val="auto"/>
              </w:rPr>
            </w:pPr>
            <w:r>
              <w:rPr>
                <w:rFonts w:ascii="Arial" w:cs="Arial" w:eastAsia="Arial" w:hAnsi="Arial"/>
                <w:sz w:val="18"/>
                <w:szCs w:val="18"/>
                <w:color w:val="auto"/>
              </w:rPr>
              <w:t>364,743,567</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592,711</w:t>
            </w:r>
          </w:p>
        </w:tc>
        <w:tc>
          <w:tcPr>
            <w:tcW w:w="840" w:type="dxa"/>
            <w:vAlign w:val="bottom"/>
          </w:tcPr>
          <w:p>
            <w:pPr>
              <w:jc w:val="right"/>
              <w:spacing w:after="0"/>
              <w:rPr>
                <w:sz w:val="20"/>
                <w:szCs w:val="20"/>
                <w:color w:val="auto"/>
              </w:rPr>
            </w:pPr>
            <w:r>
              <w:rPr>
                <w:rFonts w:ascii="Arial" w:cs="Arial" w:eastAsia="Arial" w:hAnsi="Arial"/>
                <w:sz w:val="18"/>
                <w:szCs w:val="18"/>
                <w:color w:val="auto"/>
              </w:rPr>
              <w:t>1,483,476</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2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317,779,361</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47,470,648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1,569,745</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John C. Pope</w:t>
            </w:r>
          </w:p>
        </w:tc>
        <w:tc>
          <w:tcPr>
            <w:tcW w:w="2180" w:type="dxa"/>
            <w:vAlign w:val="bottom"/>
            <w:gridSpan w:val="3"/>
          </w:tcPr>
          <w:p>
            <w:pPr>
              <w:jc w:val="right"/>
              <w:ind w:right="600"/>
              <w:spacing w:after="0"/>
              <w:rPr>
                <w:sz w:val="20"/>
                <w:szCs w:val="20"/>
                <w:color w:val="auto"/>
              </w:rPr>
            </w:pPr>
            <w:r>
              <w:rPr>
                <w:rFonts w:ascii="Arial" w:cs="Arial" w:eastAsia="Arial" w:hAnsi="Arial"/>
                <w:sz w:val="18"/>
                <w:szCs w:val="18"/>
                <w:color w:val="auto"/>
              </w:rPr>
              <w:t>346,697,968</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18,624,824</w:t>
            </w:r>
          </w:p>
        </w:tc>
        <w:tc>
          <w:tcPr>
            <w:tcW w:w="840" w:type="dxa"/>
            <w:vAlign w:val="bottom"/>
          </w:tcPr>
          <w:p>
            <w:pPr>
              <w:jc w:val="right"/>
              <w:spacing w:after="0"/>
              <w:rPr>
                <w:sz w:val="20"/>
                <w:szCs w:val="20"/>
                <w:color w:val="auto"/>
              </w:rPr>
            </w:pPr>
            <w:r>
              <w:rPr>
                <w:rFonts w:ascii="Arial" w:cs="Arial" w:eastAsia="Arial" w:hAnsi="Arial"/>
                <w:sz w:val="18"/>
                <w:szCs w:val="18"/>
                <w:color w:val="auto"/>
              </w:rPr>
              <w:t>1,496,962</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364,633,227</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698,609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1,487,918</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Steven G. Rothmeier</w:t>
            </w:r>
          </w:p>
        </w:tc>
        <w:tc>
          <w:tcPr>
            <w:tcW w:w="2180" w:type="dxa"/>
            <w:vAlign w:val="bottom"/>
            <w:gridSpan w:val="3"/>
          </w:tcPr>
          <w:p>
            <w:pPr>
              <w:jc w:val="right"/>
              <w:ind w:right="600"/>
              <w:spacing w:after="0"/>
              <w:rPr>
                <w:sz w:val="20"/>
                <w:szCs w:val="20"/>
                <w:color w:val="auto"/>
              </w:rPr>
            </w:pPr>
            <w:r>
              <w:rPr>
                <w:rFonts w:ascii="Arial" w:cs="Arial" w:eastAsia="Arial" w:hAnsi="Arial"/>
                <w:sz w:val="18"/>
                <w:szCs w:val="18"/>
                <w:color w:val="auto"/>
              </w:rPr>
              <w:t>361,160,504</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4,172,401</w:t>
            </w:r>
          </w:p>
        </w:tc>
        <w:tc>
          <w:tcPr>
            <w:tcW w:w="840" w:type="dxa"/>
            <w:vAlign w:val="bottom"/>
          </w:tcPr>
          <w:p>
            <w:pPr>
              <w:jc w:val="right"/>
              <w:spacing w:after="0"/>
              <w:rPr>
                <w:sz w:val="20"/>
                <w:szCs w:val="20"/>
                <w:color w:val="auto"/>
              </w:rPr>
            </w:pPr>
            <w:r>
              <w:rPr>
                <w:rFonts w:ascii="Arial" w:cs="Arial" w:eastAsia="Arial" w:hAnsi="Arial"/>
                <w:sz w:val="18"/>
                <w:szCs w:val="18"/>
                <w:color w:val="auto"/>
              </w:rPr>
              <w:t>1,486,849</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2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356,202,286</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9,057,237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1,560,231</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Thomas H. Weidemeyer</w:t>
            </w:r>
          </w:p>
        </w:tc>
        <w:tc>
          <w:tcPr>
            <w:tcW w:w="2180" w:type="dxa"/>
            <w:vAlign w:val="bottom"/>
            <w:gridSpan w:val="3"/>
          </w:tcPr>
          <w:p>
            <w:pPr>
              <w:jc w:val="right"/>
              <w:ind w:right="600"/>
              <w:spacing w:after="0"/>
              <w:rPr>
                <w:sz w:val="20"/>
                <w:szCs w:val="20"/>
                <w:color w:val="auto"/>
              </w:rPr>
            </w:pPr>
            <w:r>
              <w:rPr>
                <w:rFonts w:ascii="Arial" w:cs="Arial" w:eastAsia="Arial" w:hAnsi="Arial"/>
                <w:sz w:val="18"/>
                <w:szCs w:val="18"/>
                <w:color w:val="auto"/>
              </w:rPr>
              <w:t>364,679,398</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660,501</w:t>
            </w:r>
          </w:p>
        </w:tc>
        <w:tc>
          <w:tcPr>
            <w:tcW w:w="840" w:type="dxa"/>
            <w:vAlign w:val="bottom"/>
          </w:tcPr>
          <w:p>
            <w:pPr>
              <w:jc w:val="right"/>
              <w:spacing w:after="0"/>
              <w:rPr>
                <w:sz w:val="20"/>
                <w:szCs w:val="20"/>
                <w:color w:val="auto"/>
              </w:rPr>
            </w:pPr>
            <w:r>
              <w:rPr>
                <w:rFonts w:ascii="Arial" w:cs="Arial" w:eastAsia="Arial" w:hAnsi="Arial"/>
                <w:sz w:val="18"/>
                <w:szCs w:val="18"/>
                <w:color w:val="auto"/>
              </w:rPr>
              <w:t>1,479,855</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59,603,875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5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5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5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Abstentions</w:t>
            </w:r>
          </w:p>
        </w:tc>
      </w:tr>
      <w:tr>
        <w:trPr>
          <w:trHeight w:val="224"/>
        </w:trPr>
        <w:tc>
          <w:tcPr>
            <w:tcW w:w="3440" w:type="dxa"/>
            <w:vAlign w:val="bottom"/>
          </w:tcPr>
          <w:p>
            <w:pPr>
              <w:jc w:val="right"/>
              <w:ind w:right="1170"/>
              <w:spacing w:after="0"/>
              <w:rPr>
                <w:sz w:val="20"/>
                <w:szCs w:val="20"/>
                <w:color w:val="auto"/>
              </w:rPr>
            </w:pPr>
            <w:r>
              <w:rPr>
                <w:rFonts w:ascii="Arial" w:cs="Arial" w:eastAsia="Arial" w:hAnsi="Arial"/>
                <w:sz w:val="18"/>
                <w:szCs w:val="18"/>
                <w:color w:val="auto"/>
              </w:rPr>
              <w:t>421,354,265</w:t>
            </w:r>
          </w:p>
        </w:tc>
        <w:tc>
          <w:tcPr>
            <w:tcW w:w="580" w:type="dxa"/>
            <w:vAlign w:val="bottom"/>
          </w:tcPr>
          <w:p>
            <w:pPr>
              <w:spacing w:after="0"/>
              <w:rPr>
                <w:sz w:val="19"/>
                <w:szCs w:val="19"/>
                <w:color w:val="auto"/>
              </w:rPr>
            </w:pPr>
          </w:p>
        </w:tc>
        <w:tc>
          <w:tcPr>
            <w:tcW w:w="3420" w:type="dxa"/>
            <w:vAlign w:val="bottom"/>
          </w:tcPr>
          <w:p>
            <w:pPr>
              <w:jc w:val="right"/>
              <w:ind w:right="1270"/>
              <w:spacing w:after="0"/>
              <w:rPr>
                <w:sz w:val="20"/>
                <w:szCs w:val="20"/>
                <w:color w:val="auto"/>
              </w:rPr>
            </w:pPr>
            <w:r>
              <w:rPr>
                <w:rFonts w:ascii="Arial" w:cs="Arial" w:eastAsia="Arial" w:hAnsi="Arial"/>
                <w:sz w:val="18"/>
                <w:szCs w:val="18"/>
                <w:color w:val="auto"/>
              </w:rPr>
              <w:t>3,773,900</w:t>
            </w:r>
          </w:p>
        </w:tc>
        <w:tc>
          <w:tcPr>
            <w:tcW w:w="560" w:type="dxa"/>
            <w:vAlign w:val="bottom"/>
          </w:tcPr>
          <w:p>
            <w:pPr>
              <w:spacing w:after="0"/>
              <w:rPr>
                <w:sz w:val="19"/>
                <w:szCs w:val="19"/>
                <w:color w:val="auto"/>
              </w:rPr>
            </w:pPr>
          </w:p>
        </w:tc>
        <w:tc>
          <w:tcPr>
            <w:tcW w:w="3420" w:type="dxa"/>
            <w:vAlign w:val="bottom"/>
          </w:tcPr>
          <w:p>
            <w:pPr>
              <w:jc w:val="right"/>
              <w:ind w:right="1250"/>
              <w:spacing w:after="0"/>
              <w:rPr>
                <w:sz w:val="20"/>
                <w:szCs w:val="20"/>
                <w:color w:val="auto"/>
              </w:rPr>
            </w:pPr>
            <w:r>
              <w:rPr>
                <w:rFonts w:ascii="Arial" w:cs="Arial" w:eastAsia="Arial" w:hAnsi="Arial"/>
                <w:sz w:val="18"/>
                <w:szCs w:val="18"/>
                <w:color w:val="auto"/>
              </w:rPr>
              <w:t>1,295,464</w:t>
            </w:r>
          </w:p>
        </w:tc>
      </w:tr>
    </w:tbl>
    <w:p>
      <w:pPr>
        <w:spacing w:after="0" w:line="9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2011 proxy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5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5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Abstentions</w:t>
            </w:r>
          </w:p>
        </w:tc>
        <w:tc>
          <w:tcPr>
            <w:tcW w:w="5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24"/>
        </w:trPr>
        <w:tc>
          <w:tcPr>
            <w:tcW w:w="2420" w:type="dxa"/>
            <w:vAlign w:val="bottom"/>
          </w:tcPr>
          <w:p>
            <w:pPr>
              <w:jc w:val="right"/>
              <w:ind w:right="670"/>
              <w:spacing w:after="0"/>
              <w:rPr>
                <w:sz w:val="20"/>
                <w:szCs w:val="20"/>
                <w:color w:val="auto"/>
              </w:rPr>
            </w:pPr>
            <w:r>
              <w:rPr>
                <w:rFonts w:ascii="Arial" w:cs="Arial" w:eastAsia="Arial" w:hAnsi="Arial"/>
                <w:sz w:val="18"/>
                <w:szCs w:val="18"/>
                <w:color w:val="auto"/>
              </w:rPr>
              <w:t>355,492,391</w:t>
            </w:r>
          </w:p>
        </w:tc>
        <w:tc>
          <w:tcPr>
            <w:tcW w:w="580" w:type="dxa"/>
            <w:vAlign w:val="bottom"/>
          </w:tcPr>
          <w:p>
            <w:pPr>
              <w:spacing w:after="0"/>
              <w:rPr>
                <w:sz w:val="19"/>
                <w:szCs w:val="19"/>
                <w:color w:val="auto"/>
              </w:rPr>
            </w:pP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5,818,739</w:t>
            </w:r>
          </w:p>
        </w:tc>
        <w:tc>
          <w:tcPr>
            <w:tcW w:w="560" w:type="dxa"/>
            <w:vAlign w:val="bottom"/>
          </w:tcPr>
          <w:p>
            <w:pPr>
              <w:spacing w:after="0"/>
              <w:rPr>
                <w:sz w:val="19"/>
                <w:szCs w:val="19"/>
                <w:color w:val="auto"/>
              </w:rPr>
            </w:pPr>
          </w:p>
        </w:tc>
        <w:tc>
          <w:tcPr>
            <w:tcW w:w="2420" w:type="dxa"/>
            <w:vAlign w:val="bottom"/>
          </w:tcPr>
          <w:p>
            <w:pPr>
              <w:jc w:val="right"/>
              <w:ind w:right="750"/>
              <w:spacing w:after="0"/>
              <w:rPr>
                <w:sz w:val="20"/>
                <w:szCs w:val="20"/>
                <w:color w:val="auto"/>
              </w:rPr>
            </w:pPr>
            <w:r>
              <w:rPr>
                <w:rFonts w:ascii="Arial" w:cs="Arial" w:eastAsia="Arial" w:hAnsi="Arial"/>
                <w:sz w:val="18"/>
                <w:szCs w:val="18"/>
                <w:color w:val="auto"/>
              </w:rPr>
              <w:t>5,508,624</w:t>
            </w:r>
          </w:p>
        </w:tc>
        <w:tc>
          <w:tcPr>
            <w:tcW w:w="580" w:type="dxa"/>
            <w:vAlign w:val="bottom"/>
          </w:tcPr>
          <w:p>
            <w:pPr>
              <w:spacing w:after="0"/>
              <w:rPr>
                <w:sz w:val="19"/>
                <w:szCs w:val="19"/>
                <w:color w:val="auto"/>
              </w:rPr>
            </w:pPr>
          </w:p>
        </w:tc>
        <w:tc>
          <w:tcPr>
            <w:tcW w:w="2440" w:type="dxa"/>
            <w:vAlign w:val="bottom"/>
          </w:tcPr>
          <w:p>
            <w:pPr>
              <w:jc w:val="right"/>
              <w:ind w:right="730"/>
              <w:spacing w:after="0"/>
              <w:rPr>
                <w:sz w:val="20"/>
                <w:szCs w:val="20"/>
                <w:color w:val="auto"/>
              </w:rPr>
            </w:pPr>
            <w:r>
              <w:rPr>
                <w:rFonts w:ascii="Arial" w:cs="Arial" w:eastAsia="Arial" w:hAnsi="Arial"/>
                <w:sz w:val="18"/>
                <w:szCs w:val="18"/>
                <w:color w:val="auto"/>
              </w:rPr>
              <w:t>59,603,875</w:t>
            </w:r>
          </w:p>
        </w:tc>
      </w:tr>
    </w:tbl>
    <w:p>
      <w:pPr>
        <w:spacing w:after="0" w:line="9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Recommendation, by non-binding vote, of the frequency of executive compensation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 Year</w:t>
            </w:r>
          </w:p>
        </w:tc>
        <w:tc>
          <w:tcPr>
            <w:tcW w:w="5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2 Years</w:t>
            </w:r>
          </w:p>
        </w:tc>
        <w:tc>
          <w:tcPr>
            <w:tcW w:w="5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 Years</w:t>
            </w:r>
          </w:p>
        </w:tc>
        <w:tc>
          <w:tcPr>
            <w:tcW w:w="5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Abstentions</w:t>
            </w:r>
          </w:p>
        </w:tc>
      </w:tr>
      <w:tr>
        <w:trPr>
          <w:trHeight w:val="224"/>
        </w:trPr>
        <w:tc>
          <w:tcPr>
            <w:tcW w:w="2420" w:type="dxa"/>
            <w:vAlign w:val="bottom"/>
          </w:tcPr>
          <w:p>
            <w:pPr>
              <w:jc w:val="right"/>
              <w:ind w:right="670"/>
              <w:spacing w:after="0"/>
              <w:rPr>
                <w:sz w:val="20"/>
                <w:szCs w:val="20"/>
                <w:color w:val="auto"/>
              </w:rPr>
            </w:pPr>
            <w:r>
              <w:rPr>
                <w:rFonts w:ascii="Arial" w:cs="Arial" w:eastAsia="Arial" w:hAnsi="Arial"/>
                <w:sz w:val="18"/>
                <w:szCs w:val="18"/>
                <w:color w:val="auto"/>
              </w:rPr>
              <w:t>274,670,363</w:t>
            </w:r>
          </w:p>
        </w:tc>
        <w:tc>
          <w:tcPr>
            <w:tcW w:w="580" w:type="dxa"/>
            <w:vAlign w:val="bottom"/>
          </w:tcPr>
          <w:p>
            <w:pPr>
              <w:spacing w:after="0"/>
              <w:rPr>
                <w:sz w:val="19"/>
                <w:szCs w:val="19"/>
                <w:color w:val="auto"/>
              </w:rPr>
            </w:pP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3,798,548</w:t>
            </w:r>
          </w:p>
        </w:tc>
        <w:tc>
          <w:tcPr>
            <w:tcW w:w="560" w:type="dxa"/>
            <w:vAlign w:val="bottom"/>
          </w:tcPr>
          <w:p>
            <w:pPr>
              <w:spacing w:after="0"/>
              <w:rPr>
                <w:sz w:val="19"/>
                <w:szCs w:val="19"/>
                <w:color w:val="auto"/>
              </w:rPr>
            </w:pPr>
          </w:p>
        </w:tc>
        <w:tc>
          <w:tcPr>
            <w:tcW w:w="2420" w:type="dxa"/>
            <w:vAlign w:val="bottom"/>
          </w:tcPr>
          <w:p>
            <w:pPr>
              <w:jc w:val="right"/>
              <w:ind w:right="710"/>
              <w:spacing w:after="0"/>
              <w:rPr>
                <w:sz w:val="20"/>
                <w:szCs w:val="20"/>
                <w:color w:val="auto"/>
              </w:rPr>
            </w:pPr>
            <w:r>
              <w:rPr>
                <w:rFonts w:ascii="Arial" w:cs="Arial" w:eastAsia="Arial" w:hAnsi="Arial"/>
                <w:sz w:val="18"/>
                <w:szCs w:val="18"/>
                <w:color w:val="auto"/>
              </w:rPr>
              <w:t>85,533,212</w:t>
            </w:r>
          </w:p>
        </w:tc>
        <w:tc>
          <w:tcPr>
            <w:tcW w:w="580" w:type="dxa"/>
            <w:vAlign w:val="bottom"/>
          </w:tcPr>
          <w:p>
            <w:pPr>
              <w:spacing w:after="0"/>
              <w:rPr>
                <w:sz w:val="19"/>
                <w:szCs w:val="19"/>
                <w:color w:val="auto"/>
              </w:rPr>
            </w:pPr>
          </w:p>
        </w:tc>
        <w:tc>
          <w:tcPr>
            <w:tcW w:w="2440" w:type="dxa"/>
            <w:vAlign w:val="bottom"/>
          </w:tcPr>
          <w:p>
            <w:pPr>
              <w:jc w:val="right"/>
              <w:ind w:right="770"/>
              <w:spacing w:after="0"/>
              <w:rPr>
                <w:sz w:val="20"/>
                <w:szCs w:val="20"/>
                <w:color w:val="auto"/>
              </w:rPr>
            </w:pPr>
            <w:r>
              <w:rPr>
                <w:rFonts w:ascii="Arial" w:cs="Arial" w:eastAsia="Arial" w:hAnsi="Arial"/>
                <w:sz w:val="18"/>
                <w:szCs w:val="18"/>
                <w:color w:val="auto"/>
              </w:rPr>
              <w:t>2,817,631</w:t>
            </w:r>
          </w:p>
        </w:tc>
      </w:tr>
    </w:tbl>
    <w:p>
      <w:pPr>
        <w:spacing w:after="0" w:line="93"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In light of these results, the Company’s Board of Directors has determined to hold the non-binding vote on executive compensation annually until the next stockholder vote on the frequency of such advisory vote.</w:t>
      </w:r>
    </w:p>
    <w:p>
      <w:pPr>
        <w:spacing w:after="0" w:line="62" w:lineRule="exact"/>
        <w:rPr>
          <w:sz w:val="20"/>
          <w:szCs w:val="20"/>
          <w:color w:val="auto"/>
        </w:rPr>
      </w:pPr>
    </w:p>
    <w:p>
      <w:pPr>
        <w:ind w:left="460" w:right="5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 proposal to amend the Company’s By-laws to allow stockholders who have held at least a 25% net long position in the Company’s common stock for one year to call special stockholder meetings: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5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5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Abstentions</w:t>
            </w:r>
          </w:p>
        </w:tc>
      </w:tr>
      <w:tr>
        <w:trPr>
          <w:trHeight w:val="224"/>
        </w:trPr>
        <w:tc>
          <w:tcPr>
            <w:tcW w:w="3440" w:type="dxa"/>
            <w:vAlign w:val="bottom"/>
          </w:tcPr>
          <w:p>
            <w:pPr>
              <w:jc w:val="right"/>
              <w:ind w:right="1170"/>
              <w:spacing w:after="0"/>
              <w:rPr>
                <w:sz w:val="20"/>
                <w:szCs w:val="20"/>
                <w:color w:val="auto"/>
              </w:rPr>
            </w:pPr>
            <w:r>
              <w:rPr>
                <w:rFonts w:ascii="Arial" w:cs="Arial" w:eastAsia="Arial" w:hAnsi="Arial"/>
                <w:sz w:val="18"/>
                <w:szCs w:val="18"/>
                <w:color w:val="auto"/>
              </w:rPr>
              <w:t>420,707,449</w:t>
            </w:r>
          </w:p>
        </w:tc>
        <w:tc>
          <w:tcPr>
            <w:tcW w:w="5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3,892,011</w:t>
            </w:r>
          </w:p>
        </w:tc>
        <w:tc>
          <w:tcPr>
            <w:tcW w:w="560" w:type="dxa"/>
            <w:vAlign w:val="bottom"/>
          </w:tcPr>
          <w:p>
            <w:pPr>
              <w:spacing w:after="0"/>
              <w:rPr>
                <w:sz w:val="19"/>
                <w:szCs w:val="19"/>
                <w:color w:val="auto"/>
              </w:rPr>
            </w:pPr>
          </w:p>
        </w:tc>
        <w:tc>
          <w:tcPr>
            <w:tcW w:w="3420" w:type="dxa"/>
            <w:vAlign w:val="bottom"/>
          </w:tcPr>
          <w:p>
            <w:pPr>
              <w:jc w:val="right"/>
              <w:ind w:right="1250"/>
              <w:spacing w:after="0"/>
              <w:rPr>
                <w:sz w:val="20"/>
                <w:szCs w:val="20"/>
                <w:color w:val="auto"/>
              </w:rPr>
            </w:pPr>
            <w:r>
              <w:rPr>
                <w:rFonts w:ascii="Arial" w:cs="Arial" w:eastAsia="Arial" w:hAnsi="Arial"/>
                <w:sz w:val="18"/>
                <w:szCs w:val="18"/>
                <w:color w:val="auto"/>
              </w:rPr>
              <w:t>1,824,169</w:t>
            </w:r>
          </w:p>
        </w:tc>
      </w:tr>
      <w:tr>
        <w:trPr>
          <w:trHeight w:val="404"/>
        </w:trPr>
        <w:tc>
          <w:tcPr>
            <w:tcW w:w="3440" w:type="dxa"/>
            <w:vAlign w:val="bottom"/>
          </w:tcPr>
          <w:p>
            <w:pPr>
              <w:spacing w:after="0"/>
              <w:rPr>
                <w:sz w:val="24"/>
                <w:szCs w:val="24"/>
                <w:color w:val="auto"/>
              </w:rPr>
            </w:pPr>
          </w:p>
        </w:tc>
        <w:tc>
          <w:tcPr>
            <w:tcW w:w="400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17,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1120"/>
      </w:cols>
      <w:pgMar w:left="240" w:top="95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2019-12-10T07:58:09Z</dcterms:created>
  <dcterms:modified xsi:type="dcterms:W3CDTF">2019-12-10T07:58:09Z</dcterms:modified>
</cp:coreProperties>
</file>