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12, 2009</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Waste Management, Inc. (the “Company”) issued a press release this morning, February 12, 2009, announcing its earnings for the fiscal quarter and full year ended December 31, 2008. A copy of the press release is attached hereto as exhibit 99.1.</w:t>
      </w:r>
    </w:p>
    <w:p>
      <w:pPr>
        <w:spacing w:after="0" w:line="62" w:lineRule="exact"/>
        <w:rPr>
          <w:sz w:val="20"/>
          <w:szCs w:val="20"/>
          <w:color w:val="auto"/>
        </w:rPr>
      </w:pPr>
    </w:p>
    <w:p>
      <w:pPr>
        <w:ind w:right="80" w:firstLine="215"/>
        <w:spacing w:after="0" w:line="257" w:lineRule="auto"/>
        <w:rPr>
          <w:sz w:val="20"/>
          <w:szCs w:val="20"/>
          <w:color w:val="auto"/>
        </w:rPr>
      </w:pPr>
      <w:r>
        <w:rPr>
          <w:rFonts w:ascii="Arial" w:cs="Arial" w:eastAsia="Arial" w:hAnsi="Arial"/>
          <w:sz w:val="18"/>
          <w:szCs w:val="18"/>
          <w:color w:val="auto"/>
        </w:rPr>
        <w:t>Additionally, as previously announced, the Company is holding a conference call, open to the public, to discuss these results, from 9:00 a.m. to 10:00 a.m. Central time this morning. The call will be webcast live, and may be heard by accessing the Company’s website at www.wm.com. You may also listen to the call by calling (877) 710-6139 and entering the access code 80418207. A replay of the conference call will be available through 4:00 p.m. Central time on February 26, 2009. The replay of the call may be heard over the Internet, by accessing the Company’s website at www.wm.com, or by telephone by dialing 800-642-1687 and entering conference code 80418207.</w:t>
      </w:r>
    </w:p>
    <w:p>
      <w:pPr>
        <w:spacing w:after="0" w:line="80"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On the conference call, management of the Company is expected to discuss its results of operations and projections using certain non-GAAP financial measures that are disclosed in the press release attached as exhibit 99.1. The Company has provided an explanation of its use of such non-GAAP measures, as well as a reconciliation of each of those measures to the most comparable GAAP measures, in the press release and the schedules thereto.</w:t>
      </w:r>
    </w:p>
    <w:p>
      <w:pPr>
        <w:spacing w:after="0" w:line="39"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Additionally, it is expected that management will discuss the effect that lower prices and demand for recycling commodities had on the Company’s results of operations. Management believes that providing results of operations without the effect of recycling is important to show investors the significant impact the markets for recycling commodities have had on our business. Shown below is a reconciliation of the Company’s reported net income and diluted earnings per share to the as adjusted amounts (in millions,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2008</w:t>
            </w:r>
          </w:p>
        </w:tc>
        <w:tc>
          <w:tcPr>
            <w:tcW w:w="4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2007</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08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660" w:type="dxa"/>
            <w:vAlign w:val="bottom"/>
          </w:tcPr>
          <w:p>
            <w:pPr>
              <w:spacing w:after="0"/>
              <w:rPr>
                <w:sz w:val="10"/>
                <w:szCs w:val="10"/>
                <w:color w:val="auto"/>
              </w:rPr>
            </w:pPr>
          </w:p>
        </w:tc>
        <w:tc>
          <w:tcPr>
            <w:tcW w:w="10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0.44</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309</w:t>
            </w:r>
          </w:p>
        </w:tc>
        <w:tc>
          <w:tcPr>
            <w:tcW w:w="5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0.61</w:t>
            </w: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Multi-employer pension withdrawal costs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Landfill operating costs — changes in risk-free interest rates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 from income tax related items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(0.01)</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(Income) from divestitures, asset impairments and unusual items</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Labor disruptions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Net income and Diluted EPS, as adjusted</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380" w:type="dxa"/>
            <w:vAlign w:val="bottom"/>
          </w:tcPr>
          <w:p>
            <w:pPr>
              <w:spacing w:after="0"/>
              <w:rPr>
                <w:sz w:val="24"/>
                <w:szCs w:val="24"/>
                <w:color w:val="auto"/>
              </w:rPr>
            </w:pPr>
          </w:p>
        </w:tc>
        <w:tc>
          <w:tcPr>
            <w:tcW w:w="58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0.49</w:t>
            </w:r>
          </w:p>
        </w:tc>
        <w:tc>
          <w:tcPr>
            <w:tcW w:w="260" w:type="dxa"/>
            <w:vAlign w:val="bottom"/>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276</w:t>
            </w:r>
          </w:p>
        </w:tc>
        <w:tc>
          <w:tcPr>
            <w:tcW w:w="58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Further adjusted for negative impact of Recycling</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Net income and Diluted EPS, as further adjusted</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380" w:type="dxa"/>
            <w:vAlign w:val="bottom"/>
          </w:tcPr>
          <w:p>
            <w:pPr>
              <w:spacing w:after="0"/>
              <w:rPr>
                <w:sz w:val="24"/>
                <w:szCs w:val="24"/>
                <w:color w:val="auto"/>
              </w:rPr>
            </w:pPr>
          </w:p>
        </w:tc>
        <w:tc>
          <w:tcPr>
            <w:tcW w:w="58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0.57</w:t>
            </w:r>
          </w:p>
        </w:tc>
        <w:tc>
          <w:tcPr>
            <w:tcW w:w="260" w:type="dxa"/>
            <w:vAlign w:val="bottom"/>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276</w:t>
            </w:r>
          </w:p>
        </w:tc>
        <w:tc>
          <w:tcPr>
            <w:tcW w:w="58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Management also will discuss certain operating margins on an adjusted basis. By excluding items that we do not believe to be operational in nature, investors are able to view the business in the same manner that management does and evaluate our performance without the effect of costs for items we do not believe are indicative of our performance.</w:t>
      </w:r>
    </w:p>
    <w:p>
      <w:pPr>
        <w:spacing w:after="0" w:line="73"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Shown below is the reconciliation of income from operations as a percentage of revenues on an as reported basis to the adjusted measure management is expected to discuss (in millions):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Income from operations as a percent of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Years Ended</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3"/>
              <w:spacing w:after="0"/>
              <w:rPr>
                <w:sz w:val="20"/>
                <w:szCs w:val="20"/>
                <w:color w:val="auto"/>
              </w:rPr>
            </w:pPr>
            <w:r>
              <w:rPr>
                <w:rFonts w:ascii="Arial" w:cs="Arial" w:eastAsia="Arial" w:hAnsi="Arial"/>
                <w:sz w:val="18"/>
                <w:szCs w:val="18"/>
                <w:color w:val="auto"/>
                <w:w w:val="87"/>
              </w:rPr>
              <w:t>13,388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1"/>
              <w:spacing w:after="0"/>
              <w:rPr>
                <w:sz w:val="20"/>
                <w:szCs w:val="20"/>
                <w:color w:val="auto"/>
              </w:rPr>
            </w:pPr>
            <w:r>
              <w:rPr>
                <w:rFonts w:ascii="Arial" w:cs="Arial" w:eastAsia="Arial" w:hAnsi="Arial"/>
                <w:sz w:val="18"/>
                <w:szCs w:val="18"/>
                <w:color w:val="auto"/>
                <w:w w:val="87"/>
              </w:rPr>
              <w:t>13,310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2,234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43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as a percent of Revenues</w:t>
            </w:r>
          </w:p>
        </w:tc>
        <w:tc>
          <w:tcPr>
            <w:tcW w:w="320" w:type="dxa"/>
            <w:vAlign w:val="bottom"/>
          </w:tcPr>
          <w:p>
            <w:pPr>
              <w:spacing w:after="0"/>
              <w:rPr>
                <w:sz w:val="24"/>
                <w:szCs w:val="24"/>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b w:val="1"/>
                <w:bCs w:val="1"/>
                <w:color w:val="auto"/>
              </w:rPr>
              <w:t>16.7%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Income from operations: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Multi-employer pension withdrawal costs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3"/>
              <w:spacing w:after="0"/>
              <w:rPr>
                <w:sz w:val="20"/>
                <w:szCs w:val="20"/>
                <w:color w:val="auto"/>
              </w:rPr>
            </w:pPr>
            <w:r>
              <w:rPr>
                <w:rFonts w:ascii="Arial" w:cs="Arial" w:eastAsia="Arial" w:hAnsi="Arial"/>
                <w:sz w:val="18"/>
                <w:szCs w:val="18"/>
                <w:color w:val="auto"/>
              </w:rPr>
              <w:t>39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 operating costs — changes in risk-free interest rates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(Income) from divestitures, asset impairments and unusual items</w:t>
            </w:r>
          </w:p>
        </w:tc>
        <w:tc>
          <w:tcPr>
            <w:tcW w:w="320" w:type="dxa"/>
            <w:vAlign w:val="bottom"/>
          </w:tcPr>
          <w:p>
            <w:pPr>
              <w:spacing w:after="0"/>
              <w:rPr>
                <w:sz w:val="18"/>
                <w:szCs w:val="18"/>
                <w:color w:val="auto"/>
              </w:rPr>
            </w:pPr>
          </w:p>
        </w:tc>
        <w:tc>
          <w:tcPr>
            <w:tcW w:w="820" w:type="dxa"/>
            <w:vAlign w:val="bottom"/>
          </w:tcPr>
          <w:p>
            <w:pPr>
              <w:jc w:val="right"/>
              <w:ind w:right="173"/>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Labor disruptions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20"/>
                <w:szCs w:val="20"/>
                <w:color w:val="auto"/>
              </w:rPr>
            </w:pPr>
          </w:p>
        </w:tc>
        <w:tc>
          <w:tcPr>
            <w:tcW w:w="82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9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3"/>
              <w:spacing w:after="0"/>
              <w:rPr>
                <w:sz w:val="20"/>
                <w:szCs w:val="20"/>
                <w:color w:val="auto"/>
              </w:rPr>
            </w:pPr>
            <w:r>
              <w:rPr>
                <w:rFonts w:ascii="Arial" w:cs="Arial" w:eastAsia="Arial" w:hAnsi="Arial"/>
                <w:sz w:val="18"/>
                <w:szCs w:val="18"/>
                <w:color w:val="auto"/>
                <w:w w:val="87"/>
              </w:rPr>
              <w:t>13,388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1"/>
              <w:spacing w:after="0"/>
              <w:rPr>
                <w:sz w:val="20"/>
                <w:szCs w:val="20"/>
                <w:color w:val="auto"/>
              </w:rPr>
            </w:pPr>
            <w:r>
              <w:rPr>
                <w:rFonts w:ascii="Arial" w:cs="Arial" w:eastAsia="Arial" w:hAnsi="Arial"/>
                <w:sz w:val="18"/>
                <w:szCs w:val="18"/>
                <w:color w:val="auto"/>
                <w:w w:val="87"/>
              </w:rPr>
              <w:t>13,310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2,291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43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Adjusted Income from operations as a percent of Revenues</w:t>
            </w:r>
          </w:p>
        </w:tc>
        <w:tc>
          <w:tcPr>
            <w:tcW w:w="320" w:type="dxa"/>
            <w:vAlign w:val="bottom"/>
          </w:tcPr>
          <w:p>
            <w:pPr>
              <w:spacing w:after="0"/>
              <w:rPr>
                <w:sz w:val="24"/>
                <w:szCs w:val="24"/>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b w:val="1"/>
                <w:bCs w:val="1"/>
                <w:color w:val="auto"/>
              </w:rPr>
              <w:t>17.1%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91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February 12,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12, 2009</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Senior Vice President</w:t>
            </w:r>
          </w:p>
        </w:tc>
        <w:tc>
          <w:tcPr>
            <w:tcW w:w="1680" w:type="dxa"/>
            <w:vAlign w:val="bottom"/>
          </w:tcPr>
          <w:p>
            <w:pPr>
              <w:spacing w:after="0"/>
              <w:rPr>
                <w:sz w:val="20"/>
                <w:szCs w:val="20"/>
                <w:color w:val="auto"/>
              </w:rPr>
            </w:pPr>
          </w:p>
        </w:tc>
      </w:tr>
      <w:tr>
        <w:trPr>
          <w:trHeight w:val="632"/>
        </w:trPr>
        <w:tc>
          <w:tcPr>
            <w:tcW w:w="356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Exhibit Number</w:t>
            </w:r>
          </w:p>
        </w:tc>
        <w:tc>
          <w:tcPr>
            <w:tcW w:w="320" w:type="dxa"/>
            <w:vAlign w:val="bottom"/>
          </w:tcPr>
          <w:p>
            <w:pPr>
              <w:spacing w:after="0"/>
              <w:rPr>
                <w:sz w:val="14"/>
                <w:szCs w:val="14"/>
                <w:color w:val="auto"/>
              </w:rPr>
            </w:pPr>
          </w:p>
        </w:tc>
        <w:tc>
          <w:tcPr>
            <w:tcW w:w="10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10400" w:type="dxa"/>
            <w:vAlign w:val="bottom"/>
            <w:gridSpan w:val="2"/>
          </w:tcPr>
          <w:p>
            <w:pPr>
              <w:ind w:left="320"/>
              <w:spacing w:after="0"/>
              <w:rPr>
                <w:sz w:val="20"/>
                <w:szCs w:val="20"/>
                <w:color w:val="auto"/>
              </w:rPr>
            </w:pPr>
            <w:r>
              <w:rPr>
                <w:rFonts w:ascii="Arial" w:cs="Arial" w:eastAsia="Arial" w:hAnsi="Arial"/>
                <w:sz w:val="18"/>
                <w:szCs w:val="18"/>
                <w:color w:val="auto"/>
              </w:rPr>
              <w:t>Press Release dated February 12, 2009</w:t>
            </w:r>
          </w:p>
        </w:tc>
      </w:tr>
    </w:tbl>
    <w:p>
      <w:pPr>
        <w:sectPr>
          <w:pgSz w:w="11900" w:h="16838" w:orient="portrait"/>
          <w:cols w:equalWidth="0" w:num="1">
            <w:col w:w="11420"/>
          </w:cols>
          <w:pgMar w:left="240" w:top="419"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128905</wp:posOffset>
            </wp:positionV>
            <wp:extent cx="1629410" cy="574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2941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Jim Alderson — 713.394.2281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#09-02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Fourth Quarter and Full Year 2008 Earnings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EPS Exceeds Wall Street Consensus</w:t>
      </w:r>
    </w:p>
    <w:p>
      <w:pPr>
        <w:spacing w:after="0" w:line="117"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 xml:space="preserve">HOUSTON — February 12, 2009 — </w:t>
      </w:r>
      <w:r>
        <w:rPr>
          <w:rFonts w:ascii="Arial" w:cs="Arial" w:eastAsia="Arial" w:hAnsi="Arial"/>
          <w:sz w:val="16"/>
          <w:szCs w:val="16"/>
          <w:color w:val="auto"/>
        </w:rPr>
        <w:t>Waste Management, Inc. (NYSE: WMI) today announced financial results for its fourth quarter and for the year ended</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2008. Revenues for the fourth quarter of 2008 were $3.11 billion compared with $3.36 billion for the same 2007 period. Net income for the quarter was $218 million, or $0.44 per diluted share, compared with $309 million, or $0.61 per diluted share, for the fourth quarter of 2007.</w:t>
      </w:r>
    </w:p>
    <w:p>
      <w:pPr>
        <w:spacing w:after="0" w:line="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full year 2008, the Company reported revenues of $13.39 billion compared with $13.31 billion for 2007. Earnings per diluted share were $2.19 for the full year 2008 compared with $2.23 for the full year 2007. During fiscal years 2008 and 2007, several items impacted the full year results. On an as adjusted basis taking those items into account, earnings per diluted share were $2.22 for the full year 2008 and $2.07 for the full year 2007, an increase of 7.2% for 2008.</w:t>
      </w:r>
      <w:r>
        <w:rPr>
          <w:rFonts w:ascii="Arial" w:cs="Arial" w:eastAsia="Arial" w:hAnsi="Arial"/>
          <w:sz w:val="15"/>
          <w:szCs w:val="15"/>
          <w:color w:val="auto"/>
        </w:rPr>
        <w:t>(a)</w:t>
      </w:r>
    </w:p>
    <w:p>
      <w:pPr>
        <w:spacing w:after="0" w:line="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“The fourth quarter was a challenge on a number of fronts, and I am pleased with the way we have reacted to the tough economic circumstances. Despite the challenges, our adjusted earnings per share for the quarter beat consensus, we met our full year expectations for earnings per share, we increased our adjusted margins, and we generated strong free cash flow,” stated David P. Steiner, Chief Executive Officer of Waste Management. “We have consistently shown the ability to generate strong free cash flow, and we have exhibited this strength once again. Full year 2008 net cash from operations increased $136 million and free cash flow for the year exceeded the $1.4 billion we forecasted at the beginning of the year.” </w:t>
      </w:r>
      <w:r>
        <w:rPr>
          <w:rFonts w:ascii="Arial" w:cs="Arial" w:eastAsia="Arial" w:hAnsi="Arial"/>
          <w:sz w:val="14"/>
          <w:szCs w:val="14"/>
          <w:color w:val="auto"/>
        </w:rPr>
        <w:t>(a)</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Company noted several items that impacted results in the 2008 and 2007 fourth quarters. Excluding these items, net income would have been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$241 million, or $0.49 per diluted share, in the fourth quarter of 2008 compared with $276 million, or $0.54 per diluted share, in the fourth quarter of 2007.</w:t>
      </w:r>
      <w:r>
        <w:rPr>
          <w:rFonts w:ascii="Arial" w:cs="Arial" w:eastAsia="Arial" w:hAnsi="Arial"/>
          <w:sz w:val="13"/>
          <w:szCs w:val="13"/>
          <w:color w:val="auto"/>
        </w:rPr>
        <w:t>(a)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Results in the fourth quarter of 2008 included a decrease of $0.05 per diluted share from:</w:t>
      </w:r>
    </w:p>
    <w:p>
      <w:pPr>
        <w:spacing w:after="0" w:line="117" w:lineRule="exact"/>
        <w:rPr>
          <w:sz w:val="20"/>
          <w:szCs w:val="20"/>
          <w:color w:val="auto"/>
        </w:rPr>
      </w:pPr>
    </w:p>
    <w:p>
      <w:pPr>
        <w:ind w:left="660" w:right="14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$13 million reduction in net income due to charges related to our withdrawal from union sponsored multi-employer pension plans in Milwaukee, New Jersey and Detroit;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left="660" w:right="1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 $16 million reduction in net income caused primarily by the accounting effect of a decline in long-term interest rates, which are used to calculate the present value of our remediation liabilities at our landfills;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 $6 million benefit resulting primarily from favorable tax audit settlements.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Results in the fourth quarter of 2007 included a net benefit of $0.07 per diluted share consisting of a $31 million income tax benefit resulting primarily from a reduction in Canadian income tax rates; a $7 million benefit in net income due to gains from divestitures of operations; and a $5 million reduction in net income related to labor disruptions in California.</w:t>
      </w:r>
    </w:p>
    <w:p>
      <w:pPr>
        <w:spacing w:after="0" w:line="7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we anticipated in November 2008, we did see a negative impact of $0.08 per diluted share in the fourth quarter of 2008, compared with the prior year period, as a result of the deterioration of the recycling commodities markets,” stated Steiner. “Conditions have stabilized somewhat, but we still expect a negative year over year impact from recycling operations of $0.15 to $0.20 for the full year 2009, most of which is expected to be in the first half of the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Fourth Quarter and the Full Year 2008</w:t>
      </w:r>
    </w:p>
    <w:p>
      <w:pPr>
        <w:spacing w:after="0" w:line="121"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on base business was 2.1% in the quarter and 2.8% for the full year.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 was negative 5.9% in the quarter and negative 4.2% for the full year 2008.</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Foreign currency translation caused a revenue decrease of 1.1% in the quarter with no effect for the full year.</w:t>
      </w:r>
    </w:p>
    <w:p>
      <w:pPr>
        <w:spacing w:after="0" w:line="130"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Operating expenses for the fourth quarter of 2008 were essentially flat as a percentage of revenue compared with the prior year period. On an as adjusted basis, operating expenses were 61.7% of revenue in the fourth quarter of 2008, compared to 63.2% of revenue in the fourth quarter of 2007, or a 150 basis point improvement compared with the prior year period. </w:t>
      </w:r>
      <w:r>
        <w:rPr>
          <w:rFonts w:ascii="Arial" w:cs="Arial" w:eastAsia="Arial" w:hAnsi="Arial"/>
          <w:sz w:val="15"/>
          <w:szCs w:val="15"/>
          <w:color w:val="auto"/>
        </w:rPr>
        <w:t>(a)</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was $673 million in the quarter and $2.58 billion for the full year.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Capital expenditures were $434 million in the quarter and $1.22 billion for the full year.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Free cash flow was $259 million in the quarter and $1.47 billion for the full year.</w:t>
      </w:r>
      <w:r>
        <w:rPr>
          <w:rFonts w:ascii="Arial" w:cs="Arial" w:eastAsia="Arial" w:hAnsi="Arial"/>
          <w:sz w:val="15"/>
          <w:szCs w:val="15"/>
          <w:color w:val="auto"/>
        </w:rPr>
        <w:t>(a)</w:t>
      </w:r>
    </w:p>
    <w:p>
      <w:pPr>
        <w:spacing w:after="0" w:line="130"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returned $132 million to shareholders through dividend payments in the quarter. For the full year, we returned $941 million to shareholders, consisting of $410 million of common stock repurchases and dividends of $531 million.</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effective tax rate in the quarter, adjusted to exclude the $6 million in non-recurring tax items mentioned above, was approximately 38.4%. This rate reflects a benefit from the utilization of state tax loss and credit carry-forwards.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Steiner added, “The majority of our business, which relates to commercial and residential customers, is recession resistant, and the fourth quarter reflected that. Internal revenue growth from volume in those lines was consistent across all quarters of 2008. But the sharp decline in economic activity in the fourth quarter did cause further volume declines in our more economically sensitive industrial collection, transfer and recycling businesses. Recycling commodity revenues were affected by both steep price declines and greatly reduced volumes as a result of the lack of demand for these commodities. We expect volumes in these economically sensitive lines of business to remain soft in 2009. So, we will redouble our focus on pricing discipline and driving continued efficiency throughout our organization. On the pricing front, we are setting minimum yield targets for each of our Market Areas, Groups and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ind w:right="100"/>
        <w:spacing w:after="0" w:line="277" w:lineRule="auto"/>
        <w:rPr>
          <w:sz w:val="20"/>
          <w:szCs w:val="20"/>
          <w:color w:val="auto"/>
        </w:rPr>
      </w:pPr>
      <w:r>
        <w:rPr>
          <w:rFonts w:ascii="Arial" w:cs="Arial" w:eastAsia="Arial" w:hAnsi="Arial"/>
          <w:sz w:val="18"/>
          <w:szCs w:val="18"/>
          <w:color w:val="auto"/>
        </w:rPr>
        <w:t>These targets must be met in order for eligible employees to receive the financial performance portion of their 2009 annual bonuses. This will help to ensure that we maintain our focus on our pricing programs in 2009.”</w:t>
      </w:r>
    </w:p>
    <w:p>
      <w:pPr>
        <w:spacing w:after="0" w:line="6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Company announced a reorganization that will cost approximately $50 million to implement, but will result in annualized savings in excess of $100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Savings will result from:</w:t>
      </w:r>
    </w:p>
    <w:p>
      <w:pPr>
        <w:spacing w:after="0" w:line="117"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 restructuring of our field operations through consolidation, reducing our Market Areas from 45 to 25 and eliminating duplicative functions;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realignment of our corporate staff to more efficiently support the new field operations;</w:t>
      </w:r>
    </w:p>
    <w:p>
      <w:pPr>
        <w:spacing w:after="0" w:line="130"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elimination of calendar year 2009 merit-based salary increases for salaried exempt personnel, unless we see a turnaround in the economy and our business;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Delaying until June 30, 2009 our merit-based pay process for hourly personnel.</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recent actions have prepared our company to perform well in a slow economy. As a company that focuses on free cash flow, we expect that through a combination of pricing, expense control and capital discipline we will achieve between $1.3 billion and $1.4 billion of free cash flow in 2009,” Steiner continued.</w:t>
      </w:r>
      <w:r>
        <w:rPr>
          <w:rFonts w:ascii="Arial" w:cs="Arial" w:eastAsia="Arial" w:hAnsi="Arial"/>
          <w:sz w:val="15"/>
          <w:szCs w:val="15"/>
          <w:color w:val="auto"/>
        </w:rPr>
        <w:t>(a)</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in 2009 we will acquire more revenue than we divest, as valuations and prices for assets reach lower levels. We believe our new organization makes us more nimble and able to assimilate acquired operations. However, we will not make any acquisitions that would jeopardize our strong balance sheet or our credit rating.”</w:t>
      </w:r>
    </w:p>
    <w:p>
      <w:pPr>
        <w:spacing w:after="0" w:line="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Steiner concluded, “The fourth quarter demonstrated the strength of our business model during a very challenging economic time. The recession resistant qualities and strong cash flows of our solid waste business, combined with the proactive steps we are taking to strengthen our pricing programs and reduce our costs, give us confidence that we will continue to generate strong cash returns for our shareholders and emerge from this economic downturn even stronger than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83" w:lineRule="exact"/>
        <w:rPr>
          <w:sz w:val="20"/>
          <w:szCs w:val="20"/>
          <w:color w:val="auto"/>
        </w:rPr>
      </w:pPr>
    </w:p>
    <w:p>
      <w:pPr>
        <w:ind w:left="320" w:hanging="312"/>
        <w:spacing w:after="0" w:line="291" w:lineRule="auto"/>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320" w:right="360"/>
        <w:spacing w:after="0" w:line="255" w:lineRule="auto"/>
        <w:rPr>
          <w:rFonts w:ascii="Arial" w:cs="Arial" w:eastAsia="Arial" w:hAnsi="Arial"/>
          <w:sz w:val="16"/>
          <w:szCs w:val="16"/>
          <w:color w:val="auto"/>
        </w:rPr>
      </w:pPr>
      <w:r>
        <w:rPr>
          <w:rFonts w:ascii="Arial" w:cs="Arial" w:eastAsia="Arial" w:hAnsi="Arial"/>
          <w:sz w:val="18"/>
          <w:szCs w:val="18"/>
          <w:color w:val="auto"/>
        </w:rPr>
        <w:t>(i) additional, meaningful comparisons of current results to prior periods’ results by excluding items that the Company does not believe reflect its fundamental business performance and (ii) financial measures the Company uses in the management of its business. GAAP measures that have been adjusted to exclude the impact of certain unusual, non-recurring or otherwise non-operational items include:</w:t>
      </w:r>
    </w:p>
    <w:p>
      <w:pPr>
        <w:spacing w:after="0" w:line="82" w:lineRule="exact"/>
        <w:rPr>
          <w:rFonts w:ascii="Arial" w:cs="Arial" w:eastAsia="Arial" w:hAnsi="Arial"/>
          <w:sz w:val="16"/>
          <w:szCs w:val="16"/>
          <w:color w:val="auto"/>
        </w:rPr>
      </w:pPr>
    </w:p>
    <w:p>
      <w:pPr>
        <w:ind w:left="660" w:hanging="436"/>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Earnings per diluted share;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Operating expense as a percentage of revenue.</w:t>
      </w:r>
    </w:p>
    <w:p>
      <w:pPr>
        <w:spacing w:after="0" w:line="117" w:lineRule="exact"/>
        <w:rPr>
          <w:sz w:val="20"/>
          <w:szCs w:val="20"/>
          <w:color w:val="auto"/>
        </w:rPr>
      </w:pPr>
    </w:p>
    <w:p>
      <w:pPr>
        <w:ind w:left="220" w:right="120"/>
        <w:spacing w:after="0" w:line="286" w:lineRule="auto"/>
        <w:rPr>
          <w:sz w:val="20"/>
          <w:szCs w:val="20"/>
          <w:color w:val="auto"/>
        </w:rPr>
      </w:pPr>
      <w:r>
        <w:rPr>
          <w:rFonts w:ascii="Arial" w:cs="Arial" w:eastAsia="Arial" w:hAnsi="Arial"/>
          <w:sz w:val="17"/>
          <w:szCs w:val="17"/>
          <w:color w:val="auto"/>
        </w:rPr>
        <w:t>The Company also discusses free cash flow and projected free cash flow, which are non-GAAP measures, because it believes that investors are interested in the cash produced by the Company from non-financing activities that is available for uses such as the Company’s acquisitions, its share repurchase program, its scheduled debt reduction and the payment of dividends. The Company defines free cash flow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 w:name="page12"/>
    <w:bookmarkEnd w:id="11"/>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sz w:val="20"/>
          <w:szCs w:val="20"/>
          <w:color w:val="auto"/>
        </w:rPr>
      </w:pPr>
    </w:p>
    <w:p>
      <w:pPr>
        <w:ind w:left="220" w:right="20"/>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not subject to comparison.</w:t>
      </w:r>
    </w:p>
    <w:p>
      <w:pPr>
        <w:spacing w:after="0" w:line="62" w:lineRule="exact"/>
        <w:rPr>
          <w:sz w:val="20"/>
          <w:szCs w:val="20"/>
          <w:color w:val="auto"/>
        </w:rPr>
      </w:pPr>
    </w:p>
    <w:p>
      <w:pPr>
        <w:ind w:left="220" w:right="680"/>
        <w:spacing w:after="0" w:line="342" w:lineRule="auto"/>
        <w:rPr>
          <w:sz w:val="20"/>
          <w:szCs w:val="20"/>
          <w:color w:val="auto"/>
        </w:rPr>
      </w:pPr>
      <w:r>
        <w:rPr>
          <w:rFonts w:ascii="Arial" w:cs="Arial" w:eastAsia="Arial" w:hAnsi="Arial"/>
          <w:sz w:val="16"/>
          <w:szCs w:val="16"/>
          <w:color w:val="auto"/>
        </w:rPr>
        <w:t>The quantitative reconciliations of each of the non-GAAP measures presented herein to the most comparable GAAP measures are included in the accompanying schedules. Investors are urged to take into account GAAP measures as well as non-GAAP measures in evaluating the Company.</w:t>
      </w:r>
    </w:p>
    <w:p>
      <w:pPr>
        <w:spacing w:after="0" w:line="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The Company has scheduled an investor and analyst conference call for later this morning to discuss the results of today’s earnings announcement. The information in this press release should be read in conjunction with the information on the conference call. The call will begin at 10:00 a.m. Eastern time and is open to the public. To listen to the conference call, which will be broadcast live over the Internet, go to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xml:space="preserve">, and select “Earnings Webcast.” You may also listen to the analyst conference call by telephone by contacting the conference call operator 5 to 10 minutes prior to the scheduled start time and asking for the “Waste Management Conference Call — Call ID 80418207.” US/Canada Dial-In Number: (877) 710-6139. Int’l/Local Dial-In Number: (706) 643-7398. For those unable to listen to the live call, a replay will be available 24 hours a day beginning at approximately 1:00 p.m. Eastern time on February 12th through 5:00 p.m. Eastern time on February 26th. To hear a replay of the call over the Internet, access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To hear a telephonic replay of the call, dial (800) 642-1687 or (706) 645-9291 and enter reservation code 80418207.</w:t>
      </w:r>
    </w:p>
    <w:p>
      <w:pPr>
        <w:spacing w:after="0" w:line="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2009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any forward-looking statements, which speak only as of their dates. The following are some of the risks that we face:</w:t>
      </w:r>
    </w:p>
    <w:p>
      <w:pPr>
        <w:spacing w:after="0" w:line="70" w:lineRule="exact"/>
        <w:rPr>
          <w:sz w:val="20"/>
          <w:szCs w:val="20"/>
          <w:color w:val="auto"/>
        </w:rPr>
      </w:pPr>
    </w:p>
    <w:p>
      <w:pPr>
        <w:ind w:left="660" w:right="1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75" w:lineRule="exact"/>
        <w:rPr>
          <w:rFonts w:ascii="Arial" w:cs="Arial" w:eastAsia="Arial" w:hAnsi="Arial"/>
          <w:sz w:val="18"/>
          <w:szCs w:val="18"/>
          <w:b w:val="1"/>
          <w:bCs w:val="1"/>
          <w:color w:val="auto"/>
        </w:rPr>
      </w:pPr>
    </w:p>
    <w:p>
      <w:pPr>
        <w:ind w:left="660" w:right="160" w:hanging="436"/>
        <w:spacing w:after="0" w:line="264"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12" w:name="page13"/>
    <w:bookmarkEnd w:id="12"/>
    <w:p>
      <w:pPr>
        <w:ind w:left="440" w:right="20" w:hanging="436"/>
        <w:spacing w:after="0" w:line="277"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maintain or expand margins if we are unable to control costs or raise prices;</w:t>
      </w:r>
    </w:p>
    <w:p>
      <w:pPr>
        <w:spacing w:after="0" w:line="130" w:lineRule="exact"/>
        <w:rPr>
          <w:rFonts w:ascii="Arial" w:cs="Arial" w:eastAsia="Arial" w:hAnsi="Arial"/>
          <w:sz w:val="18"/>
          <w:szCs w:val="18"/>
          <w:b w:val="1"/>
          <w:bCs w:val="1"/>
          <w:color w:val="auto"/>
        </w:rPr>
      </w:pPr>
    </w:p>
    <w:p>
      <w:pPr>
        <w:ind w:left="440" w:right="620" w:hanging="436"/>
        <w:spacing w:after="0" w:line="312" w:lineRule="auto"/>
        <w:tabs>
          <w:tab w:leader="none" w:pos="44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we may not be able to successfully execute or continue our operational or other margin improvement plans and programs, including pricing increases, passing on increased costs to our customers, reducing costs due to our operational improvement programs, and divesting under-performing assets and purchasing accretive businesses, any of which could negatively affect our revenues and margins;</w:t>
      </w:r>
    </w:p>
    <w:p>
      <w:pPr>
        <w:spacing w:after="0" w:line="52" w:lineRule="exact"/>
        <w:rPr>
          <w:rFonts w:ascii="Arial" w:cs="Arial" w:eastAsia="Arial" w:hAnsi="Arial"/>
          <w:sz w:val="16"/>
          <w:szCs w:val="16"/>
          <w:b w:val="1"/>
          <w:bCs w:val="1"/>
          <w:color w:val="auto"/>
        </w:rPr>
      </w:pPr>
    </w:p>
    <w:p>
      <w:pPr>
        <w:ind w:left="440" w:right="80" w:hanging="436"/>
        <w:spacing w:after="0" w:line="277"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quarter-to-quarter results to fluctuate, and harsh weather or natural disasters may cause us to temporarily shut down operations;</w:t>
      </w:r>
    </w:p>
    <w:p>
      <w:pPr>
        <w:spacing w:after="0" w:line="75" w:lineRule="exact"/>
        <w:rPr>
          <w:rFonts w:ascii="Arial" w:cs="Arial" w:eastAsia="Arial" w:hAnsi="Arial"/>
          <w:sz w:val="18"/>
          <w:szCs w:val="18"/>
          <w:b w:val="1"/>
          <w:bCs w:val="1"/>
          <w:color w:val="auto"/>
        </w:rPr>
      </w:pPr>
    </w:p>
    <w:p>
      <w:pPr>
        <w:ind w:left="440" w:right="280" w:hanging="436"/>
        <w:spacing w:after="0" w:line="277"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b w:val="1"/>
          <w:bCs w:val="1"/>
          <w:color w:val="auto"/>
        </w:rPr>
      </w:pPr>
    </w:p>
    <w:p>
      <w:pPr>
        <w:ind w:left="440" w:right="500" w:hanging="436"/>
        <w:spacing w:after="0" w:line="277"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ind w:left="440" w:right="240" w:hanging="436"/>
        <w:spacing w:after="0" w:line="264"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86" w:lineRule="exact"/>
        <w:rPr>
          <w:rFonts w:ascii="Arial" w:cs="Arial" w:eastAsia="Arial" w:hAnsi="Arial"/>
          <w:sz w:val="18"/>
          <w:szCs w:val="18"/>
          <w:b w:val="1"/>
          <w:bCs w:val="1"/>
          <w:color w:val="auto"/>
        </w:rPr>
      </w:pPr>
    </w:p>
    <w:p>
      <w:pPr>
        <w:ind w:left="440" w:right="260" w:hanging="436"/>
        <w:spacing w:after="0" w:line="277"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440" w:right="60" w:hanging="436"/>
        <w:spacing w:after="0" w:line="277"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130" w:lineRule="exact"/>
        <w:rPr>
          <w:rFonts w:ascii="Arial" w:cs="Arial" w:eastAsia="Arial" w:hAnsi="Arial"/>
          <w:sz w:val="18"/>
          <w:szCs w:val="18"/>
          <w:b w:val="1"/>
          <w:bCs w:val="1"/>
          <w:color w:val="auto"/>
        </w:rPr>
      </w:pPr>
    </w:p>
    <w:p>
      <w:pPr>
        <w:ind w:left="440" w:hanging="436"/>
        <w:spacing w:after="0" w:line="277"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or the inability to obtain financial assurance or the inadequacy of our insurance coverages could negatively impact our liquidity and increase our liabilities;</w:t>
      </w:r>
    </w:p>
    <w:p>
      <w:pPr>
        <w:spacing w:after="0" w:line="75" w:lineRule="exact"/>
        <w:rPr>
          <w:rFonts w:ascii="Arial" w:cs="Arial" w:eastAsia="Arial" w:hAnsi="Arial"/>
          <w:sz w:val="18"/>
          <w:szCs w:val="18"/>
          <w:b w:val="1"/>
          <w:bCs w:val="1"/>
          <w:color w:val="auto"/>
        </w:rPr>
      </w:pPr>
    </w:p>
    <w:p>
      <w:pPr>
        <w:ind w:left="440" w:right="680" w:hanging="436"/>
        <w:spacing w:after="0" w:line="277"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fluctuations in commodity prices may have negative effects on our operating results;</w:t>
      </w:r>
    </w:p>
    <w:p>
      <w:pPr>
        <w:spacing w:after="0" w:line="130" w:lineRule="exact"/>
        <w:rPr>
          <w:rFonts w:ascii="Arial" w:cs="Arial" w:eastAsia="Arial" w:hAnsi="Arial"/>
          <w:sz w:val="18"/>
          <w:szCs w:val="18"/>
          <w:b w:val="1"/>
          <w:bCs w:val="1"/>
          <w:color w:val="auto"/>
        </w:rPr>
      </w:pPr>
    </w:p>
    <w:p>
      <w:pPr>
        <w:ind w:left="440" w:right="580" w:hanging="436"/>
        <w:spacing w:after="0" w:line="277"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trends requiring recycling, waste reduction at the source and prohibiting the disposal of certain types of waste could have negative effects on volumes of waste going to landfills and waste-to-energy facilities;</w:t>
      </w:r>
    </w:p>
    <w:p>
      <w:pPr>
        <w:spacing w:after="0" w:line="75" w:lineRule="exact"/>
        <w:rPr>
          <w:rFonts w:ascii="Arial" w:cs="Arial" w:eastAsia="Arial" w:hAnsi="Arial"/>
          <w:sz w:val="18"/>
          <w:szCs w:val="18"/>
          <w:b w:val="1"/>
          <w:bCs w:val="1"/>
          <w:color w:val="auto"/>
        </w:rPr>
      </w:pPr>
    </w:p>
    <w:p>
      <w:pPr>
        <w:ind w:left="440" w:right="200" w:hanging="436"/>
        <w:spacing w:after="0" w:line="264"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440" w:right="140" w:hanging="436"/>
        <w:spacing w:after="0" w:line="277"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75" w:lineRule="exact"/>
        <w:rPr>
          <w:rFonts w:ascii="Arial" w:cs="Arial" w:eastAsia="Arial" w:hAnsi="Arial"/>
          <w:sz w:val="18"/>
          <w:szCs w:val="18"/>
          <w:b w:val="1"/>
          <w:bCs w:val="1"/>
          <w:color w:val="auto"/>
        </w:rPr>
      </w:pPr>
    </w:p>
    <w:p>
      <w:pPr>
        <w:ind w:left="440" w:right="180" w:hanging="436"/>
        <w:spacing w:after="0" w:line="277"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increase our costs, or lead to an impairment charge;</w:t>
      </w:r>
    </w:p>
    <w:p>
      <w:pPr>
        <w:spacing w:after="0" w:line="75" w:lineRule="exact"/>
        <w:rPr>
          <w:rFonts w:ascii="Arial" w:cs="Arial" w:eastAsia="Arial" w:hAnsi="Arial"/>
          <w:sz w:val="18"/>
          <w:szCs w:val="18"/>
          <w:b w:val="1"/>
          <w:bCs w:val="1"/>
          <w:color w:val="auto"/>
        </w:rPr>
      </w:pPr>
    </w:p>
    <w:p>
      <w:pPr>
        <w:ind w:left="440" w:right="160" w:hanging="436"/>
        <w:spacing w:after="0" w:line="277"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 and</w:t>
      </w:r>
    </w:p>
    <w:p>
      <w:pPr>
        <w:spacing w:after="0" w:line="75" w:lineRule="exact"/>
        <w:rPr>
          <w:rFonts w:ascii="Arial" w:cs="Arial" w:eastAsia="Arial" w:hAnsi="Arial"/>
          <w:sz w:val="18"/>
          <w:szCs w:val="18"/>
          <w:b w:val="1"/>
          <w:bCs w:val="1"/>
          <w:color w:val="auto"/>
        </w:rPr>
      </w:pPr>
    </w:p>
    <w:p>
      <w:pPr>
        <w:ind w:left="440" w:right="80" w:hanging="436"/>
        <w:spacing w:after="0" w:line="264"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73"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2007.</w:t>
      </w:r>
    </w:p>
    <w:p>
      <w:pPr>
        <w:spacing w:after="0" w:line="9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398780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1,972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earnings (losses) of unconsolidated entities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0.44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490.9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0.27</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vMerge w:val="restart"/>
          </w:tcPr>
          <w:p>
            <w:pPr>
              <w:jc w:val="right"/>
              <w:ind w:right="337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40" w:type="dxa"/>
            <w:vAlign w:val="bottom"/>
            <w:gridSpan w:val="7"/>
          </w:tcPr>
          <w:p>
            <w:pPr>
              <w:ind w:left="80"/>
              <w:spacing w:after="0"/>
              <w:rPr>
                <w:sz w:val="20"/>
                <w:szCs w:val="20"/>
                <w:color w:val="auto"/>
              </w:rPr>
            </w:pPr>
            <w:r>
              <w:rPr>
                <w:rFonts w:ascii="Arial" w:cs="Arial" w:eastAsia="Arial" w:hAnsi="Arial"/>
                <w:sz w:val="14"/>
                <w:szCs w:val="14"/>
                <w:b w:val="1"/>
                <w:bCs w:val="1"/>
                <w:color w:val="auto"/>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218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490.7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490.9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493.4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0"/>
        </w:trPr>
        <w:tc>
          <w:tcPr>
            <w:tcW w:w="8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0.44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jc w:val="right"/>
              <w:ind w:right="247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13,388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13,310</w:t>
            </w:r>
          </w:p>
        </w:tc>
        <w:tc>
          <w:tcPr>
            <w:tcW w:w="0" w:type="dxa"/>
            <w:vAlign w:val="bottom"/>
          </w:tcPr>
          <w:p>
            <w:pPr>
              <w:spacing w:after="0"/>
              <w:rPr>
                <w:sz w:val="1"/>
                <w:szCs w:val="1"/>
                <w:color w:val="auto"/>
              </w:rPr>
            </w:pPr>
          </w:p>
        </w:tc>
      </w:tr>
      <w:tr>
        <w:trPr>
          <w:trHeight w:val="439"/>
        </w:trPr>
        <w:tc>
          <w:tcPr>
            <w:tcW w:w="75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Restructuring</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11,154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439"/>
        </w:trPr>
        <w:tc>
          <w:tcPr>
            <w:tcW w:w="75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in net earnings (losses) of unconsolidated entities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Minority interest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669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4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492.1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4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5600"/>
              <w:spacing w:after="0"/>
              <w:rPr>
                <w:sz w:val="20"/>
                <w:szCs w:val="20"/>
                <w:color w:val="auto"/>
              </w:rPr>
            </w:pPr>
            <w:r>
              <w:rPr>
                <w:rFonts w:ascii="Arial" w:cs="Arial" w:eastAsia="Arial" w:hAnsi="Arial"/>
                <w:sz w:val="18"/>
                <w:szCs w:val="18"/>
                <w:color w:val="auto"/>
              </w:rPr>
              <w:t>(3)</w:t>
            </w: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54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5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1,087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490.7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495.4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0"/>
        </w:trPr>
        <w:tc>
          <w:tcPr>
            <w:tcW w:w="8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jc w:val="right"/>
              <w:ind w:right="2470"/>
              <w:spacing w:after="0"/>
              <w:rPr>
                <w:sz w:val="20"/>
                <w:szCs w:val="20"/>
                <w:color w:val="auto"/>
              </w:rPr>
            </w:pPr>
            <w:r>
              <w:rPr>
                <w:rFonts w:ascii="Arial" w:cs="Arial" w:eastAsia="Arial" w:hAnsi="Arial"/>
                <w:sz w:val="18"/>
                <w:szCs w:val="18"/>
                <w:color w:val="auto"/>
              </w:rPr>
              <w:t>(4)</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80" w:type="dxa"/>
            <w:vAlign w:val="bottom"/>
            <w:gridSpan w:val="2"/>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1,610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5,462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080" w:type="dxa"/>
            <w:vAlign w:val="bottom"/>
            <w:gridSpan w:val="2"/>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20,227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20,175</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080" w:type="dxa"/>
            <w:vAlign w:val="bottom"/>
            <w:gridSpan w:val="2"/>
          </w:tcPr>
          <w:p>
            <w:pPr>
              <w:ind w:left="39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2,201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7,491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14,042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14,073</w:t>
            </w: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5,902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9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20,227</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900" w:type="dxa"/>
            <w:vAlign w:val="bottom"/>
            <w:vMerge w:val="restart"/>
          </w:tcPr>
          <w:p>
            <w:pPr>
              <w:jc w:val="right"/>
              <w:ind w:right="307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1,087</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1,238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2,575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short-term investments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 and warrants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0"/>
        </w:trPr>
        <w:tc>
          <w:tcPr>
            <w:tcW w:w="79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2008 presentation.</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w w:val="98"/>
              </w:rPr>
              <w:t>Quarters Ended</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Collection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2,071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2,233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Landfill</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Transfer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Wheelabrator</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Recycling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(556)</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Operating revenues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Internal Growth of Operating Revenues from Comparable Prior Periods</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Internal growth</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ind w:left="200"/>
              <w:spacing w:after="0" w:line="201" w:lineRule="exact"/>
              <w:rPr>
                <w:sz w:val="20"/>
                <w:szCs w:val="20"/>
                <w:color w:val="auto"/>
              </w:rPr>
            </w:pPr>
            <w:r>
              <w:rPr>
                <w:rFonts w:ascii="Arial" w:cs="Arial" w:eastAsia="Arial" w:hAnsi="Arial"/>
                <w:sz w:val="18"/>
                <w:szCs w:val="18"/>
                <w:color w:val="auto"/>
                <w:w w:val="90"/>
              </w:rPr>
              <w:t>Less: Yield changes due to recycling commodities, electricity (IPP), fuel surcharge and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mandated fees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Adjusted internal growth</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Acquisition Summary (b)</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annualized revenue acquired</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Total consideration</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acquisitions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WMRA Segment Supplemental Data (c)</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revenues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9"/>
          </w:tcPr>
          <w:p>
            <w:pPr>
              <w:jc w:val="right"/>
              <w:ind w:right="220"/>
              <w:spacing w:after="0"/>
              <w:rPr>
                <w:sz w:val="20"/>
                <w:szCs w:val="20"/>
                <w:color w:val="auto"/>
              </w:rPr>
            </w:pPr>
            <w:r>
              <w:rPr>
                <w:rFonts w:ascii="Arial" w:cs="Arial" w:eastAsia="Arial" w:hAnsi="Arial"/>
                <w:sz w:val="14"/>
                <w:szCs w:val="14"/>
                <w:b w:val="1"/>
                <w:bCs w:val="1"/>
                <w:color w:val="auto"/>
                <w:w w:val="92"/>
              </w:rPr>
              <w:t>Quarters Ended December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5"/>
          </w:tcPr>
          <w:p>
            <w:pPr>
              <w:jc w:val="right"/>
              <w:ind w:right="11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(d)</w:t>
            </w: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673</w:t>
            </w:r>
          </w:p>
        </w:tc>
        <w:tc>
          <w:tcPr>
            <w:tcW w:w="18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593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2,575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spacing w:after="0"/>
              <w:rPr>
                <w:sz w:val="18"/>
                <w:szCs w:val="18"/>
                <w:color w:val="auto"/>
              </w:rPr>
            </w:pPr>
          </w:p>
        </w:tc>
        <w:tc>
          <w:tcPr>
            <w:tcW w:w="12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spacing w:after="0" w:line="201" w:lineRule="exact"/>
              <w:rPr>
                <w:sz w:val="20"/>
                <w:szCs w:val="20"/>
                <w:color w:val="auto"/>
              </w:rPr>
            </w:pPr>
            <w:r>
              <w:rPr>
                <w:rFonts w:ascii="Arial" w:cs="Arial" w:eastAsia="Arial" w:hAnsi="Arial"/>
                <w:sz w:val="18"/>
                <w:szCs w:val="18"/>
                <w:color w:val="auto"/>
                <w:w w:val="98"/>
              </w:rPr>
              <w:t>Proceeds from divestitures of businesses (net of cash divested) and other sales of</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1,466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Quarters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5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 available for use (a)</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480</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8,326</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8,429</w:t>
            </w:r>
          </w:p>
        </w:tc>
        <w:tc>
          <w:tcPr>
            <w:tcW w:w="6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5,902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14,325</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68.4%</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18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and SFAS No. 143 Expenses for Landfills Included in Operating Groups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Non — SFAS No. 143 amortization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amortization expense (b) (c)</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109.5</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quarters presented include less than $1.0 million of short-term investments available for use.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quarter ended December 31, 2008, as compared with the quarter ended September 30, 2008 reflects a reduction in amortization expense of</w:t>
      </w:r>
    </w:p>
    <w:p>
      <w:pPr>
        <w:spacing w:after="0" w:line="34" w:lineRule="exact"/>
        <w:rPr>
          <w:rFonts w:ascii="Arial" w:cs="Arial" w:eastAsia="Arial" w:hAnsi="Arial"/>
          <w:sz w:val="17"/>
          <w:szCs w:val="17"/>
          <w:color w:val="auto"/>
        </w:rPr>
      </w:pPr>
    </w:p>
    <w:p>
      <w:pPr>
        <w:ind w:left="460"/>
        <w:spacing w:after="0" w:line="254" w:lineRule="auto"/>
        <w:rPr>
          <w:rFonts w:ascii="Arial" w:cs="Arial" w:eastAsia="Arial" w:hAnsi="Arial"/>
          <w:sz w:val="17"/>
          <w:szCs w:val="17"/>
          <w:color w:val="auto"/>
        </w:rPr>
      </w:pPr>
      <w:r>
        <w:rPr>
          <w:rFonts w:ascii="Arial" w:cs="Arial" w:eastAsia="Arial" w:hAnsi="Arial"/>
          <w:sz w:val="18"/>
          <w:szCs w:val="18"/>
          <w:color w:val="auto"/>
        </w:rPr>
        <w:t>$29.7 million of which $10.1 million is due to the seasonal reduction in landfill volumes. Additionally, there was a reduction of $9.0 million attributable to year-end adjustments of the SFAS 143 landfill capping construction and closure/post closure obligations as identified in our Q4 annual landfill reviews. Finally, the quarter ended September 30, 2008 includes a $7.2 million charge to amortization expense for revisions in estimates of closure and post-closure estimates.</w:t>
      </w:r>
    </w:p>
    <w:p>
      <w:pPr>
        <w:spacing w:after="0" w:line="41" w:lineRule="exact"/>
        <w:rPr>
          <w:rFonts w:ascii="Arial" w:cs="Arial" w:eastAsia="Arial" w:hAnsi="Arial"/>
          <w:sz w:val="17"/>
          <w:szCs w:val="17"/>
          <w:color w:val="auto"/>
        </w:rPr>
      </w:pP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quarter ended December 31, 2008, as compared with the quarter ended December 31, 2007 reflects a reduction in amortization expense of</w:t>
      </w:r>
    </w:p>
    <w:p>
      <w:pPr>
        <w:spacing w:after="0" w:line="34" w:lineRule="exact"/>
        <w:rPr>
          <w:rFonts w:ascii="Arial" w:cs="Arial" w:eastAsia="Arial" w:hAnsi="Arial"/>
          <w:sz w:val="17"/>
          <w:szCs w:val="17"/>
          <w:color w:val="auto"/>
        </w:rPr>
      </w:pPr>
    </w:p>
    <w:p>
      <w:pPr>
        <w:ind w:left="460" w:right="20"/>
        <w:spacing w:after="0" w:line="255" w:lineRule="auto"/>
        <w:rPr>
          <w:rFonts w:ascii="Arial" w:cs="Arial" w:eastAsia="Arial" w:hAnsi="Arial"/>
          <w:sz w:val="17"/>
          <w:szCs w:val="17"/>
          <w:color w:val="auto"/>
        </w:rPr>
      </w:pPr>
      <w:r>
        <w:rPr>
          <w:rFonts w:ascii="Arial" w:cs="Arial" w:eastAsia="Arial" w:hAnsi="Arial"/>
          <w:sz w:val="18"/>
          <w:szCs w:val="18"/>
          <w:color w:val="auto"/>
        </w:rPr>
        <w:t>$2.5 million, of which $5.9 million is primarily due to lower landfill volumes. There was also a year-over-year net increase of $3.1 million as a result of the annual year-end adjustments of the SFAS 143 landfill capping construction and closure/post closure obligations as identified in our Q4 annual review process.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96"/>
              </w:rPr>
              <w:t>Year Ended</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4"/>
          </w:tcPr>
          <w:p>
            <w:pPr>
              <w:jc w:val="center"/>
              <w:ind w:left="154"/>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235"/>
              <w:spacing w:after="0"/>
              <w:rPr>
                <w:sz w:val="20"/>
                <w:szCs w:val="20"/>
                <w:color w:val="auto"/>
              </w:rPr>
            </w:pPr>
            <w:r>
              <w:rPr>
                <w:rFonts w:ascii="Arial" w:cs="Arial" w:eastAsia="Arial" w:hAnsi="Arial"/>
                <w:sz w:val="14"/>
                <w:szCs w:val="14"/>
                <w:b w:val="1"/>
                <w:bCs w:val="1"/>
                <w:color w:val="auto"/>
                <w:w w:val="93"/>
              </w:rPr>
              <w:t>December 31, 2008</w:t>
            </w:r>
          </w:p>
        </w:tc>
        <w:tc>
          <w:tcPr>
            <w:tcW w:w="4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154"/>
              <w:spacing w:after="0"/>
              <w:rPr>
                <w:sz w:val="20"/>
                <w:szCs w:val="20"/>
                <w:color w:val="auto"/>
              </w:rPr>
            </w:pPr>
            <w:r>
              <w:rPr>
                <w:rFonts w:ascii="Arial" w:cs="Arial" w:eastAsia="Arial" w:hAnsi="Arial"/>
                <w:sz w:val="14"/>
                <w:szCs w:val="14"/>
                <w:b w:val="1"/>
                <w:bCs w:val="1"/>
                <w:color w:val="auto"/>
                <w:w w:val="91"/>
              </w:rPr>
              <w:t>December 31, 2007</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4"/>
          </w:tcPr>
          <w:p>
            <w:pPr>
              <w:jc w:val="center"/>
              <w:ind w:right="720"/>
              <w:spacing w:after="0" w:line="119" w:lineRule="exact"/>
              <w:rPr>
                <w:sz w:val="20"/>
                <w:szCs w:val="20"/>
                <w:color w:val="auto"/>
              </w:rPr>
            </w:pPr>
            <w:r>
              <w:rPr>
                <w:rFonts w:ascii="Arial" w:cs="Arial" w:eastAsia="Arial" w:hAnsi="Arial"/>
                <w:sz w:val="13"/>
                <w:szCs w:val="13"/>
                <w:b w:val="1"/>
                <w:bCs w:val="1"/>
                <w:color w:val="auto"/>
              </w:rPr>
              <w:t>After-tax</w:t>
            </w: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 Share</w:t>
            </w:r>
          </w:p>
        </w:tc>
        <w:tc>
          <w:tcPr>
            <w:tcW w:w="660" w:type="dxa"/>
            <w:vAlign w:val="bottom"/>
          </w:tcPr>
          <w:p>
            <w:pPr>
              <w:spacing w:after="0"/>
              <w:rPr>
                <w:sz w:val="10"/>
                <w:szCs w:val="10"/>
                <w:color w:val="auto"/>
              </w:rPr>
            </w:pPr>
          </w:p>
        </w:tc>
        <w:tc>
          <w:tcPr>
            <w:tcW w:w="10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r>
      <w:tr>
        <w:trPr>
          <w:trHeight w:val="171"/>
        </w:trPr>
        <w:tc>
          <w:tcPr>
            <w:tcW w:w="5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Net income and Diluted Earnings Per Share</w:t>
            </w: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900" w:type="dxa"/>
            <w:vAlign w:val="bottom"/>
          </w:tcPr>
          <w:p>
            <w:pPr>
              <w:ind w:left="220"/>
              <w:spacing w:after="0"/>
              <w:rPr>
                <w:sz w:val="20"/>
                <w:szCs w:val="20"/>
                <w:color w:val="auto"/>
              </w:rPr>
            </w:pPr>
            <w:r>
              <w:rPr>
                <w:rFonts w:ascii="Arial" w:cs="Arial" w:eastAsia="Arial" w:hAnsi="Arial"/>
                <w:sz w:val="18"/>
                <w:szCs w:val="18"/>
                <w:b w:val="1"/>
                <w:bCs w:val="1"/>
                <w:color w:val="auto"/>
              </w:rPr>
              <w:t>Net income and Diluted EPS, as reported</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1,087</w:t>
            </w:r>
          </w:p>
        </w:tc>
        <w:tc>
          <w:tcPr>
            <w:tcW w:w="68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2.19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1,163</w:t>
            </w:r>
          </w:p>
        </w:tc>
        <w:tc>
          <w:tcPr>
            <w:tcW w:w="58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2.23</w:t>
            </w:r>
          </w:p>
        </w:tc>
      </w:tr>
      <w:tr>
        <w:trPr>
          <w:trHeight w:val="216"/>
        </w:trPr>
        <w:tc>
          <w:tcPr>
            <w:tcW w:w="5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Adjustments to Net income and Diluted EPS: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420"/>
              <w:spacing w:after="0"/>
              <w:rPr>
                <w:sz w:val="20"/>
                <w:szCs w:val="20"/>
                <w:color w:val="auto"/>
              </w:rPr>
            </w:pPr>
            <w:r>
              <w:rPr>
                <w:rFonts w:ascii="Arial" w:cs="Arial" w:eastAsia="Arial" w:hAnsi="Arial"/>
                <w:sz w:val="18"/>
                <w:szCs w:val="18"/>
                <w:color w:val="auto"/>
              </w:rPr>
              <w:t>Multi-employer pension withdrawal costs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audit settlements and other tax items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(0.03)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(0.16)</w:t>
            </w:r>
          </w:p>
        </w:tc>
      </w:tr>
      <w:tr>
        <w:trPr>
          <w:trHeight w:val="216"/>
        </w:trPr>
        <w:tc>
          <w:tcPr>
            <w:tcW w:w="5900" w:type="dxa"/>
            <w:vAlign w:val="bottom"/>
          </w:tcPr>
          <w:p>
            <w:pPr>
              <w:ind w:left="420"/>
              <w:spacing w:after="0"/>
              <w:rPr>
                <w:sz w:val="20"/>
                <w:szCs w:val="20"/>
                <w:color w:val="auto"/>
              </w:rPr>
            </w:pPr>
            <w:r>
              <w:rPr>
                <w:rFonts w:ascii="Arial" w:cs="Arial" w:eastAsia="Arial" w:hAnsi="Arial"/>
                <w:sz w:val="18"/>
                <w:szCs w:val="18"/>
                <w:color w:val="auto"/>
              </w:rPr>
              <w:t>Landfill operating costs — changes in risk-free interest rates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divestitures, asset impairments and unusual items, net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(0.03)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(0.05)</w:t>
            </w:r>
          </w:p>
        </w:tc>
      </w:tr>
      <w:tr>
        <w:trPr>
          <w:trHeight w:val="216"/>
        </w:trPr>
        <w:tc>
          <w:tcPr>
            <w:tcW w:w="5900" w:type="dxa"/>
            <w:vAlign w:val="bottom"/>
          </w:tcPr>
          <w:p>
            <w:pPr>
              <w:ind w:left="420"/>
              <w:spacing w:after="0"/>
              <w:rPr>
                <w:sz w:val="20"/>
                <w:szCs w:val="20"/>
                <w:color w:val="auto"/>
              </w:rPr>
            </w:pPr>
            <w:r>
              <w:rPr>
                <w:rFonts w:ascii="Arial" w:cs="Arial" w:eastAsia="Arial" w:hAnsi="Arial"/>
                <w:sz w:val="18"/>
                <w:szCs w:val="18"/>
                <w:color w:val="auto"/>
              </w:rPr>
              <w:t>Labor disruptions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r>
        <w:trPr>
          <w:trHeight w:val="216"/>
        </w:trPr>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0"/>
        </w:trPr>
        <w:tc>
          <w:tcPr>
            <w:tcW w:w="5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900" w:type="dxa"/>
            <w:vAlign w:val="bottom"/>
          </w:tcPr>
          <w:p>
            <w:pPr>
              <w:ind w:left="220"/>
              <w:spacing w:after="0"/>
              <w:rPr>
                <w:sz w:val="20"/>
                <w:szCs w:val="20"/>
                <w:color w:val="auto"/>
              </w:rPr>
            </w:pPr>
            <w:r>
              <w:rPr>
                <w:rFonts w:ascii="Arial" w:cs="Arial" w:eastAsia="Arial" w:hAnsi="Arial"/>
                <w:sz w:val="18"/>
                <w:szCs w:val="18"/>
                <w:b w:val="1"/>
                <w:bCs w:val="1"/>
                <w:color w:val="auto"/>
              </w:rPr>
              <w:t>Net income and Diluted EPS, as adjusted (a)</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1,099</w:t>
            </w:r>
          </w:p>
        </w:tc>
        <w:tc>
          <w:tcPr>
            <w:tcW w:w="68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u w:val="single" w:color="auto"/>
                <w:color w:val="auto"/>
              </w:rPr>
              <w:t>22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1,081</w:t>
            </w:r>
          </w:p>
        </w:tc>
        <w:tc>
          <w:tcPr>
            <w:tcW w:w="58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u w:val="single" w:color="auto"/>
                <w:color w:val="auto"/>
              </w:rPr>
              <w:t>07</w:t>
            </w:r>
          </w:p>
        </w:tc>
      </w:tr>
      <w:tr>
        <w:trPr>
          <w:trHeight w:val="20"/>
        </w:trPr>
        <w:tc>
          <w:tcPr>
            <w:tcW w:w="5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5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4"/>
          </w:tcPr>
          <w:p>
            <w:pPr>
              <w:jc w:val="center"/>
              <w:ind w:left="235"/>
              <w:spacing w:after="0"/>
              <w:rPr>
                <w:sz w:val="20"/>
                <w:szCs w:val="20"/>
                <w:color w:val="auto"/>
              </w:rPr>
            </w:pPr>
            <w:r>
              <w:rPr>
                <w:rFonts w:ascii="Arial" w:cs="Arial" w:eastAsia="Arial" w:hAnsi="Arial"/>
                <w:sz w:val="14"/>
                <w:szCs w:val="14"/>
                <w:b w:val="1"/>
                <w:bCs w:val="1"/>
                <w:color w:val="auto"/>
                <w:w w:val="96"/>
              </w:rPr>
              <w:t>Quarter Ended</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4"/>
          </w:tcPr>
          <w:p>
            <w:pPr>
              <w:jc w:val="center"/>
              <w:ind w:left="134"/>
              <w:spacing w:after="0"/>
              <w:rPr>
                <w:sz w:val="20"/>
                <w:szCs w:val="20"/>
                <w:color w:val="auto"/>
              </w:rPr>
            </w:pPr>
            <w:r>
              <w:rPr>
                <w:rFonts w:ascii="Arial" w:cs="Arial" w:eastAsia="Arial" w:hAnsi="Arial"/>
                <w:sz w:val="14"/>
                <w:szCs w:val="14"/>
                <w:b w:val="1"/>
                <w:bCs w:val="1"/>
                <w:color w:val="auto"/>
                <w:w w:val="96"/>
              </w:rPr>
              <w:t>Quarter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235"/>
              <w:spacing w:after="0"/>
              <w:rPr>
                <w:sz w:val="20"/>
                <w:szCs w:val="20"/>
                <w:color w:val="auto"/>
              </w:rPr>
            </w:pPr>
            <w:r>
              <w:rPr>
                <w:rFonts w:ascii="Arial" w:cs="Arial" w:eastAsia="Arial" w:hAnsi="Arial"/>
                <w:sz w:val="14"/>
                <w:szCs w:val="14"/>
                <w:b w:val="1"/>
                <w:bCs w:val="1"/>
                <w:color w:val="auto"/>
                <w:w w:val="93"/>
              </w:rPr>
              <w:t>December 31, 2008</w:t>
            </w:r>
          </w:p>
        </w:tc>
        <w:tc>
          <w:tcPr>
            <w:tcW w:w="4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154"/>
              <w:spacing w:after="0"/>
              <w:rPr>
                <w:sz w:val="20"/>
                <w:szCs w:val="20"/>
                <w:color w:val="auto"/>
              </w:rPr>
            </w:pPr>
            <w:r>
              <w:rPr>
                <w:rFonts w:ascii="Arial" w:cs="Arial" w:eastAsia="Arial" w:hAnsi="Arial"/>
                <w:sz w:val="14"/>
                <w:szCs w:val="14"/>
                <w:b w:val="1"/>
                <w:bCs w:val="1"/>
                <w:color w:val="auto"/>
                <w:w w:val="91"/>
              </w:rPr>
              <w:t>December 31, 2007</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4"/>
          </w:tcPr>
          <w:p>
            <w:pPr>
              <w:jc w:val="center"/>
              <w:ind w:right="720"/>
              <w:spacing w:after="0" w:line="119" w:lineRule="exact"/>
              <w:rPr>
                <w:sz w:val="20"/>
                <w:szCs w:val="20"/>
                <w:color w:val="auto"/>
              </w:rPr>
            </w:pPr>
            <w:r>
              <w:rPr>
                <w:rFonts w:ascii="Arial" w:cs="Arial" w:eastAsia="Arial" w:hAnsi="Arial"/>
                <w:sz w:val="13"/>
                <w:szCs w:val="13"/>
                <w:b w:val="1"/>
                <w:bCs w:val="1"/>
                <w:color w:val="auto"/>
              </w:rPr>
              <w:t>After-tax</w:t>
            </w: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 Share</w:t>
            </w:r>
          </w:p>
        </w:tc>
        <w:tc>
          <w:tcPr>
            <w:tcW w:w="660" w:type="dxa"/>
            <w:vAlign w:val="bottom"/>
          </w:tcPr>
          <w:p>
            <w:pPr>
              <w:spacing w:after="0"/>
              <w:rPr>
                <w:sz w:val="10"/>
                <w:szCs w:val="10"/>
                <w:color w:val="auto"/>
              </w:rPr>
            </w:pPr>
          </w:p>
        </w:tc>
        <w:tc>
          <w:tcPr>
            <w:tcW w:w="10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r>
      <w:tr>
        <w:trPr>
          <w:trHeight w:val="171"/>
        </w:trPr>
        <w:tc>
          <w:tcPr>
            <w:tcW w:w="5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Net income and Diluted Earnings Per Share</w:t>
            </w: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900" w:type="dxa"/>
            <w:vAlign w:val="bottom"/>
          </w:tcPr>
          <w:p>
            <w:pPr>
              <w:ind w:left="220"/>
              <w:spacing w:after="0"/>
              <w:rPr>
                <w:sz w:val="20"/>
                <w:szCs w:val="20"/>
                <w:color w:val="auto"/>
              </w:rPr>
            </w:pPr>
            <w:r>
              <w:rPr>
                <w:rFonts w:ascii="Arial" w:cs="Arial" w:eastAsia="Arial" w:hAnsi="Arial"/>
                <w:sz w:val="18"/>
                <w:szCs w:val="18"/>
                <w:b w:val="1"/>
                <w:bCs w:val="1"/>
                <w:color w:val="auto"/>
              </w:rPr>
              <w:t>Net income and Diluted EPS, as reported</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218</w:t>
            </w:r>
          </w:p>
        </w:tc>
        <w:tc>
          <w:tcPr>
            <w:tcW w:w="68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0.44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309</w:t>
            </w:r>
          </w:p>
        </w:tc>
        <w:tc>
          <w:tcPr>
            <w:tcW w:w="58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0.61</w:t>
            </w:r>
          </w:p>
        </w:tc>
      </w:tr>
      <w:tr>
        <w:trPr>
          <w:trHeight w:val="216"/>
        </w:trPr>
        <w:tc>
          <w:tcPr>
            <w:tcW w:w="5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Adjustments to Net income and Diluted EPS: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420"/>
              <w:spacing w:after="0"/>
              <w:rPr>
                <w:sz w:val="20"/>
                <w:szCs w:val="20"/>
                <w:color w:val="auto"/>
              </w:rPr>
            </w:pPr>
            <w:r>
              <w:rPr>
                <w:rFonts w:ascii="Arial" w:cs="Arial" w:eastAsia="Arial" w:hAnsi="Arial"/>
                <w:sz w:val="18"/>
                <w:szCs w:val="18"/>
                <w:color w:val="auto"/>
              </w:rPr>
              <w:t>Multi-employer pension withdrawal costs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Landfill operating costs — changes in risk-free interest rates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ind w:left="420"/>
              <w:spacing w:after="0"/>
              <w:rPr>
                <w:sz w:val="20"/>
                <w:szCs w:val="20"/>
                <w:color w:val="auto"/>
              </w:rPr>
            </w:pPr>
            <w:r>
              <w:rPr>
                <w:rFonts w:ascii="Arial" w:cs="Arial" w:eastAsia="Arial" w:hAnsi="Arial"/>
                <w:sz w:val="18"/>
                <w:szCs w:val="18"/>
                <w:color w:val="auto"/>
              </w:rPr>
              <w:t>Benefit from income tax related items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(0.01)</w:t>
            </w: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(0.06)</w:t>
            </w:r>
          </w:p>
        </w:tc>
      </w:tr>
      <w:tr>
        <w:trPr>
          <w:trHeight w:val="216"/>
        </w:trPr>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divestitures, asset impairments and unusual items, net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(0.02)</w:t>
            </w:r>
          </w:p>
        </w:tc>
      </w:tr>
      <w:tr>
        <w:trPr>
          <w:trHeight w:val="216"/>
        </w:trPr>
        <w:tc>
          <w:tcPr>
            <w:tcW w:w="5900" w:type="dxa"/>
            <w:vAlign w:val="bottom"/>
          </w:tcPr>
          <w:p>
            <w:pPr>
              <w:ind w:left="420"/>
              <w:spacing w:after="0"/>
              <w:rPr>
                <w:sz w:val="20"/>
                <w:szCs w:val="20"/>
                <w:color w:val="auto"/>
              </w:rPr>
            </w:pPr>
            <w:r>
              <w:rPr>
                <w:rFonts w:ascii="Arial" w:cs="Arial" w:eastAsia="Arial" w:hAnsi="Arial"/>
                <w:sz w:val="18"/>
                <w:szCs w:val="18"/>
                <w:color w:val="auto"/>
              </w:rPr>
              <w:t>Labor disruptions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7"/>
        </w:trPr>
        <w:tc>
          <w:tcPr>
            <w:tcW w:w="5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 and Diluted EPS, as adjusted (b)</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241</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0.49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276</w:t>
            </w:r>
          </w:p>
        </w:tc>
        <w:tc>
          <w:tcPr>
            <w:tcW w:w="5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0.54</w:t>
            </w:r>
          </w:p>
        </w:tc>
      </w:tr>
      <w:tr>
        <w:trPr>
          <w:trHeight w:val="20"/>
        </w:trPr>
        <w:tc>
          <w:tcPr>
            <w:tcW w:w="5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Increase in Diluted EPS, as adjusted, of 7.2%.</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Decrease in Diluted EPS, as adjusted, of $0.05 per diluted share.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Impacts of Multi-Employer Pension Withdrawal Costs, Landfill Operating Costs (changes in risk-free interest rates) and Labor Disruptions on Operating Expenses as a percent of Revenues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12"/>
          </w:tcPr>
          <w:p>
            <w:pPr>
              <w:ind w:left="60"/>
              <w:spacing w:after="0"/>
              <w:rPr>
                <w:sz w:val="20"/>
                <w:szCs w:val="20"/>
                <w:color w:val="auto"/>
              </w:rPr>
            </w:pPr>
            <w:r>
              <w:rPr>
                <w:rFonts w:ascii="Arial" w:cs="Arial" w:eastAsia="Arial" w:hAnsi="Arial"/>
                <w:sz w:val="14"/>
                <w:szCs w:val="14"/>
                <w:b w:val="1"/>
                <w:bCs w:val="1"/>
                <w:color w:val="auto"/>
              </w:rPr>
              <w:t>Quarters Ended December 31,</w:t>
            </w: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83"/>
              </w:rPr>
              <w:t>2007</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Operating Expenses as a percent of Revenues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120" w:type="dxa"/>
            <w:vAlign w:val="bottom"/>
          </w:tcPr>
          <w:p>
            <w:pPr>
              <w:ind w:left="220"/>
              <w:spacing w:after="0"/>
              <w:rPr>
                <w:sz w:val="20"/>
                <w:szCs w:val="20"/>
                <w:color w:val="auto"/>
              </w:rPr>
            </w:pPr>
            <w:r>
              <w:rPr>
                <w:rFonts w:ascii="Arial" w:cs="Arial" w:eastAsia="Arial" w:hAnsi="Arial"/>
                <w:sz w:val="18"/>
                <w:szCs w:val="18"/>
                <w:b w:val="1"/>
                <w:bCs w:val="1"/>
                <w:color w:val="auto"/>
              </w:rPr>
              <w:t>As reported:</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90"/>
              </w:rPr>
              <w:t>$3,361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$ 1,972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3"/>
          </w:tcPr>
          <w:p>
            <w:pPr>
              <w:jc w:val="right"/>
              <w:ind w:right="72"/>
              <w:spacing w:after="0"/>
              <w:rPr>
                <w:sz w:val="20"/>
                <w:szCs w:val="20"/>
                <w:color w:val="auto"/>
              </w:rPr>
            </w:pPr>
            <w:r>
              <w:rPr>
                <w:rFonts w:ascii="Arial" w:cs="Arial" w:eastAsia="Arial" w:hAnsi="Arial"/>
                <w:sz w:val="18"/>
                <w:szCs w:val="18"/>
                <w:color w:val="auto"/>
                <w:w w:val="83"/>
              </w:rPr>
              <w:t>$ 2,133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Operating Expenses as a percent of Revenues (a)</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63.4%</w:t>
            </w:r>
          </w:p>
        </w:tc>
        <w:tc>
          <w:tcPr>
            <w:tcW w:w="12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120" w:type="dxa"/>
            <w:vAlign w:val="bottom"/>
          </w:tcPr>
          <w:p>
            <w:pPr>
              <w:ind w:left="220"/>
              <w:spacing w:after="0"/>
              <w:rPr>
                <w:sz w:val="20"/>
                <w:szCs w:val="20"/>
                <w:color w:val="auto"/>
              </w:rPr>
            </w:pPr>
            <w:r>
              <w:rPr>
                <w:rFonts w:ascii="Arial" w:cs="Arial" w:eastAsia="Arial" w:hAnsi="Arial"/>
                <w:sz w:val="18"/>
                <w:szCs w:val="18"/>
                <w:b w:val="1"/>
                <w:bCs w:val="1"/>
                <w:color w:val="auto"/>
              </w:rPr>
              <w:t>Adjustments</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7120" w:type="dxa"/>
            <w:vAlign w:val="bottom"/>
          </w:tcPr>
          <w:p>
            <w:pPr>
              <w:ind w:left="42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8"/>
                <w:szCs w:val="18"/>
                <w:b w:val="1"/>
                <w:bCs w:val="1"/>
                <w:color w:val="auto"/>
              </w:rPr>
              <w:t>(b)</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As adjusted:</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420"/>
              <w:spacing w:after="0"/>
              <w:rPr>
                <w:sz w:val="20"/>
                <w:szCs w:val="20"/>
                <w:color w:val="auto"/>
              </w:rPr>
            </w:pPr>
            <w:r>
              <w:rPr>
                <w:rFonts w:ascii="Arial" w:cs="Arial" w:eastAsia="Arial" w:hAnsi="Arial"/>
                <w:sz w:val="18"/>
                <w:szCs w:val="18"/>
                <w:color w:val="auto"/>
              </w:rPr>
              <w:t>Operating revenues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$3,108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72"/>
              <w:spacing w:after="0"/>
              <w:rPr>
                <w:sz w:val="20"/>
                <w:szCs w:val="20"/>
                <w:color w:val="auto"/>
              </w:rPr>
            </w:pPr>
            <w:r>
              <w:rPr>
                <w:rFonts w:ascii="Arial" w:cs="Arial" w:eastAsia="Arial" w:hAnsi="Arial"/>
                <w:sz w:val="18"/>
                <w:szCs w:val="18"/>
                <w:color w:val="auto"/>
                <w:w w:val="90"/>
              </w:rPr>
              <w:t>$3,361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90"/>
              </w:rPr>
              <w:t>$2,125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120" w:type="dxa"/>
            <w:vAlign w:val="bottom"/>
          </w:tcPr>
          <w:p>
            <w:pPr>
              <w:ind w:left="220"/>
              <w:spacing w:after="0"/>
              <w:rPr>
                <w:sz w:val="20"/>
                <w:szCs w:val="20"/>
                <w:color w:val="auto"/>
              </w:rPr>
            </w:pPr>
            <w:r>
              <w:rPr>
                <w:rFonts w:ascii="Arial" w:cs="Arial" w:eastAsia="Arial" w:hAnsi="Arial"/>
                <w:sz w:val="18"/>
                <w:szCs w:val="18"/>
                <w:b w:val="1"/>
                <w:bCs w:val="1"/>
                <w:color w:val="auto"/>
              </w:rPr>
              <w:t>Adjusted Operating Expenses as a percent of Revenues (c)</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61.7%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7"/>
              </w:rPr>
              <w:t>63.2%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0"/>
          </w:tcPr>
          <w:p>
            <w:pPr>
              <w:ind w:left="420"/>
              <w:spacing w:after="0"/>
              <w:rPr>
                <w:sz w:val="20"/>
                <w:szCs w:val="20"/>
                <w:color w:val="auto"/>
              </w:rPr>
            </w:pPr>
            <w:r>
              <w:rPr>
                <w:rFonts w:ascii="Arial" w:cs="Arial" w:eastAsia="Arial" w:hAnsi="Arial"/>
                <w:sz w:val="14"/>
                <w:szCs w:val="14"/>
                <w:b w:val="1"/>
                <w:bCs w:val="1"/>
                <w:color w:val="auto"/>
                <w:w w:val="97"/>
              </w:rPr>
              <w:t>Quarter Ended December 31, 2008</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120" w:type="dxa"/>
            <w:vAlign w:val="bottom"/>
          </w:tcPr>
          <w:p>
            <w:pPr>
              <w:spacing w:after="0"/>
              <w:rPr>
                <w:sz w:val="10"/>
                <w:szCs w:val="10"/>
                <w:color w:val="auto"/>
              </w:rPr>
            </w:pPr>
          </w:p>
        </w:tc>
        <w:tc>
          <w:tcPr>
            <w:tcW w:w="158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Pre-tax Income</w:t>
            </w:r>
          </w:p>
        </w:tc>
        <w:tc>
          <w:tcPr>
            <w:tcW w:w="360" w:type="dxa"/>
            <w:vAlign w:val="bottom"/>
          </w:tcPr>
          <w:p>
            <w:pPr>
              <w:spacing w:after="0"/>
              <w:rPr>
                <w:sz w:val="10"/>
                <w:szCs w:val="10"/>
                <w:color w:val="auto"/>
              </w:rPr>
            </w:pPr>
          </w:p>
        </w:tc>
        <w:tc>
          <w:tcPr>
            <w:tcW w:w="1500" w:type="dxa"/>
            <w:vAlign w:val="bottom"/>
            <w:gridSpan w:val="7"/>
            <w:vMerge w:val="restart"/>
          </w:tcPr>
          <w:p>
            <w:pPr>
              <w:ind w:left="60"/>
              <w:spacing w:after="0"/>
              <w:rPr>
                <w:sz w:val="20"/>
                <w:szCs w:val="20"/>
                <w:color w:val="auto"/>
              </w:rPr>
            </w:pPr>
            <w:r>
              <w:rPr>
                <w:rFonts w:ascii="Arial" w:cs="Arial" w:eastAsia="Arial" w:hAnsi="Arial"/>
                <w:sz w:val="14"/>
                <w:szCs w:val="14"/>
                <w:b w:val="1"/>
                <w:bCs w:val="1"/>
                <w:color w:val="auto"/>
              </w:rPr>
              <w:t>Tax Expense</w:t>
            </w:r>
          </w:p>
        </w:tc>
        <w:tc>
          <w:tcPr>
            <w:tcW w:w="6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Effective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7"/>
            <w:vMerge w:val="continue"/>
          </w:tcPr>
          <w:p>
            <w:pPr>
              <w:spacing w:after="0"/>
              <w:rPr>
                <w:sz w:val="14"/>
                <w:szCs w:val="14"/>
                <w:color w:val="auto"/>
              </w:rPr>
            </w:pPr>
          </w:p>
        </w:tc>
        <w:tc>
          <w:tcPr>
            <w:tcW w:w="860" w:type="dxa"/>
            <w:vAlign w:val="bottom"/>
            <w:gridSpan w:val="5"/>
          </w:tcPr>
          <w:p>
            <w:pPr>
              <w:ind w:left="60"/>
              <w:spacing w:after="0"/>
              <w:rPr>
                <w:sz w:val="20"/>
                <w:szCs w:val="20"/>
                <w:color w:val="auto"/>
              </w:rPr>
            </w:pPr>
            <w:r>
              <w:rPr>
                <w:rFonts w:ascii="Arial" w:cs="Arial" w:eastAsia="Arial" w:hAnsi="Arial"/>
                <w:sz w:val="14"/>
                <w:szCs w:val="14"/>
                <w:b w:val="1"/>
                <w:bCs w:val="1"/>
                <w:color w:val="auto"/>
              </w:rPr>
              <w:t>Tax Rate</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effective tax rate</w:t>
            </w:r>
          </w:p>
        </w:tc>
        <w:tc>
          <w:tcPr>
            <w:tcW w:w="4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120" w:type="dxa"/>
            <w:vAlign w:val="bottom"/>
          </w:tcPr>
          <w:p>
            <w:pPr>
              <w:ind w:left="220"/>
              <w:spacing w:after="0"/>
              <w:rPr>
                <w:sz w:val="20"/>
                <w:szCs w:val="20"/>
                <w:color w:val="auto"/>
              </w:rPr>
            </w:pPr>
            <w:r>
              <w:rPr>
                <w:rFonts w:ascii="Arial" w:cs="Arial" w:eastAsia="Arial" w:hAnsi="Arial"/>
                <w:sz w:val="18"/>
                <w:szCs w:val="18"/>
                <w:b w:val="1"/>
                <w:bCs w:val="1"/>
                <w:color w:val="auto"/>
              </w:rPr>
              <w:t>As reported amounts</w:t>
            </w:r>
          </w:p>
        </w:tc>
        <w:tc>
          <w:tcPr>
            <w:tcW w:w="780" w:type="dxa"/>
            <w:vAlign w:val="bottom"/>
            <w:gridSpan w:val="2"/>
          </w:tcPr>
          <w:p>
            <w:pPr>
              <w:ind w:left="4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343</w:t>
            </w:r>
          </w:p>
        </w:tc>
        <w:tc>
          <w:tcPr>
            <w:tcW w:w="360" w:type="dxa"/>
            <w:vAlign w:val="bottom"/>
          </w:tcPr>
          <w:p>
            <w:pPr>
              <w:spacing w:after="0"/>
              <w:rPr>
                <w:sz w:val="24"/>
                <w:szCs w:val="24"/>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36.4%</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Adjustments to Pre-tax income and Tax expense:</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420"/>
              <w:spacing w:after="0"/>
              <w:rPr>
                <w:sz w:val="20"/>
                <w:szCs w:val="20"/>
                <w:color w:val="auto"/>
              </w:rPr>
            </w:pPr>
            <w:r>
              <w:rPr>
                <w:rFonts w:ascii="Arial" w:cs="Arial" w:eastAsia="Arial" w:hAnsi="Arial"/>
                <w:sz w:val="18"/>
                <w:szCs w:val="18"/>
                <w:color w:val="auto"/>
              </w:rPr>
              <w:t>Multi-employer pension withdrawal costs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Landfill operating costs — changes in risk-free interest rates </w:t>
            </w:r>
            <w:r>
              <w:rPr>
                <w:rFonts w:ascii="Arial" w:cs="Arial" w:eastAsia="Arial" w:hAnsi="Arial"/>
                <w:sz w:val="18"/>
                <w:szCs w:val="18"/>
                <w:b w:val="1"/>
                <w:bCs w:val="1"/>
                <w:color w:val="auto"/>
              </w:rPr>
              <w:t>(d)</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420"/>
              <w:spacing w:after="0"/>
              <w:rPr>
                <w:sz w:val="20"/>
                <w:szCs w:val="20"/>
                <w:color w:val="auto"/>
              </w:rPr>
            </w:pPr>
            <w:r>
              <w:rPr>
                <w:rFonts w:ascii="Arial" w:cs="Arial" w:eastAsia="Arial" w:hAnsi="Arial"/>
                <w:sz w:val="18"/>
                <w:szCs w:val="18"/>
                <w:color w:val="auto"/>
              </w:rPr>
              <w:t>Tax items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As adjusted amounts</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391</w:t>
            </w: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44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5"/>
          </w:tcPr>
          <w:p>
            <w:pPr>
              <w:ind w:left="20"/>
              <w:spacing w:after="0"/>
              <w:rPr>
                <w:sz w:val="20"/>
                <w:szCs w:val="20"/>
                <w:color w:val="auto"/>
              </w:rPr>
            </w:pPr>
            <w:r>
              <w:rPr>
                <w:rFonts w:ascii="Arial" w:cs="Arial" w:eastAsia="Arial" w:hAnsi="Arial"/>
                <w:sz w:val="14"/>
                <w:szCs w:val="14"/>
                <w:b w:val="1"/>
                <w:bCs w:val="1"/>
                <w:color w:val="auto"/>
              </w:rPr>
              <w:t>Scenario 1</w:t>
            </w:r>
          </w:p>
        </w:tc>
        <w:tc>
          <w:tcPr>
            <w:tcW w:w="80" w:type="dxa"/>
            <w:vAlign w:val="bottom"/>
          </w:tcPr>
          <w:p>
            <w:pPr>
              <w:spacing w:after="0"/>
              <w:rPr>
                <w:sz w:val="24"/>
                <w:szCs w:val="24"/>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Scenario 2</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 xml:space="preserve">Full Year 2009 Free Cash Flow Reconciliation </w:t>
            </w:r>
            <w:r>
              <w:rPr>
                <w:rFonts w:ascii="Arial" w:cs="Arial" w:eastAsia="Arial" w:hAnsi="Arial"/>
                <w:sz w:val="18"/>
                <w:szCs w:val="18"/>
                <w:b w:val="1"/>
                <w:bCs w:val="1"/>
                <w:color w:val="auto"/>
              </w:rPr>
              <w:t>(e)</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12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w w:val="97"/>
              </w:rPr>
              <w:t>2,310</w:t>
            </w:r>
          </w:p>
        </w:tc>
        <w:tc>
          <w:tcPr>
            <w:tcW w:w="220" w:type="dxa"/>
            <w:vAlign w:val="bottom"/>
          </w:tcPr>
          <w:p>
            <w:pPr>
              <w:spacing w:after="0"/>
              <w:rPr>
                <w:sz w:val="24"/>
                <w:szCs w:val="24"/>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7"/>
              </w:rPr>
              <w:t>(1,100)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7120" w:type="dxa"/>
            <w:vAlign w:val="bottom"/>
          </w:tcPr>
          <w:p>
            <w:pPr>
              <w:ind w:left="420"/>
              <w:spacing w:after="0"/>
              <w:rPr>
                <w:sz w:val="20"/>
                <w:szCs w:val="20"/>
                <w:color w:val="auto"/>
              </w:rPr>
            </w:pPr>
            <w:r>
              <w:rPr>
                <w:rFonts w:ascii="Arial" w:cs="Arial" w:eastAsia="Arial" w:hAnsi="Arial"/>
                <w:sz w:val="18"/>
                <w:szCs w:val="18"/>
                <w:color w:val="auto"/>
                <w:w w:val="94"/>
              </w:rPr>
              <w:t>Proceeds from divestitures of businesses (net of cash divested) and other sales of assets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Free cash flow</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7"/>
              </w:rPr>
              <w:t>1,300</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1,400</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Operating Expenses for the fourth quarter 2008 were essentially flat as a percent of revenue compared with the prior year period.</w:t>
      </w:r>
    </w:p>
    <w:p>
      <w:pPr>
        <w:spacing w:after="0" w:line="76" w:lineRule="exact"/>
        <w:rPr>
          <w:rFonts w:ascii="Arial" w:cs="Arial" w:eastAsia="Arial" w:hAnsi="Arial"/>
          <w:sz w:val="18"/>
          <w:szCs w:val="18"/>
          <w:b w:val="1"/>
          <w:bCs w:val="1"/>
          <w:color w:val="auto"/>
        </w:rPr>
      </w:pPr>
    </w:p>
    <w:p>
      <w:pPr>
        <w:ind w:left="460" w:right="280" w:hanging="452"/>
        <w:spacing w:after="0" w:line="323" w:lineRule="auto"/>
        <w:tabs>
          <w:tab w:leader="none" w:pos="4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Adjustments in 2008 include: $33 million charge to landfill operating costs associated with changes in risk-free interest rates and $21 million charge related to our withdrawal from union operated pension plans. Adjustment in 2007 included $8 million charge related to labor disruption costs.</w:t>
      </w:r>
    </w:p>
    <w:p>
      <w:pPr>
        <w:spacing w:after="0" w:line="4" w:lineRule="exact"/>
        <w:rPr>
          <w:rFonts w:ascii="Arial" w:cs="Arial" w:eastAsia="Arial" w:hAnsi="Arial"/>
          <w:sz w:val="16"/>
          <w:szCs w:val="16"/>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Decrease in Operating Expenses as a percent of revenue, as adjusted, of 150 basis points.</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Includes $33 million charge to Operating Expense, offset by a $6 million reduction in Minority Interest.</w:t>
      </w:r>
    </w:p>
    <w:p>
      <w:pPr>
        <w:spacing w:after="0" w:line="76" w:lineRule="exact"/>
        <w:rPr>
          <w:rFonts w:ascii="Arial" w:cs="Arial" w:eastAsia="Arial" w:hAnsi="Arial"/>
          <w:sz w:val="18"/>
          <w:szCs w:val="18"/>
          <w:b w:val="1"/>
          <w:bCs w:val="1"/>
          <w:color w:val="auto"/>
        </w:rPr>
      </w:pPr>
    </w:p>
    <w:p>
      <w:pPr>
        <w:ind w:left="460" w:right="180" w:hanging="452"/>
        <w:spacing w:after="0" w:line="308" w:lineRule="auto"/>
        <w:tabs>
          <w:tab w:leader="none" w:pos="4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The reconciliation illustrates two scenarios that show our projected Free Cash Flow range. The amounts used in the reconciliation are subject to many variables, some of which are not in our control and therefore are not necessarily indicative of what actual results will be.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ind w:left="10720"/>
        <w:spacing w:after="0"/>
        <w:rPr>
          <w:sz w:val="20"/>
          <w:szCs w:val="20"/>
          <w:color w:val="auto"/>
        </w:rPr>
      </w:pPr>
      <w:r>
        <w:rPr>
          <w:rFonts w:ascii="Arial" w:cs="Arial" w:eastAsia="Arial" w:hAnsi="Arial"/>
          <w:sz w:val="16"/>
          <w:szCs w:val="16"/>
          <w:b w:val="1"/>
          <w:bCs w:val="1"/>
          <w:color w:val="auto"/>
        </w:rPr>
        <w:t>Exhibit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Growth of Operating Revenues from Comparable Prior Periods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exhibit provides details associated with the period-to-period change in revenues and includes internal revenue growth as a percent of revenues on a total company basis as well as a percent of revenues on related business. We believe providing this information will help our investors better understand the Company’s Internal Revenue Growth information.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5"/>
              </w:rPr>
              <w:t>Quarters Ended</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98"/>
              </w:rPr>
              <w:t>December 31, 2008</w:t>
            </w:r>
          </w:p>
        </w:tc>
        <w:tc>
          <w:tcPr>
            <w:tcW w:w="7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7"/>
              </w:rPr>
              <w:t>September 30, 2008</w:t>
            </w:r>
          </w:p>
        </w:tc>
        <w:tc>
          <w:tcPr>
            <w:tcW w:w="7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99"/>
              </w:rPr>
              <w:t>December 31, 2007</w:t>
            </w:r>
          </w:p>
        </w:tc>
        <w:tc>
          <w:tcPr>
            <w:tcW w:w="7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w w:val="96"/>
              </w:rPr>
              <w:t>As a % of</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3"/>
              </w:rPr>
              <w:t>As a % of</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3"/>
              </w:rPr>
              <w:t>As a % of</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6"/>
              </w:rPr>
              <w:t>As a %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w w:val="93"/>
              </w:rPr>
              <w:t>As a % of</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6"/>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420"/>
              <w:spacing w:after="0" w:line="145" w:lineRule="exact"/>
              <w:rPr>
                <w:sz w:val="20"/>
                <w:szCs w:val="20"/>
                <w:color w:val="auto"/>
              </w:rPr>
            </w:pPr>
            <w:r>
              <w:rPr>
                <w:rFonts w:ascii="Arial" w:cs="Arial" w:eastAsia="Arial" w:hAnsi="Arial"/>
                <w:sz w:val="14"/>
                <w:szCs w:val="14"/>
                <w:color w:val="auto"/>
                <w:w w:val="91"/>
              </w:rPr>
              <w:t>Related</w:t>
            </w:r>
          </w:p>
        </w:tc>
        <w:tc>
          <w:tcPr>
            <w:tcW w:w="1200" w:type="dxa"/>
            <w:vAlign w:val="bottom"/>
            <w:gridSpan w:val="2"/>
          </w:tcPr>
          <w:p>
            <w:pPr>
              <w:jc w:val="center"/>
              <w:ind w:right="400"/>
              <w:spacing w:after="0" w:line="145" w:lineRule="exact"/>
              <w:rPr>
                <w:sz w:val="20"/>
                <w:szCs w:val="20"/>
                <w:color w:val="auto"/>
              </w:rPr>
            </w:pPr>
            <w:r>
              <w:rPr>
                <w:rFonts w:ascii="Arial" w:cs="Arial" w:eastAsia="Arial" w:hAnsi="Arial"/>
                <w:sz w:val="14"/>
                <w:szCs w:val="14"/>
                <w:color w:val="auto"/>
                <w:w w:val="89"/>
              </w:rPr>
              <w:t>Total</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420"/>
              <w:spacing w:after="0" w:line="145" w:lineRule="exact"/>
              <w:rPr>
                <w:sz w:val="20"/>
                <w:szCs w:val="20"/>
                <w:color w:val="auto"/>
              </w:rPr>
            </w:pPr>
            <w:r>
              <w:rPr>
                <w:rFonts w:ascii="Arial" w:cs="Arial" w:eastAsia="Arial" w:hAnsi="Arial"/>
                <w:sz w:val="14"/>
                <w:szCs w:val="14"/>
                <w:color w:val="auto"/>
                <w:w w:val="91"/>
              </w:rPr>
              <w:t>Related</w:t>
            </w:r>
          </w:p>
        </w:tc>
        <w:tc>
          <w:tcPr>
            <w:tcW w:w="106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96"/>
              </w:rPr>
              <w:t>Total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5" w:lineRule="exact"/>
              <w:rPr>
                <w:sz w:val="20"/>
                <w:szCs w:val="20"/>
                <w:color w:val="auto"/>
              </w:rPr>
            </w:pPr>
            <w:r>
              <w:rPr>
                <w:rFonts w:ascii="Arial" w:cs="Arial" w:eastAsia="Arial" w:hAnsi="Arial"/>
                <w:sz w:val="14"/>
                <w:szCs w:val="14"/>
                <w:color w:val="auto"/>
                <w:w w:val="91"/>
              </w:rPr>
              <w:t>Related</w:t>
            </w:r>
          </w:p>
        </w:tc>
        <w:tc>
          <w:tcPr>
            <w:tcW w:w="94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720" w:type="dxa"/>
            <w:vAlign w:val="bottom"/>
            <w:gridSpan w:val="4"/>
          </w:tcPr>
          <w:p>
            <w:pPr>
              <w:jc w:val="right"/>
              <w:ind w:right="220"/>
              <w:spacing w:after="0"/>
              <w:rPr>
                <w:sz w:val="20"/>
                <w:szCs w:val="20"/>
                <w:color w:val="auto"/>
              </w:rPr>
            </w:pPr>
            <w:r>
              <w:rPr>
                <w:rFonts w:ascii="Arial" w:cs="Arial" w:eastAsia="Arial" w:hAnsi="Arial"/>
                <w:sz w:val="14"/>
                <w:szCs w:val="14"/>
                <w:color w:val="auto"/>
                <w:w w:val="99"/>
              </w:rPr>
              <w:t>Amount</w:t>
            </w:r>
          </w:p>
        </w:tc>
        <w:tc>
          <w:tcPr>
            <w:tcW w:w="16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 xml:space="preserve">Business </w:t>
            </w:r>
            <w:r>
              <w:rPr>
                <w:rFonts w:ascii="Arial" w:cs="Arial" w:eastAsia="Arial" w:hAnsi="Arial"/>
                <w:sz w:val="14"/>
                <w:szCs w:val="14"/>
                <w:b w:val="1"/>
                <w:bCs w:val="1"/>
                <w:color w:val="auto"/>
                <w:w w:val="92"/>
              </w:rPr>
              <w:t>[A]</w:t>
            </w: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 xml:space="preserve">Company </w:t>
            </w:r>
            <w:r>
              <w:rPr>
                <w:rFonts w:ascii="Arial" w:cs="Arial" w:eastAsia="Arial" w:hAnsi="Arial"/>
                <w:sz w:val="14"/>
                <w:szCs w:val="14"/>
                <w:b w:val="1"/>
                <w:bCs w:val="1"/>
                <w:color w:val="auto"/>
                <w:w w:val="96"/>
              </w:rPr>
              <w:t>[B]</w:t>
            </w:r>
          </w:p>
        </w:tc>
        <w:tc>
          <w:tcPr>
            <w:tcW w:w="700" w:type="dxa"/>
            <w:vAlign w:val="bottom"/>
            <w:gridSpan w:val="3"/>
          </w:tcPr>
          <w:p>
            <w:pPr>
              <w:ind w:left="20"/>
              <w:spacing w:after="0"/>
              <w:rPr>
                <w:sz w:val="20"/>
                <w:szCs w:val="20"/>
                <w:color w:val="auto"/>
              </w:rPr>
            </w:pPr>
            <w:r>
              <w:rPr>
                <w:rFonts w:ascii="Arial" w:cs="Arial" w:eastAsia="Arial" w:hAnsi="Arial"/>
                <w:sz w:val="14"/>
                <w:szCs w:val="14"/>
                <w:color w:val="auto"/>
              </w:rPr>
              <w:t>Amount</w:t>
            </w: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 xml:space="preserve">Business </w:t>
            </w:r>
            <w:r>
              <w:rPr>
                <w:rFonts w:ascii="Arial" w:cs="Arial" w:eastAsia="Arial" w:hAnsi="Arial"/>
                <w:sz w:val="14"/>
                <w:szCs w:val="14"/>
                <w:b w:val="1"/>
                <w:bCs w:val="1"/>
                <w:color w:val="auto"/>
                <w:w w:val="92"/>
              </w:rPr>
              <w:t>[A]</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 xml:space="preserve">Company </w:t>
            </w:r>
            <w:r>
              <w:rPr>
                <w:rFonts w:ascii="Arial" w:cs="Arial" w:eastAsia="Arial" w:hAnsi="Arial"/>
                <w:sz w:val="14"/>
                <w:szCs w:val="14"/>
                <w:b w:val="1"/>
                <w:bCs w:val="1"/>
                <w:color w:val="auto"/>
                <w:w w:val="93"/>
              </w:rPr>
              <w:t>[B]</w:t>
            </w:r>
          </w:p>
        </w:tc>
        <w:tc>
          <w:tcPr>
            <w:tcW w:w="12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Amount</w:t>
            </w: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 xml:space="preserve">Business </w:t>
            </w:r>
            <w:r>
              <w:rPr>
                <w:rFonts w:ascii="Arial" w:cs="Arial" w:eastAsia="Arial" w:hAnsi="Arial"/>
                <w:sz w:val="14"/>
                <w:szCs w:val="14"/>
                <w:b w:val="1"/>
                <w:bCs w:val="1"/>
                <w:color w:val="auto"/>
                <w:w w:val="94"/>
              </w:rPr>
              <w:t>[A]</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 xml:space="preserve">Company </w:t>
            </w:r>
            <w:r>
              <w:rPr>
                <w:rFonts w:ascii="Arial" w:cs="Arial" w:eastAsia="Arial" w:hAnsi="Arial"/>
                <w:sz w:val="14"/>
                <w:szCs w:val="14"/>
                <w:b w:val="1"/>
                <w:bCs w:val="1"/>
                <w:color w:val="auto"/>
                <w:w w:val="93"/>
              </w:rPr>
              <w:t>[B]</w:t>
            </w:r>
          </w:p>
        </w:tc>
        <w:tc>
          <w:tcPr>
            <w:tcW w:w="0" w:type="dxa"/>
            <w:vAlign w:val="bottom"/>
          </w:tcPr>
          <w:p>
            <w:pPr>
              <w:spacing w:after="0"/>
              <w:rPr>
                <w:sz w:val="1"/>
                <w:szCs w:val="1"/>
                <w:color w:val="auto"/>
              </w:rPr>
            </w:pPr>
          </w:p>
        </w:tc>
      </w:tr>
      <w:tr>
        <w:trPr>
          <w:trHeight w:val="210"/>
        </w:trPr>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Yield:</w:t>
            </w: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420"/>
              <w:spacing w:after="0"/>
              <w:rPr>
                <w:sz w:val="20"/>
                <w:szCs w:val="20"/>
                <w:color w:val="auto"/>
              </w:rPr>
            </w:pPr>
            <w:r>
              <w:rPr>
                <w:rFonts w:ascii="Arial" w:cs="Arial" w:eastAsia="Arial" w:hAnsi="Arial"/>
                <w:sz w:val="18"/>
                <w:szCs w:val="18"/>
                <w:b w:val="1"/>
                <w:bCs w:val="1"/>
                <w:color w:val="auto"/>
              </w:rPr>
              <w:t>Solid waste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2.6%</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Waste to energy</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Base business</w:t>
            </w: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0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2.5%</w:t>
            </w: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3.2%</w:t>
            </w: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3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3.7%</w:t>
            </w: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vMerge w:val="continue"/>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vMerge w:val="continue"/>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Commodity</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-29.8%</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20" w:type="dxa"/>
            <w:vAlign w:val="bottom"/>
          </w:tcPr>
          <w:p>
            <w:pPr>
              <w:ind w:left="220"/>
              <w:spacing w:after="0"/>
              <w:rPr>
                <w:sz w:val="20"/>
                <w:szCs w:val="20"/>
                <w:color w:val="auto"/>
              </w:rPr>
            </w:pPr>
            <w:r>
              <w:rPr>
                <w:rFonts w:ascii="Arial" w:cs="Arial" w:eastAsia="Arial" w:hAnsi="Arial"/>
                <w:sz w:val="18"/>
                <w:szCs w:val="18"/>
                <w:b w:val="1"/>
                <w:bCs w:val="1"/>
                <w:color w:val="auto"/>
              </w:rPr>
              <w:t>Electricity (IPPs)</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5.3%</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25.0%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0.0%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220"/>
              <w:spacing w:after="0" w:line="198" w:lineRule="exact"/>
              <w:rPr>
                <w:sz w:val="20"/>
                <w:szCs w:val="20"/>
                <w:color w:val="auto"/>
              </w:rPr>
            </w:pPr>
            <w:r>
              <w:rPr>
                <w:rFonts w:ascii="Arial" w:cs="Arial" w:eastAsia="Arial" w:hAnsi="Arial"/>
                <w:sz w:val="18"/>
                <w:szCs w:val="18"/>
                <w:b w:val="1"/>
                <w:bCs w:val="1"/>
                <w:color w:val="auto"/>
              </w:rPr>
              <w:t>Fuel surcharges and</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fees</w:t>
            </w:r>
          </w:p>
        </w:tc>
        <w:tc>
          <w:tcPr>
            <w:tcW w:w="16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0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-0.9%</w:t>
            </w: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6.7%</w:t>
            </w: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3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7.1%</w:t>
            </w: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vMerge w:val="continue"/>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vMerge w:val="continue"/>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Volume</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(198)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5"/>
        </w:trPr>
        <w:tc>
          <w:tcPr>
            <w:tcW w:w="2020" w:type="dxa"/>
            <w:vAlign w:val="bottom"/>
          </w:tcPr>
          <w:p>
            <w:pPr>
              <w:spacing w:after="0" w:line="205" w:lineRule="exact"/>
              <w:rPr>
                <w:sz w:val="20"/>
                <w:szCs w:val="20"/>
                <w:color w:val="auto"/>
              </w:rPr>
            </w:pPr>
            <w:r>
              <w:rPr>
                <w:rFonts w:ascii="Arial" w:cs="Arial" w:eastAsia="Arial" w:hAnsi="Arial"/>
                <w:sz w:val="18"/>
                <w:szCs w:val="18"/>
                <w:b w:val="1"/>
                <w:bCs w:val="1"/>
                <w:color w:val="auto"/>
              </w:rPr>
              <w:t>Internal Revenue</w:t>
            </w: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20"/>
              <w:spacing w:after="0"/>
              <w:rPr>
                <w:sz w:val="20"/>
                <w:szCs w:val="20"/>
                <w:color w:val="auto"/>
              </w:rPr>
            </w:pPr>
            <w:r>
              <w:rPr>
                <w:rFonts w:ascii="Arial" w:cs="Arial" w:eastAsia="Arial" w:hAnsi="Arial"/>
                <w:sz w:val="18"/>
                <w:szCs w:val="18"/>
                <w:b w:val="1"/>
                <w:bCs w:val="1"/>
                <w:color w:val="auto"/>
              </w:rPr>
              <w:t>Growth</w:t>
            </w:r>
          </w:p>
        </w:tc>
        <w:tc>
          <w:tcPr>
            <w:tcW w:w="160" w:type="dxa"/>
            <w:vAlign w:val="bottom"/>
          </w:tcPr>
          <w:p>
            <w:pPr>
              <w:spacing w:after="0"/>
              <w:rPr>
                <w:sz w:val="20"/>
                <w:szCs w:val="20"/>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(227)</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b w:val="1"/>
                <w:bCs w:val="1"/>
                <w:color w:val="auto"/>
              </w:rPr>
              <w:t>Divestitures</w:t>
            </w:r>
          </w:p>
        </w:tc>
        <w:tc>
          <w:tcPr>
            <w:tcW w:w="16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translation</w:t>
            </w:r>
          </w:p>
        </w:tc>
        <w:tc>
          <w:tcPr>
            <w:tcW w:w="16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(253</w:t>
            </w:r>
          </w:p>
        </w:tc>
        <w:tc>
          <w:tcPr>
            <w:tcW w:w="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revenue information below represents the denominator used to calculate the percentages of related business and is defined as prior year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less current year divestitures.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left="179"/>
              <w:spacing w:after="0"/>
              <w:rPr>
                <w:sz w:val="20"/>
                <w:szCs w:val="20"/>
                <w:color w:val="auto"/>
              </w:rPr>
            </w:pPr>
            <w:r>
              <w:rPr>
                <w:rFonts w:ascii="Arial" w:cs="Arial" w:eastAsia="Arial" w:hAnsi="Arial"/>
                <w:sz w:val="14"/>
                <w:szCs w:val="14"/>
                <w:b w:val="1"/>
                <w:bCs w:val="1"/>
                <w:color w:val="auto"/>
                <w:w w:val="95"/>
              </w:rPr>
              <w:t>Quarters Ended</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8"/>
              </w:rPr>
              <w:t>Dec. 31, 2008</w:t>
            </w:r>
          </w:p>
        </w:tc>
        <w:tc>
          <w:tcPr>
            <w:tcW w:w="660" w:type="dxa"/>
            <w:vAlign w:val="bottom"/>
          </w:tcPr>
          <w:p>
            <w:pPr>
              <w:spacing w:after="0"/>
              <w:rPr>
                <w:sz w:val="10"/>
                <w:szCs w:val="10"/>
                <w:color w:val="auto"/>
              </w:rPr>
            </w:pPr>
          </w:p>
        </w:tc>
        <w:tc>
          <w:tcPr>
            <w:tcW w:w="108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Sept. 30,</w:t>
            </w:r>
          </w:p>
        </w:tc>
        <w:tc>
          <w:tcPr>
            <w:tcW w:w="260" w:type="dxa"/>
            <w:vAlign w:val="bottom"/>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 31, 2007</w:t>
            </w:r>
          </w:p>
        </w:tc>
        <w:tc>
          <w:tcPr>
            <w:tcW w:w="0" w:type="dxa"/>
            <w:vAlign w:val="bottom"/>
          </w:tcPr>
          <w:p>
            <w:pPr>
              <w:spacing w:after="0"/>
              <w:rPr>
                <w:sz w:val="1"/>
                <w:szCs w:val="1"/>
                <w:color w:val="auto"/>
              </w:rPr>
            </w:pPr>
          </w:p>
        </w:tc>
      </w:tr>
      <w:tr>
        <w:trPr>
          <w:trHeight w:val="171"/>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52"/>
              <w:spacing w:after="0"/>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Related Business Revenues:</w:t>
            </w: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420"/>
              <w:spacing w:after="0"/>
              <w:rPr>
                <w:sz w:val="20"/>
                <w:szCs w:val="20"/>
                <w:color w:val="auto"/>
              </w:rPr>
            </w:pPr>
            <w:r>
              <w:rPr>
                <w:rFonts w:ascii="Arial" w:cs="Arial" w:eastAsia="Arial" w:hAnsi="Arial"/>
                <w:sz w:val="18"/>
                <w:szCs w:val="18"/>
                <w:color w:val="auto"/>
              </w:rPr>
              <w:t>Solid waste</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2,678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2,742</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Waste to energy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Base business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Commodity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7680" w:type="dxa"/>
            <w:vAlign w:val="bottom"/>
          </w:tcPr>
          <w:p>
            <w:pPr>
              <w:ind w:left="220"/>
              <w:spacing w:after="0"/>
              <w:rPr>
                <w:sz w:val="20"/>
                <w:szCs w:val="20"/>
                <w:color w:val="auto"/>
              </w:rPr>
            </w:pPr>
            <w:r>
              <w:rPr>
                <w:rFonts w:ascii="Arial" w:cs="Arial" w:eastAsia="Arial" w:hAnsi="Arial"/>
                <w:sz w:val="18"/>
                <w:szCs w:val="18"/>
                <w:color w:val="auto"/>
              </w:rPr>
              <w:t>Electricity (IPPs)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surcharges and fees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Total Company</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color w:val="auto"/>
        </w:rPr>
        <w:t>These percentages are calculated using the Related Business revenue as the denominator.</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8"/>
          <w:szCs w:val="18"/>
          <w:color w:val="auto"/>
        </w:rPr>
        <w:t>These percentages are calculated using the total Company revenue as the denominator.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lvl w:ilvl="1">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2019-12-10T08:29:32Z</dcterms:created>
  <dcterms:modified xsi:type="dcterms:W3CDTF">2019-12-10T08:29:32Z</dcterms:modified>
</cp:coreProperties>
</file>