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620"/>
        <w:spacing w:after="0"/>
        <w:rPr>
          <w:sz w:val="20"/>
          <w:szCs w:val="20"/>
          <w:color w:val="auto"/>
        </w:rPr>
      </w:pPr>
      <w:r>
        <w:rPr>
          <w:rFonts w:ascii="Arial" w:cs="Arial" w:eastAsia="Arial" w:hAnsi="Arial"/>
          <w:sz w:val="22"/>
          <w:szCs w:val="22"/>
          <w:b w:val="1"/>
          <w:bCs w:val="1"/>
          <w:color w:val="auto"/>
        </w:rPr>
        <w:t>Date of Report (Date of earliest event reported): February 14,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40" w:type="dxa"/>
            <w:vAlign w:val="bottom"/>
          </w:tcPr>
          <w:p>
            <w:pPr>
              <w:jc w:val="center"/>
              <w:ind w:right="2544"/>
              <w:spacing w:after="0"/>
              <w:rPr>
                <w:sz w:val="20"/>
                <w:szCs w:val="20"/>
                <w:color w:val="auto"/>
              </w:rPr>
            </w:pPr>
            <w:r>
              <w:rPr>
                <w:rFonts w:ascii="Arial" w:cs="Arial" w:eastAsia="Arial" w:hAnsi="Arial"/>
                <w:sz w:val="18"/>
                <w:szCs w:val="18"/>
                <w:b w:val="1"/>
                <w:bCs w:val="1"/>
                <w:color w:val="auto"/>
                <w:w w:val="88"/>
              </w:rPr>
              <w:t>Delaware</w:t>
            </w:r>
          </w:p>
        </w:tc>
        <w:tc>
          <w:tcPr>
            <w:tcW w:w="2260" w:type="dxa"/>
            <w:vAlign w:val="bottom"/>
          </w:tcPr>
          <w:p>
            <w:pPr>
              <w:jc w:val="center"/>
              <w:ind w:right="126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424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60" w:type="dxa"/>
            <w:vAlign w:val="bottom"/>
          </w:tcPr>
          <w:p>
            <w:pPr>
              <w:jc w:val="center"/>
              <w:ind w:right="1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4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60" w:type="dxa"/>
            <w:vAlign w:val="bottom"/>
          </w:tcPr>
          <w:p>
            <w:pPr>
              <w:jc w:val="center"/>
              <w:ind w:right="124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40" w:type="dxa"/>
            <w:vAlign w:val="bottom"/>
          </w:tcPr>
          <w:p>
            <w:pPr>
              <w:jc w:val="center"/>
              <w:ind w:left="106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60" w:type="dxa"/>
            <w:vAlign w:val="bottom"/>
          </w:tcPr>
          <w:p>
            <w:pPr>
              <w:spacing w:after="0"/>
              <w:rPr>
                <w:sz w:val="24"/>
                <w:szCs w:val="24"/>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40" w:type="dxa"/>
            <w:vAlign w:val="bottom"/>
          </w:tcPr>
          <w:p>
            <w:pPr>
              <w:jc w:val="center"/>
              <w:ind w:left="104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6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fourth quarter and full year ended December 31, 2012,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88156298. To access a replay telephonically, please dial (855) 859-2056 and use the replay conference ID number 88156298.</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non-GAAP measures presented in the press release, management is also expected to discuss adjusted operating expenses as a percent of adjusted revenues, adjusted SG&amp;A expenses, adjusted SG&amp;A expenses as a percent of adjusted revenues and adjusted income from operations excluding depreciation and amortization. Management believes these non-GAAP measures provide investors with information to better enable them to evaluate the Company’s performance by excluding items that management believes are not representative of our performance or indicative of our results of operations. The reconciliation of these additional non-GAAP measures to the most directly comparable GAAP measures are shown below.</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Quarters Ended</w:t>
            </w:r>
          </w:p>
        </w:tc>
        <w:tc>
          <w:tcPr>
            <w:tcW w:w="0" w:type="dxa"/>
            <w:vAlign w:val="bottom"/>
          </w:tcPr>
          <w:p>
            <w:pPr>
              <w:spacing w:after="0"/>
              <w:rPr>
                <w:sz w:val="1"/>
                <w:szCs w:val="1"/>
                <w:color w:val="auto"/>
              </w:rPr>
            </w:pPr>
          </w:p>
        </w:tc>
      </w:tr>
      <w:tr>
        <w:trPr>
          <w:trHeight w:val="161"/>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Adjusted Revenues</w:t>
            </w: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438"/>
              <w:spacing w:after="0" w:line="142" w:lineRule="exact"/>
              <w:rPr>
                <w:sz w:val="20"/>
                <w:szCs w:val="20"/>
                <w:color w:val="auto"/>
              </w:rPr>
            </w:pPr>
            <w:r>
              <w:rPr>
                <w:rFonts w:ascii="Arial" w:cs="Arial" w:eastAsia="Arial" w:hAnsi="Arial"/>
                <w:sz w:val="14"/>
                <w:szCs w:val="14"/>
                <w:b w:val="1"/>
                <w:bCs w:val="1"/>
                <w:color w:val="auto"/>
                <w:w w:val="83"/>
              </w:rPr>
              <w:t>2012</w:t>
            </w:r>
          </w:p>
        </w:tc>
        <w:tc>
          <w:tcPr>
            <w:tcW w:w="720" w:type="dxa"/>
            <w:vAlign w:val="bottom"/>
            <w:gridSpan w:val="2"/>
          </w:tcPr>
          <w:p>
            <w:pPr>
              <w:jc w:val="right"/>
              <w:spacing w:after="0" w:line="142" w:lineRule="exact"/>
              <w:rPr>
                <w:sz w:val="20"/>
                <w:szCs w:val="20"/>
                <w:color w:val="auto"/>
              </w:rPr>
            </w:pPr>
            <w:r>
              <w:rPr>
                <w:rFonts w:ascii="Arial" w:cs="Arial" w:eastAsia="Arial" w:hAnsi="Arial"/>
                <w:sz w:val="11"/>
                <w:szCs w:val="11"/>
                <w:b w:val="1"/>
                <w:bCs w:val="1"/>
                <w:color w:val="auto"/>
              </w:rPr>
              <w:t xml:space="preserve">2011 </w:t>
            </w:r>
            <w:r>
              <w:rPr>
                <w:rFonts w:ascii="Arial" w:cs="Arial" w:eastAsia="Arial" w:hAnsi="Arial"/>
                <w:sz w:val="16"/>
                <w:szCs w:val="16"/>
                <w:b w:val="1"/>
                <w:bCs w:val="1"/>
                <w:color w:val="auto"/>
                <w:vertAlign w:val="superscript"/>
              </w:rPr>
              <w:t>(a)</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8"/>
              <w:spacing w:after="0"/>
              <w:rPr>
                <w:sz w:val="20"/>
                <w:szCs w:val="20"/>
                <w:color w:val="auto"/>
              </w:rPr>
            </w:pPr>
            <w:r>
              <w:rPr>
                <w:rFonts w:ascii="Arial" w:cs="Arial" w:eastAsia="Arial" w:hAnsi="Arial"/>
                <w:sz w:val="18"/>
                <w:szCs w:val="18"/>
                <w:color w:val="auto"/>
                <w:w w:val="84"/>
              </w:rPr>
              <w:t>3,434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84"/>
              </w:rPr>
              <w:t>2,224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revenues—Oakleaf related integration activities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Operating expenses—Legal reserves and landfill operating costs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58"/>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expenses—Oakleaf related integration activities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3"/>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w w:val="84"/>
              </w:rPr>
              <w:t>3,442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8"/>
              <w:spacing w:after="0"/>
              <w:rPr>
                <w:sz w:val="20"/>
                <w:szCs w:val="20"/>
                <w:color w:val="auto"/>
              </w:rPr>
            </w:pPr>
            <w:r>
              <w:rPr>
                <w:rFonts w:ascii="Arial" w:cs="Arial" w:eastAsia="Arial" w:hAnsi="Arial"/>
                <w:sz w:val="18"/>
                <w:szCs w:val="18"/>
                <w:color w:val="auto"/>
                <w:w w:val="84"/>
              </w:rPr>
              <w:t>2,214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as a Percent of Adjusted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64.3%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363"/>
        </w:trPr>
        <w:tc>
          <w:tcPr>
            <w:tcW w:w="5880" w:type="dxa"/>
            <w:vAlign w:val="bottom"/>
            <w:gridSpan w:val="2"/>
          </w:tcPr>
          <w:p>
            <w:pPr>
              <w:jc w:val="right"/>
              <w:ind w:right="1412"/>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74" w:right="359" w:bottom="1440" w:gutter="0" w:footer="0" w:header="0"/>
        </w:sectPr>
      </w:pPr>
    </w:p>
    <w:bookmarkStart w:id="2" w:name="page3"/>
    <w:bookmarkEnd w:id="2"/>
    <w:p>
      <w:pPr>
        <w:jc w:val="center"/>
        <w:ind w:right="-4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Certain Non-GAAP Measures</w:t>
      </w:r>
    </w:p>
    <w:p>
      <w:pPr>
        <w:spacing w:after="0" w:line="21"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SG&amp;A Expenses as a Percent of Adjusted Revenues</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94"/>
              <w:spacing w:after="0"/>
              <w:rPr>
                <w:sz w:val="20"/>
                <w:szCs w:val="20"/>
                <w:color w:val="auto"/>
              </w:rPr>
            </w:pPr>
            <w:r>
              <w:rPr>
                <w:rFonts w:ascii="Arial" w:cs="Arial" w:eastAsia="Arial" w:hAnsi="Arial"/>
                <w:sz w:val="14"/>
                <w:szCs w:val="14"/>
                <w:b w:val="1"/>
                <w:bCs w:val="1"/>
                <w:color w:val="auto"/>
                <w:w w:val="87"/>
              </w:rPr>
              <w:t>Quarters Ended December 31,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80"/>
              <w:spacing w:after="0" w:line="197" w:lineRule="exact"/>
              <w:rPr>
                <w:sz w:val="20"/>
                <w:szCs w:val="20"/>
                <w:color w:val="auto"/>
              </w:rPr>
            </w:pPr>
            <w:r>
              <w:rPr>
                <w:rFonts w:ascii="Arial" w:cs="Arial" w:eastAsia="Arial" w:hAnsi="Arial"/>
                <w:sz w:val="14"/>
                <w:szCs w:val="14"/>
                <w:b w:val="1"/>
                <w:bCs w:val="1"/>
                <w:color w:val="auto"/>
                <w:w w:val="83"/>
              </w:rPr>
              <w:t xml:space="preserve">2011 </w:t>
            </w:r>
            <w:r>
              <w:rPr>
                <w:rFonts w:ascii="Arial" w:cs="Arial" w:eastAsia="Arial" w:hAnsi="Arial"/>
                <w:sz w:val="22"/>
                <w:szCs w:val="22"/>
                <w:b w:val="1"/>
                <w:bCs w:val="1"/>
                <w:color w:val="auto"/>
                <w:w w:val="83"/>
                <w:vertAlign w:val="superscript"/>
              </w:rPr>
              <w:t>(a)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reported:</w:t>
            </w: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Operating revenues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3,434</w:t>
            </w:r>
          </w:p>
        </w:tc>
        <w:tc>
          <w:tcPr>
            <w:tcW w:w="4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3,406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Adjustments: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revenues—Oakleaf related integration activities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SG&amp;A expenses—Oakleaf related integration activities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expenses—Litigation</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3"/>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revenues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 xml:space="preserve">SG&amp;A expenses </w:t>
            </w:r>
            <w:r>
              <w:rPr>
                <w:rFonts w:ascii="Arial" w:cs="Arial" w:eastAsia="Arial" w:hAnsi="Arial"/>
                <w:sz w:val="18"/>
                <w:szCs w:val="18"/>
                <w:b w:val="1"/>
                <w:bCs w:val="1"/>
                <w:color w:val="auto"/>
              </w:rPr>
              <w:t>(b)</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355</w:t>
            </w:r>
          </w:p>
        </w:tc>
        <w:tc>
          <w:tcPr>
            <w:tcW w:w="44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Adjusted SG&amp;A Expenses as a Percent of Adjusted Revenues (c)</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1">
            <w:col w:w="10992"/>
          </w:cols>
          <w:pgMar w:left="248" w:top="274" w:right="659" w:bottom="1440" w:gutter="0" w:footer="0" w:header="0"/>
        </w:sectPr>
      </w:pPr>
    </w:p>
    <w:p>
      <w:pPr>
        <w:spacing w:after="0" w:line="234" w:lineRule="exact"/>
        <w:rPr>
          <w:sz w:val="20"/>
          <w:szCs w:val="20"/>
          <w:color w:val="auto"/>
        </w:rPr>
      </w:pPr>
    </w:p>
    <w:p>
      <w:pPr>
        <w:ind w:left="1832"/>
        <w:spacing w:after="0"/>
        <w:rPr>
          <w:sz w:val="20"/>
          <w:szCs w:val="20"/>
          <w:color w:val="auto"/>
        </w:rPr>
      </w:pPr>
      <w:r>
        <w:rPr>
          <w:rFonts w:ascii="Arial" w:cs="Arial" w:eastAsia="Arial" w:hAnsi="Arial"/>
          <w:sz w:val="18"/>
          <w:szCs w:val="18"/>
          <w:b w:val="1"/>
          <w:bCs w:val="1"/>
          <w:i w:val="1"/>
          <w:iCs w:val="1"/>
          <w:color w:val="auto"/>
        </w:rPr>
        <w:t>Adjusted Income from Operations</w:t>
      </w:r>
    </w:p>
    <w:p>
      <w:pPr>
        <w:spacing w:after="0" w:line="15"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Income from Operations,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-129540</wp:posOffset>
            </wp:positionV>
            <wp:extent cx="49225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98"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Adjustments to Income from Operations:</w:t>
      </w:r>
    </w:p>
    <w:p>
      <w:pPr>
        <w:spacing w:after="0" w:line="21" w:lineRule="exact"/>
        <w:rPr>
          <w:sz w:val="20"/>
          <w:szCs w:val="20"/>
          <w:color w:val="auto"/>
        </w:rPr>
      </w:pPr>
    </w:p>
    <w:p>
      <w:pPr>
        <w:ind w:left="1832" w:right="1600"/>
        <w:spacing w:after="0" w:line="314" w:lineRule="auto"/>
        <w:rPr>
          <w:sz w:val="20"/>
          <w:szCs w:val="20"/>
          <w:color w:val="auto"/>
        </w:rPr>
      </w:pPr>
      <w:r>
        <w:rPr>
          <w:rFonts w:ascii="Arial" w:cs="Arial" w:eastAsia="Arial" w:hAnsi="Arial"/>
          <w:sz w:val="15"/>
          <w:szCs w:val="15"/>
          <w:color w:val="auto"/>
        </w:rPr>
        <w:t>Asset impairments, legal reserves and landfill operating costs Restructuring charges and Oakleaf related integration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-284480</wp:posOffset>
            </wp:positionV>
            <wp:extent cx="49225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00"/>
        <w:spacing w:after="0"/>
        <w:rPr>
          <w:sz w:val="20"/>
          <w:szCs w:val="20"/>
          <w:color w:val="auto"/>
        </w:rPr>
      </w:pPr>
      <w:r>
        <w:rPr>
          <w:rFonts w:ascii="Arial" w:cs="Arial" w:eastAsia="Arial" w:hAnsi="Arial"/>
          <w:sz w:val="12"/>
          <w:szCs w:val="12"/>
          <w:b w:val="1"/>
          <w:bCs w:val="1"/>
          <w:color w:val="auto"/>
        </w:rPr>
        <w:t>Quarter Ended</w:t>
      </w:r>
    </w:p>
    <w:p>
      <w:pPr>
        <w:spacing w:after="0" w:line="25" w:lineRule="exact"/>
        <w:rPr>
          <w:sz w:val="20"/>
          <w:szCs w:val="20"/>
          <w:color w:val="auto"/>
        </w:rPr>
      </w:pPr>
    </w:p>
    <w:p>
      <w:pPr>
        <w:jc w:val="center"/>
        <w:ind w:right="1500"/>
        <w:spacing w:after="0"/>
        <w:rPr>
          <w:sz w:val="20"/>
          <w:szCs w:val="20"/>
          <w:color w:val="auto"/>
        </w:rPr>
      </w:pPr>
      <w:r>
        <w:rPr>
          <w:rFonts w:ascii="Arial" w:cs="Arial" w:eastAsia="Arial" w:hAnsi="Arial"/>
          <w:sz w:val="12"/>
          <w:szCs w:val="12"/>
          <w:b w:val="1"/>
          <w:bCs w:val="1"/>
          <w:color w:val="auto"/>
        </w:rPr>
        <w:t>December 31,</w:t>
      </w:r>
    </w:p>
    <w:p>
      <w:pPr>
        <w:spacing w:after="0" w:line="10" w:lineRule="exact"/>
        <w:rPr>
          <w:sz w:val="20"/>
          <w:szCs w:val="20"/>
          <w:color w:val="auto"/>
        </w:rPr>
      </w:pPr>
    </w:p>
    <w:p>
      <w:pPr>
        <w:jc w:val="center"/>
        <w:ind w:right="1500"/>
        <w:spacing w:after="0"/>
        <w:rPr>
          <w:sz w:val="20"/>
          <w:szCs w:val="20"/>
          <w:color w:val="auto"/>
        </w:rPr>
      </w:pPr>
      <w:r>
        <w:rPr>
          <w:rFonts w:ascii="Arial" w:cs="Arial" w:eastAsia="Arial" w:hAnsi="Arial"/>
          <w:sz w:val="14"/>
          <w:szCs w:val="14"/>
          <w:b w:val="1"/>
          <w:bCs w:val="1"/>
          <w:color w:val="auto"/>
        </w:rPr>
        <w:t>2012</w:t>
      </w:r>
    </w:p>
    <w:p>
      <w:pPr>
        <w:ind w:left="640" w:hanging="636"/>
        <w:spacing w:after="0"/>
        <w:tabs>
          <w:tab w:leader="none" w:pos="6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484</w:t>
      </w:r>
    </w:p>
    <w:p>
      <w:pPr>
        <w:spacing w:after="0" w:line="360"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38</w:t>
      </w:r>
    </w:p>
    <w:p>
      <w:pPr>
        <w:spacing w:after="0" w:line="15"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25</w:t>
      </w:r>
    </w:p>
    <w:p>
      <w:pPr>
        <w:spacing w:after="0" w:line="29" w:lineRule="exact"/>
        <w:rPr>
          <w:sz w:val="20"/>
          <w:szCs w:val="20"/>
          <w:color w:val="auto"/>
        </w:rPr>
      </w:pPr>
    </w:p>
    <w:p>
      <w:pPr>
        <w:sectPr>
          <w:pgSz w:w="11900" w:h="16838" w:orient="portrait"/>
          <w:cols w:equalWidth="0" w:num="2">
            <w:col w:w="7872" w:space="720"/>
            <w:col w:w="2400"/>
          </w:cols>
          <w:pgMar w:left="248" w:top="274" w:right="659" w:bottom="1440" w:gutter="0" w:footer="0" w:header="0"/>
          <w:type w:val="continuous"/>
        </w:sectPr>
      </w:pPr>
    </w:p>
    <w:tbl>
      <w:tblPr>
        <w:tblLayout w:type="fixed"/>
        <w:tblInd w:w="1832" w:type="dxa"/>
        <w:tblCellMar>
          <w:top w:w="0" w:type="dxa"/>
          <w:left w:w="0" w:type="dxa"/>
          <w:bottom w:w="0" w:type="dxa"/>
          <w:right w:w="0" w:type="dxa"/>
        </w:tblCellMar>
      </w:tblPr>
      <w:tr>
        <w:trPr>
          <w:trHeight w:val="206"/>
        </w:trPr>
        <w:tc>
          <w:tcPr>
            <w:tcW w:w="6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7"/>
                <w:szCs w:val="17"/>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0" w:type="dxa"/>
            <w:vAlign w:val="bottom"/>
          </w:tcPr>
          <w:p>
            <w:pPr>
              <w:spacing w:after="0"/>
              <w:rPr>
                <w:sz w:val="19"/>
                <w:szCs w:val="19"/>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19"/>
                <w:szCs w:val="19"/>
                <w:color w:val="auto"/>
              </w:rPr>
            </w:pPr>
          </w:p>
        </w:tc>
      </w:t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 back: Depreciation and Amortization</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Arial" w:cs="Arial" w:eastAsia="Arial" w:hAnsi="Arial"/>
                <w:sz w:val="18"/>
                <w:szCs w:val="18"/>
                <w:b w:val="1"/>
                <w:bCs w:val="1"/>
                <w:color w:val="auto"/>
              </w:rPr>
              <w:t>Further Adjusted Income from Operations, excl. Depreciation and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tcPr>
          <w:p>
            <w:pPr>
              <w:ind w:left="220"/>
              <w:spacing w:after="0"/>
              <w:rPr>
                <w:sz w:val="20"/>
                <w:szCs w:val="20"/>
                <w:color w:val="auto"/>
              </w:rPr>
            </w:pPr>
            <w:r>
              <w:rPr>
                <w:rFonts w:ascii="Arial" w:cs="Arial" w:eastAsia="Arial" w:hAnsi="Arial"/>
                <w:sz w:val="18"/>
                <w:szCs w:val="18"/>
                <w:b w:val="1"/>
                <w:bCs w:val="1"/>
                <w:color w:val="auto"/>
              </w:rPr>
              <w:t>Amortization</w:t>
            </w:r>
          </w:p>
        </w:tc>
        <w:tc>
          <w:tcPr>
            <w:tcW w:w="36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hanging="452"/>
        <w:spacing w:after="0" w:line="253" w:lineRule="auto"/>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financial results for the fourth quarter and full year 2011 were adjusted to exclude the impact of our then recently acquired Oakleaf operations. However, for purposes of this year-over-year comparison, we have included the impact of the Oakleaf operations in the results of both 2012 and 2011, except for certain integration costs.</w:t>
      </w:r>
    </w:p>
    <w:p>
      <w:pPr>
        <w:ind w:left="452" w:hanging="452"/>
        <w:spacing w:after="0"/>
        <w:tabs>
          <w:tab w:leader="none" w:pos="452"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SG&amp;A expenses for fourth quarter 2012 improved $26 million as compared with fourth quarter 2011.</w:t>
      </w:r>
    </w:p>
    <w:p>
      <w:pPr>
        <w:spacing w:after="0" w:line="9" w:lineRule="exact"/>
        <w:rPr>
          <w:rFonts w:ascii="Arial" w:cs="Arial" w:eastAsia="Arial" w:hAnsi="Arial"/>
          <w:sz w:val="18"/>
          <w:szCs w:val="18"/>
          <w:b w:val="1"/>
          <w:bCs w:val="1"/>
          <w:color w:val="auto"/>
        </w:rPr>
      </w:pPr>
    </w:p>
    <w:p>
      <w:pPr>
        <w:ind w:left="452" w:hanging="452"/>
        <w:spacing w:after="0"/>
        <w:tabs>
          <w:tab w:leader="none" w:pos="452"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Adjusted SG&amp;A expenses as a percent of revenues for fourth quarter 2012 improved 90 basis points as compared with fourth quarter 2011.</w:t>
      </w:r>
    </w:p>
    <w:p>
      <w:pPr>
        <w:spacing w:after="0" w:line="174"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2"/>
          </w:cols>
          <w:pgMar w:left="248" w:top="274" w:right="6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February 14, 2013</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WASTE MANAGEMENT, INC.</w:t>
            </w:r>
          </w:p>
        </w:tc>
      </w:tr>
      <w:tr>
        <w:trPr>
          <w:trHeight w:val="433"/>
        </w:trPr>
        <w:tc>
          <w:tcPr>
            <w:tcW w:w="3700" w:type="dxa"/>
            <w:vAlign w:val="bottom"/>
          </w:tcPr>
          <w:p>
            <w:pPr>
              <w:spacing w:after="0"/>
              <w:rPr>
                <w:sz w:val="20"/>
                <w:szCs w:val="20"/>
                <w:color w:val="auto"/>
              </w:rPr>
            </w:pPr>
            <w:r>
              <w:rPr>
                <w:rFonts w:ascii="Arial" w:cs="Arial" w:eastAsia="Arial" w:hAnsi="Arial"/>
                <w:sz w:val="18"/>
                <w:szCs w:val="18"/>
                <w:color w:val="auto"/>
              </w:rPr>
              <w:t>Date: February 14, 2013</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7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365"/>
        </w:trPr>
        <w:tc>
          <w:tcPr>
            <w:tcW w:w="3700" w:type="dxa"/>
            <w:vAlign w:val="bottom"/>
          </w:tcPr>
          <w:p>
            <w:pPr>
              <w:spacing w:after="0"/>
              <w:rPr>
                <w:sz w:val="24"/>
                <w:szCs w:val="24"/>
                <w:color w:val="auto"/>
              </w:rPr>
            </w:pPr>
          </w:p>
        </w:tc>
        <w:tc>
          <w:tcPr>
            <w:tcW w:w="2480" w:type="dxa"/>
            <w:vAlign w:val="bottom"/>
          </w:tcPr>
          <w:p>
            <w:pPr>
              <w:jc w:val="right"/>
              <w:ind w:right="332"/>
              <w:spacing w:after="0"/>
              <w:rPr>
                <w:sz w:val="20"/>
                <w:szCs w:val="20"/>
                <w:color w:val="auto"/>
              </w:rPr>
            </w:pPr>
            <w:r>
              <w:rPr>
                <w:rFonts w:ascii="Arial" w:cs="Arial" w:eastAsia="Arial" w:hAnsi="Arial"/>
                <w:sz w:val="18"/>
                <w:szCs w:val="18"/>
                <w:color w:val="auto"/>
              </w:rPr>
              <w:t>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jc w:val="right"/>
        <w:ind w:right="39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8255</wp:posOffset>
            </wp:positionV>
            <wp:extent cx="6569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14, 2013</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4" w:right="1440" w:bottom="1440" w:gutter="0" w:footer="0" w:header="0"/>
        </w:sectPr>
      </w:pPr>
    </w:p>
    <w:bookmarkStart w:id="6" w:name="page7"/>
    <w:bookmarkEnd w:id="6"/>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333"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Waste Management Announces Fourth</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Quarter and Full-Year 2012 Earnings</w:t>
      </w:r>
    </w:p>
    <w:p>
      <w:pPr>
        <w:spacing w:after="0" w:line="165" w:lineRule="exact"/>
        <w:rPr>
          <w:sz w:val="20"/>
          <w:szCs w:val="20"/>
          <w:color w:val="auto"/>
        </w:rPr>
      </w:pPr>
    </w:p>
    <w:p>
      <w:pPr>
        <w:jc w:val="center"/>
        <w:ind w:left="40"/>
        <w:spacing w:after="0"/>
        <w:rPr>
          <w:sz w:val="20"/>
          <w:szCs w:val="20"/>
          <w:color w:val="auto"/>
        </w:rPr>
      </w:pPr>
      <w:r>
        <w:rPr>
          <w:rFonts w:ascii="Arial" w:cs="Arial" w:eastAsia="Arial" w:hAnsi="Arial"/>
          <w:sz w:val="18"/>
          <w:szCs w:val="18"/>
          <w:color w:val="auto"/>
        </w:rPr>
        <w:t>Company Expects Significant Cash Generation in 2013</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HOUSTON — February 14, 2013 </w:t>
      </w:r>
      <w:r>
        <w:rPr>
          <w:rFonts w:ascii="Arial" w:cs="Arial" w:eastAsia="Arial" w:hAnsi="Arial"/>
          <w:sz w:val="16"/>
          <w:szCs w:val="16"/>
          <w:color w:val="auto"/>
        </w:rPr>
        <w:t>— Waste Management, Inc. (NYSE: WM) today announced financial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the fourth quarter and for the year ended December 31, 2012. Revenues for the fourth quarter of 2012 were $3.43 billion compared with $3.41 billion for the same 2011 period. Net income </w:t>
      </w:r>
      <w:r>
        <w:rPr>
          <w:rFonts w:ascii="Arial" w:cs="Arial" w:eastAsia="Arial" w:hAnsi="Arial"/>
          <w:sz w:val="10"/>
          <w:szCs w:val="10"/>
          <w:color w:val="auto"/>
        </w:rPr>
        <w:t>(a)</w:t>
      </w:r>
      <w:r>
        <w:rPr>
          <w:rFonts w:ascii="Arial" w:cs="Arial" w:eastAsia="Arial" w:hAnsi="Arial"/>
          <w:sz w:val="16"/>
          <w:szCs w:val="16"/>
          <w:color w:val="auto"/>
        </w:rPr>
        <w:t xml:space="preserve"> for the quarter was $224 million, or $0.48 per diluted share, compared with $266 million, or $0.58 per diluted share, for the fourth quarter of 2011. Adjusting for certain items, net income would have been $267 million, or $0.57 per diluted share, in the fourth quarter of 2012 compared with $289 million, or $0.63 per diluted share, in the fourth quarter of 2011.</w:t>
      </w:r>
      <w:r>
        <w:rPr>
          <w:rFonts w:ascii="Arial" w:cs="Arial" w:eastAsia="Arial" w:hAnsi="Arial"/>
          <w:sz w:val="10"/>
          <w:szCs w:val="10"/>
          <w:color w:val="auto"/>
        </w:rPr>
        <w:t>(b)</w:t>
      </w:r>
    </w:p>
    <w:p>
      <w:pPr>
        <w:spacing w:after="0" w:line="11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the full year 2012, the Company reported revenues of $13.65 billion compared with $13.38 billion for 2011. Earnings per diluted share were $1.76 for the full year 2012 compared with $2.04 for the full year 2011. On an as-adjusted basis taking into account several items that impacted the full year results, earnings per diluted share were $2.08 for the full year 2012 and $2.14 for the full-year 2011.</w:t>
      </w:r>
      <w:r>
        <w:rPr>
          <w:rFonts w:ascii="Arial" w:cs="Arial" w:eastAsia="Arial" w:hAnsi="Arial"/>
          <w:sz w:val="10"/>
          <w:szCs w:val="10"/>
          <w:color w:val="auto"/>
        </w:rPr>
        <w:t>(b)</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As-adjusted results in the fourth quarter of 2012 excluded a negative $0.09 per diluted share impact resulting from the following:</w:t>
      </w:r>
    </w:p>
    <w:p>
      <w:pPr>
        <w:spacing w:after="0" w:line="51" w:lineRule="exact"/>
        <w:rPr>
          <w:sz w:val="20"/>
          <w:szCs w:val="20"/>
          <w:color w:val="auto"/>
        </w:rPr>
      </w:pPr>
    </w:p>
    <w:p>
      <w:pPr>
        <w:ind w:left="740" w:right="420" w:hanging="367"/>
        <w:spacing w:after="0" w:line="26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total of $27 million in after-tax impacts from charges for asset impairments, legal reserves and discount rate adjustments; and</w:t>
      </w:r>
    </w:p>
    <w:p>
      <w:pPr>
        <w:spacing w:after="0" w:line="50"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total of $16 million in after-tax impacts from charges for restructuring and Oakleaf integration costs.</w:t>
      </w:r>
    </w:p>
    <w:p>
      <w:pPr>
        <w:spacing w:after="0" w:line="194"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David P. Steiner, President and Chief Executive Officer of Waste Management, commented, “Our fourth quarter was in line with our expectations. Our internal revenue growth from yield in the fourth quarter was at its highest level for the year. This should provide a nice tailwind for improved yield in 2013 — something every manager will be focused on in 2013. In addition, we continued to see the benefit of our second quarter reorganization. These improvements were partially offset by increased costs for operations labor and repair and maintenance.</w:t>
      </w:r>
    </w:p>
    <w:p>
      <w:pPr>
        <w:spacing w:after="0" w:line="10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“During 2012, we continued to produce strong cash flows from operating activities and return cash to our shareholders. We met our goal of $800 million to $850 million of free cash flow, generating $829 million of free cash. We expect to grow free cash flow by 33% to 45% in 2013. We returned $658 million to our shareholders in 2013 through our dividend, which our Board has indicated will increase in 2013 to $1.46 per share annually.”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FOURTH QUARTER 2012 AND THE FULL YEAR 2012</w:t>
      </w:r>
    </w:p>
    <w:p>
      <w:pPr>
        <w:spacing w:after="0" w:line="96" w:lineRule="exact"/>
        <w:rPr>
          <w:sz w:val="20"/>
          <w:szCs w:val="20"/>
          <w:color w:val="auto"/>
        </w:rPr>
      </w:pPr>
    </w:p>
    <w:p>
      <w:pPr>
        <w:ind w:left="740" w:right="160" w:hanging="367"/>
        <w:spacing w:after="0" w:line="268"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 the fourth quarter increased by 0.8%, or $28 million. For the full year, revenue increased by 2.0%, or $271 million.</w:t>
      </w:r>
    </w:p>
    <w:p>
      <w:pPr>
        <w:spacing w:after="0" w:line="50" w:lineRule="exact"/>
        <w:rPr>
          <w:rFonts w:ascii="Arial" w:cs="Arial" w:eastAsia="Arial" w:hAnsi="Arial"/>
          <w:sz w:val="18"/>
          <w:szCs w:val="18"/>
          <w:color w:val="auto"/>
        </w:rPr>
      </w:pPr>
    </w:p>
    <w:p>
      <w:pPr>
        <w:ind w:left="740" w:right="380" w:hanging="367"/>
        <w:spacing w:after="0" w:line="298"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Internal revenue growth from yield for collection and disposal operations was 0.9% for the fourth quarter and 0.8% for the full year. Adjusting for contract changes related to the Company’s South Florida waste-to-energy plants, internal revenue growth from yield for collection and disposal operations was 1.1% in the fourth quarter and 1.0% for the full 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www.wm.com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7960" w:space="380"/>
            <w:col w:w="3080"/>
          </w:cols>
          <w:pgMar w:left="240" w:top="125" w:right="239" w:bottom="1440" w:gutter="0" w:footer="0" w:header="0"/>
        </w:sectPr>
      </w:pPr>
    </w:p>
    <w:bookmarkStart w:id="7" w:name="page8"/>
    <w:bookmarkEnd w:id="7"/>
    <w:p>
      <w:pPr>
        <w:ind w:left="740" w:right="2659" w:hanging="367"/>
        <w:spacing w:after="0" w:line="33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Core price increases, which consist of price increases and fees (excluding fuel surcharges), net of rollbacks, were 2.5% for the fourth quarter and 2.8% for the full year.</w:t>
      </w:r>
    </w:p>
    <w:p>
      <w:pPr>
        <w:spacing w:after="0" w:line="4" w:lineRule="exact"/>
        <w:rPr>
          <w:rFonts w:ascii="Arial" w:cs="Arial" w:eastAsia="Arial" w:hAnsi="Arial"/>
          <w:sz w:val="16"/>
          <w:szCs w:val="16"/>
          <w:color w:val="auto"/>
        </w:rPr>
      </w:pPr>
    </w:p>
    <w:p>
      <w:pPr>
        <w:ind w:left="740" w:hanging="367"/>
        <w:spacing w:after="0"/>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Internal revenue growth from volume was 0.4% for the fourth quarter and 0.5% for the full year.</w:t>
      </w:r>
    </w:p>
    <w:p>
      <w:pPr>
        <w:spacing w:after="0" w:line="113" w:lineRule="exact"/>
        <w:rPr>
          <w:rFonts w:ascii="Arial" w:cs="Arial" w:eastAsia="Arial" w:hAnsi="Arial"/>
          <w:sz w:val="16"/>
          <w:szCs w:val="16"/>
          <w:color w:val="auto"/>
        </w:rPr>
      </w:pPr>
    </w:p>
    <w:p>
      <w:pPr>
        <w:ind w:left="740" w:right="2279" w:hanging="367"/>
        <w:spacing w:after="0" w:line="306"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Recycling and electricity commodities pricing had a negative impact of $0.04 per diluted share in the fourth quarter when compared to the fourth quarter of 2011. For the full year, commodities pricing had a negative impact of $0.25 per diluted share when compared to the full year of 2011.</w:t>
      </w:r>
    </w:p>
    <w:p>
      <w:pPr>
        <w:spacing w:after="0" w:line="25" w:lineRule="exact"/>
        <w:rPr>
          <w:rFonts w:ascii="Arial" w:cs="Arial" w:eastAsia="Arial" w:hAnsi="Arial"/>
          <w:sz w:val="16"/>
          <w:szCs w:val="16"/>
          <w:color w:val="auto"/>
        </w:rPr>
      </w:pPr>
    </w:p>
    <w:p>
      <w:pPr>
        <w:ind w:left="740" w:right="2319" w:hanging="367"/>
        <w:spacing w:after="0" w:line="294"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expenses increased by $79 million in the fourth quarter and $338 million for the full year. Adjusting for the items excluded in calculating the Company’s as-adjusted earnings, operating expenses increased by $71 million in the fourth quarter and $326 million for the full year.</w:t>
      </w:r>
      <w:r>
        <w:rPr>
          <w:rFonts w:ascii="Arial" w:cs="Arial" w:eastAsia="Arial" w:hAnsi="Arial"/>
          <w:sz w:val="10"/>
          <w:szCs w:val="10"/>
          <w:color w:val="auto"/>
        </w:rPr>
        <w:t>(b)</w:t>
      </w:r>
      <w:r>
        <w:rPr>
          <w:rFonts w:ascii="Arial" w:cs="Arial" w:eastAsia="Arial" w:hAnsi="Arial"/>
          <w:sz w:val="16"/>
          <w:szCs w:val="16"/>
          <w:color w:val="auto"/>
        </w:rPr>
        <w:t xml:space="preserve"> In the fourth quarter, the majority of the increases were for costs associated with operating recently acquired businesses, labor, and repair and maintenance.</w:t>
      </w:r>
    </w:p>
    <w:p>
      <w:pPr>
        <w:spacing w:after="0" w:line="34" w:lineRule="exact"/>
        <w:rPr>
          <w:rFonts w:ascii="Arial" w:cs="Arial" w:eastAsia="Arial" w:hAnsi="Arial"/>
          <w:sz w:val="16"/>
          <w:szCs w:val="16"/>
          <w:color w:val="auto"/>
        </w:rPr>
      </w:pPr>
    </w:p>
    <w:p>
      <w:pPr>
        <w:ind w:left="740" w:right="2639" w:hanging="367"/>
        <w:spacing w:after="0" w:line="332"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SG&amp;A expenses in the fourth quarter improved to 10.4% of revenue from 11.9% in the prior year period, and for the full year improved to 10.8% of revenue from 11.6% in the prior year.</w:t>
      </w:r>
    </w:p>
    <w:p>
      <w:pPr>
        <w:spacing w:after="0" w:line="4" w:lineRule="exact"/>
        <w:rPr>
          <w:rFonts w:ascii="Arial" w:cs="Arial" w:eastAsia="Arial" w:hAnsi="Arial"/>
          <w:sz w:val="16"/>
          <w:szCs w:val="16"/>
          <w:color w:val="auto"/>
        </w:rPr>
      </w:pPr>
    </w:p>
    <w:p>
      <w:pPr>
        <w:ind w:left="740" w:right="2259" w:hanging="367"/>
        <w:spacing w:after="0" w:line="256"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fourth quarter, net cash provided by operating activities was $577 million; capital expenditures were $378 million; and free cash flow was $215 million.</w:t>
      </w:r>
      <w:r>
        <w:rPr>
          <w:rFonts w:ascii="Arial" w:cs="Arial" w:eastAsia="Arial" w:hAnsi="Arial"/>
          <w:sz w:val="11"/>
          <w:szCs w:val="11"/>
          <w:color w:val="auto"/>
        </w:rPr>
        <w:t>(b)</w:t>
      </w:r>
      <w:r>
        <w:rPr>
          <w:rFonts w:ascii="Arial" w:cs="Arial" w:eastAsia="Arial" w:hAnsi="Arial"/>
          <w:sz w:val="18"/>
          <w:szCs w:val="18"/>
          <w:color w:val="auto"/>
        </w:rPr>
        <w:t xml:space="preserve"> For the full year 2012, net cash provided by operating activities was $2.3 billion; capital expenditures were $1.51 billion; and free cash flow was $829 million.</w:t>
      </w:r>
      <w:r>
        <w:rPr>
          <w:rFonts w:ascii="Arial" w:cs="Arial" w:eastAsia="Arial" w:hAnsi="Arial"/>
          <w:sz w:val="11"/>
          <w:szCs w:val="11"/>
          <w:color w:val="auto"/>
        </w:rPr>
        <w:t>(b)</w:t>
      </w:r>
    </w:p>
    <w:p>
      <w:pPr>
        <w:spacing w:after="0" w:line="62" w:lineRule="exact"/>
        <w:rPr>
          <w:rFonts w:ascii="Arial" w:cs="Arial" w:eastAsia="Arial" w:hAnsi="Arial"/>
          <w:sz w:val="18"/>
          <w:szCs w:val="18"/>
          <w:color w:val="auto"/>
        </w:rPr>
      </w:pPr>
    </w:p>
    <w:p>
      <w:pPr>
        <w:ind w:left="740" w:right="2559" w:hanging="367"/>
        <w:spacing w:after="0" w:line="26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returned $165 million to shareholders in the fourth quarter in dividends. For the full year, the Company returned $658 million to shareholders in dividends.</w:t>
      </w:r>
    </w:p>
    <w:p>
      <w:pPr>
        <w:spacing w:after="0" w:line="50" w:lineRule="exact"/>
        <w:rPr>
          <w:rFonts w:ascii="Arial" w:cs="Arial" w:eastAsia="Arial" w:hAnsi="Arial"/>
          <w:sz w:val="18"/>
          <w:szCs w:val="18"/>
          <w:color w:val="auto"/>
        </w:rPr>
      </w:pPr>
    </w:p>
    <w:p>
      <w:pPr>
        <w:ind w:left="740" w:right="2299" w:hanging="367"/>
        <w:spacing w:after="0" w:line="268"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effective tax rate was approximately 32.4% in the fourth quarter and approximately 34.0% for the full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announced the following with regard to its financial outlook for 2013:</w:t>
      </w:r>
    </w:p>
    <w:p>
      <w:pPr>
        <w:spacing w:after="0" w:line="90" w:lineRule="exact"/>
        <w:rPr>
          <w:sz w:val="20"/>
          <w:szCs w:val="20"/>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2013 adjusted earnings per diluted share are expected to be between $2.15 and $2.20.</w:t>
      </w:r>
      <w:r>
        <w:rPr>
          <w:rFonts w:ascii="Arial" w:cs="Arial" w:eastAsia="Arial" w:hAnsi="Arial"/>
          <w:sz w:val="11"/>
          <w:szCs w:val="11"/>
          <w:color w:val="auto"/>
        </w:rPr>
        <w:t>(b)</w:t>
      </w:r>
    </w:p>
    <w:p>
      <w:pPr>
        <w:spacing w:after="0" w:line="90" w:lineRule="exact"/>
        <w:rPr>
          <w:rFonts w:ascii="Arial" w:cs="Arial" w:eastAsia="Arial" w:hAnsi="Arial"/>
          <w:sz w:val="18"/>
          <w:szCs w:val="18"/>
          <w:color w:val="auto"/>
        </w:rPr>
      </w:pPr>
    </w:p>
    <w:p>
      <w:pPr>
        <w:ind w:left="740" w:right="2399" w:hanging="367"/>
        <w:spacing w:after="0" w:line="357" w:lineRule="auto"/>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Internal revenue growth from yield on the collection and disposal business is expected to be between 1.0% and 1.5%. Internal revenue growth from volume is expected to be between 0.5% and 1.0%.</w:t>
      </w:r>
    </w:p>
    <w:p>
      <w:pPr>
        <w:ind w:left="740" w:right="2739" w:hanging="367"/>
        <w:spacing w:after="0" w:line="26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Recycling commodity sales prices are expected to have a negative $0.02 impact on earnings per diluted share in 2013, compared with the prior year.</w:t>
      </w:r>
    </w:p>
    <w:p>
      <w:pPr>
        <w:spacing w:after="0" w:line="50" w:lineRule="exact"/>
        <w:rPr>
          <w:rFonts w:ascii="Arial" w:cs="Arial" w:eastAsia="Arial" w:hAnsi="Arial"/>
          <w:sz w:val="18"/>
          <w:szCs w:val="18"/>
          <w:color w:val="auto"/>
        </w:rPr>
      </w:pPr>
    </w:p>
    <w:p>
      <w:pPr>
        <w:ind w:left="740" w:right="2319" w:hanging="367"/>
        <w:spacing w:after="0" w:line="26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from the Company’s waste-to-energy operations are expected to have a negative $0.02 impact on earnings per diluted share, compared with the prior year.</w:t>
      </w:r>
    </w:p>
    <w:p>
      <w:pPr>
        <w:spacing w:after="0" w:line="50" w:lineRule="exact"/>
        <w:rPr>
          <w:rFonts w:ascii="Arial" w:cs="Arial" w:eastAsia="Arial" w:hAnsi="Arial"/>
          <w:sz w:val="18"/>
          <w:szCs w:val="18"/>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tax rate is expected to be approximately 35.0%.</w:t>
      </w:r>
    </w:p>
    <w:p>
      <w:pPr>
        <w:spacing w:after="0" w:line="90" w:lineRule="exact"/>
        <w:rPr>
          <w:rFonts w:ascii="Arial" w:cs="Arial" w:eastAsia="Arial" w:hAnsi="Arial"/>
          <w:sz w:val="18"/>
          <w:szCs w:val="18"/>
          <w:color w:val="auto"/>
        </w:rPr>
      </w:pPr>
    </w:p>
    <w:p>
      <w:pPr>
        <w:ind w:left="740" w:hanging="367"/>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are expected to be approximately $1.3 to $1.4 billion.</w:t>
      </w:r>
    </w:p>
    <w:p>
      <w:pPr>
        <w:spacing w:after="0" w:line="90" w:lineRule="exact"/>
        <w:rPr>
          <w:rFonts w:ascii="Arial" w:cs="Arial" w:eastAsia="Arial" w:hAnsi="Arial"/>
          <w:sz w:val="18"/>
          <w:szCs w:val="18"/>
          <w:color w:val="auto"/>
        </w:rPr>
      </w:pPr>
    </w:p>
    <w:p>
      <w:pPr>
        <w:ind w:left="740" w:right="2899" w:hanging="367"/>
        <w:spacing w:after="0" w:line="26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is projected to be approximately $1.1 to $1.2 billion without the benefit of any divestitures.</w:t>
      </w:r>
      <w:r>
        <w:rPr>
          <w:rFonts w:ascii="Arial" w:cs="Arial" w:eastAsia="Arial" w:hAnsi="Arial"/>
          <w:sz w:val="11"/>
          <w:szCs w:val="11"/>
          <w:color w:val="auto"/>
        </w:rPr>
        <w:t>(b)</w:t>
      </w:r>
      <w:r>
        <w:rPr>
          <w:rFonts w:ascii="Arial" w:cs="Arial" w:eastAsia="Arial" w:hAnsi="Arial"/>
          <w:sz w:val="18"/>
          <w:szCs w:val="18"/>
          <w:color w:val="auto"/>
        </w:rPr>
        <w:t xml:space="preserve"> Any divestitures would increase free cash flow.</w:t>
      </w:r>
    </w:p>
    <w:p>
      <w:pPr>
        <w:spacing w:after="0" w:line="50" w:lineRule="exact"/>
        <w:rPr>
          <w:rFonts w:ascii="Arial" w:cs="Arial" w:eastAsia="Arial" w:hAnsi="Arial"/>
          <w:sz w:val="18"/>
          <w:szCs w:val="18"/>
          <w:color w:val="auto"/>
        </w:rPr>
      </w:pPr>
    </w:p>
    <w:p>
      <w:pPr>
        <w:ind w:left="740" w:right="2399" w:hanging="367"/>
        <w:spacing w:after="0" w:line="294"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of Directors has announced its intention to increase the dividend to $1.46 per share on an annual basis, at an approximate annual cost of $680 million. The Board must separately declare each dividend. The Board has authorized up to $500 million in share repurchases. The amount of share repurchases will depend on a number of factors, including changes from expected levels of capital expenditures, business acquisitions, investments and debt repayments.</w:t>
      </w:r>
    </w:p>
    <w:p>
      <w:pPr>
        <w:sectPr>
          <w:pgSz w:w="11900" w:h="16838" w:orient="portrait"/>
          <w:cols w:equalWidth="0" w:num="1">
            <w:col w:w="10219"/>
          </w:cols>
          <w:pgMar w:left="240" w:top="320" w:right="1440" w:bottom="1440" w:gutter="0" w:footer="0" w:header="0"/>
        </w:sectPr>
      </w:pPr>
    </w:p>
    <w:bookmarkStart w:id="8" w:name="page9"/>
    <w:bookmarkEnd w:id="8"/>
    <w:p>
      <w:pPr>
        <w:ind w:right="2279"/>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Steiner concluded, “Based upon all of our assumptions, we forecast full-year adjusted earnings to be in the range of $2.15 to $2.20 per diluted share.</w:t>
      </w:r>
      <w:r>
        <w:rPr>
          <w:rFonts w:ascii="Arial" w:cs="Arial" w:eastAsia="Arial" w:hAnsi="Arial"/>
          <w:sz w:val="10"/>
          <w:szCs w:val="10"/>
          <w:color w:val="auto"/>
        </w:rPr>
        <w:t>(b)</w:t>
      </w:r>
      <w:r>
        <w:rPr>
          <w:rFonts w:ascii="Arial" w:cs="Arial" w:eastAsia="Arial" w:hAnsi="Arial"/>
          <w:sz w:val="16"/>
          <w:szCs w:val="16"/>
          <w:color w:val="auto"/>
        </w:rPr>
        <w:t xml:space="preserve"> Capital expenditures are projected to be about $1.3 to $1.4 billion; and our free cash flow for 2013 is estimated to be approximately $1.1 to $1.2 billion.</w:t>
      </w:r>
      <w:r>
        <w:rPr>
          <w:rFonts w:ascii="Arial" w:cs="Arial" w:eastAsia="Arial" w:hAnsi="Arial"/>
          <w:sz w:val="10"/>
          <w:szCs w:val="10"/>
          <w:color w:val="auto"/>
        </w:rPr>
        <w:t>(b)</w:t>
      </w:r>
      <w:r>
        <w:rPr>
          <w:rFonts w:ascii="Arial" w:cs="Arial" w:eastAsia="Arial" w:hAnsi="Arial"/>
          <w:sz w:val="16"/>
          <w:szCs w:val="16"/>
          <w:color w:val="auto"/>
        </w:rPr>
        <w:t xml:space="preserve"> We expect to continue to use our free cash to pay our dividend, to reduce debt, and to repurchase shares, as well as to make appropriate acquisitions and investments in our business. These acquisitions and investments will be predominantly in our core businesses of solid waste and recycling.</w:t>
      </w:r>
    </w:p>
    <w:p>
      <w:pPr>
        <w:spacing w:after="0" w:line="39" w:lineRule="exact"/>
        <w:rPr>
          <w:sz w:val="20"/>
          <w:szCs w:val="20"/>
          <w:color w:val="auto"/>
        </w:rPr>
      </w:pPr>
    </w:p>
    <w:p>
      <w:pPr>
        <w:ind w:right="2239"/>
        <w:spacing w:after="0" w:line="289" w:lineRule="auto"/>
        <w:rPr>
          <w:sz w:val="20"/>
          <w:szCs w:val="20"/>
          <w:color w:val="auto"/>
        </w:rPr>
      </w:pPr>
      <w:r>
        <w:rPr>
          <w:rFonts w:ascii="Arial" w:cs="Arial" w:eastAsia="Arial" w:hAnsi="Arial"/>
          <w:sz w:val="16"/>
          <w:szCs w:val="16"/>
          <w:color w:val="auto"/>
        </w:rPr>
        <w:t>“In 2013 we expect to see increased internal revenue growth from yield and volume, as well as the ongoing benefit from our cost savings programs. We are forecasting modest earnings per share growth in 2013 of between 3% and 6%, but strong free cash flow growth of between 33% and 45%. Our projected earnings growth is being impacted by about $120 million of compensation headwinds from accruals that we expect in 2013 assuming target payout of our annual and long-term incentive plans, compared to significantly lower incentive compensation expense in 2012. Without this accrual, our forecasted earnings would be $0.15 per share higher. We do not expect this same headwind in 2014, so based on current conditions and assumptions, we expect to see more normalized earnings growth of 8% to 12%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06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82" w:lineRule="exact"/>
        <w:rPr>
          <w:sz w:val="20"/>
          <w:szCs w:val="20"/>
          <w:color w:val="auto"/>
        </w:rPr>
      </w:pPr>
    </w:p>
    <w:p>
      <w:pPr>
        <w:ind w:left="300" w:right="2359" w:hanging="292"/>
        <w:spacing w:after="0" w:line="230" w:lineRule="auto"/>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ind w:left="300" w:right="2239" w:hanging="292"/>
        <w:spacing w:after="0" w:line="258" w:lineRule="auto"/>
        <w:tabs>
          <w:tab w:leader="none" w:pos="30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our results of operations and</w:t>
      </w:r>
    </w:p>
    <w:p>
      <w:pPr>
        <w:ind w:left="300" w:right="2719"/>
        <w:spacing w:after="0" w:line="283" w:lineRule="auto"/>
        <w:rPr>
          <w:rFonts w:ascii="Arial" w:cs="Arial" w:eastAsia="Arial" w:hAnsi="Arial"/>
          <w:sz w:val="12"/>
          <w:szCs w:val="12"/>
          <w:color w:val="auto"/>
        </w:rPr>
      </w:pPr>
      <w:r>
        <w:rPr>
          <w:rFonts w:ascii="Arial" w:cs="Arial" w:eastAsia="Arial" w:hAnsi="Arial"/>
          <w:sz w:val="12"/>
          <w:szCs w:val="12"/>
          <w:color w:val="auto"/>
        </w:rPr>
        <w:t>(ii) financial measures the Company uses in the management of its business. Accordingly, net income, earnings per diluted share, and operating expenses have been presented in certain instances excluding special items noted in this press release.</w:t>
      </w:r>
    </w:p>
    <w:p>
      <w:pPr>
        <w:ind w:left="320" w:right="2319"/>
        <w:spacing w:after="0" w:line="268" w:lineRule="auto"/>
        <w:rPr>
          <w:sz w:val="20"/>
          <w:szCs w:val="20"/>
          <w:color w:val="auto"/>
        </w:rPr>
      </w:pPr>
      <w:r>
        <w:rPr>
          <w:rFonts w:ascii="Arial" w:cs="Arial" w:eastAsia="Arial" w:hAnsi="Arial"/>
          <w:sz w:val="12"/>
          <w:szCs w:val="12"/>
          <w:color w:val="auto"/>
        </w:rPr>
        <w:t>The Company’s projected full year 2013 earnings per diluted share are not GAAP net earnings per diluted share and are anticipated to be adjusted to exclude the effects of events or circumstances in 2013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2" w:lineRule="exact"/>
        <w:rPr>
          <w:sz w:val="20"/>
          <w:szCs w:val="20"/>
          <w:color w:val="auto"/>
        </w:rPr>
      </w:pPr>
    </w:p>
    <w:p>
      <w:pPr>
        <w:ind w:left="320" w:right="2279"/>
        <w:spacing w:after="0" w:line="268" w:lineRule="auto"/>
        <w:rPr>
          <w:sz w:val="20"/>
          <w:szCs w:val="20"/>
          <w:color w:val="auto"/>
        </w:rPr>
      </w:pPr>
      <w:r>
        <w:rPr>
          <w:rFonts w:ascii="Arial" w:cs="Arial" w:eastAsia="Arial" w:hAnsi="Arial"/>
          <w:sz w:val="12"/>
          <w:szCs w:val="12"/>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Nonetheless,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15" w:lineRule="exact"/>
        <w:rPr>
          <w:sz w:val="20"/>
          <w:szCs w:val="20"/>
          <w:color w:val="auto"/>
        </w:rPr>
      </w:pPr>
    </w:p>
    <w:p>
      <w:pPr>
        <w:ind w:left="580" w:hanging="288"/>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cash provided by operating activities</w:t>
      </w:r>
    </w:p>
    <w:p>
      <w:pPr>
        <w:spacing w:after="0" w:line="41" w:lineRule="exact"/>
        <w:rPr>
          <w:rFonts w:ascii="Arial" w:cs="Arial" w:eastAsia="Arial" w:hAnsi="Arial"/>
          <w:sz w:val="14"/>
          <w:szCs w:val="14"/>
          <w:color w:val="auto"/>
        </w:rPr>
      </w:pPr>
    </w:p>
    <w:p>
      <w:pPr>
        <w:ind w:left="580" w:hanging="288"/>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Less, capital expenditures</w:t>
      </w:r>
    </w:p>
    <w:p>
      <w:pPr>
        <w:spacing w:after="0" w:line="41" w:lineRule="exact"/>
        <w:rPr>
          <w:rFonts w:ascii="Arial" w:cs="Arial" w:eastAsia="Arial" w:hAnsi="Arial"/>
          <w:sz w:val="14"/>
          <w:szCs w:val="14"/>
          <w:color w:val="auto"/>
        </w:rPr>
      </w:pPr>
    </w:p>
    <w:p>
      <w:pPr>
        <w:ind w:left="580" w:hanging="288"/>
        <w:spacing w:after="0"/>
        <w:tabs>
          <w:tab w:leader="none" w:pos="5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Plus, proceeds from divestitures of businesses (net of cash divested), and other sales of assets.</w:t>
      </w:r>
    </w:p>
    <w:p>
      <w:pPr>
        <w:spacing w:after="0" w:line="28" w:lineRule="exact"/>
        <w:rPr>
          <w:sz w:val="20"/>
          <w:szCs w:val="20"/>
          <w:color w:val="auto"/>
        </w:rPr>
      </w:pPr>
    </w:p>
    <w:p>
      <w:pPr>
        <w:ind w:left="320" w:right="2299"/>
        <w:spacing w:after="0" w:line="239" w:lineRule="auto"/>
        <w:rPr>
          <w:sz w:val="20"/>
          <w:szCs w:val="20"/>
          <w:color w:val="auto"/>
        </w:rPr>
      </w:pPr>
      <w:r>
        <w:rPr>
          <w:rFonts w:ascii="Arial" w:cs="Arial" w:eastAsia="Arial" w:hAnsi="Arial"/>
          <w:sz w:val="14"/>
          <w:szCs w:val="14"/>
          <w:color w:val="auto"/>
        </w:rPr>
        <w:t>The Company’s definition of free cash flow may not be comparable to similarly titled measures presented by other companies, and therefore is not subject to comparison.</w:t>
      </w:r>
    </w:p>
    <w:p>
      <w:pPr>
        <w:spacing w:after="0" w:line="17" w:lineRule="exact"/>
        <w:rPr>
          <w:sz w:val="20"/>
          <w:szCs w:val="20"/>
          <w:color w:val="auto"/>
        </w:rPr>
      </w:pPr>
    </w:p>
    <w:p>
      <w:pPr>
        <w:ind w:left="320" w:right="2299"/>
        <w:spacing w:after="0" w:line="230" w:lineRule="auto"/>
        <w:rPr>
          <w:sz w:val="20"/>
          <w:szCs w:val="20"/>
          <w:color w:val="auto"/>
        </w:rPr>
      </w:pPr>
      <w:r>
        <w:rPr>
          <w:rFonts w:ascii="Arial" w:cs="Arial" w:eastAsia="Arial" w:hAnsi="Arial"/>
          <w:sz w:val="14"/>
          <w:szCs w:val="14"/>
          <w:color w:val="auto"/>
        </w:rPr>
        <w:t>The quantitative reconciliations of non-GAAP measures used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ectPr>
          <w:pgSz w:w="11900" w:h="16838" w:orient="portrait"/>
          <w:cols w:equalWidth="0" w:num="1">
            <w:col w:w="10219"/>
          </w:cols>
          <w:pgMar w:left="240" w:top="320" w:right="1440" w:bottom="1440" w:gutter="0" w:footer="0" w:header="0"/>
        </w:sectPr>
      </w:pPr>
    </w:p>
    <w:bookmarkStart w:id="9" w:name="page10"/>
    <w:bookmarkEnd w:id="9"/>
    <w:p>
      <w:pPr>
        <w:ind w:right="231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fourth quarter and full year 2012 results. Information contained within this press release will be referenced and should be considered in conjunction with the call.</w:t>
      </w:r>
    </w:p>
    <w:p>
      <w:pPr>
        <w:spacing w:after="0" w:line="140" w:lineRule="exact"/>
        <w:rPr>
          <w:sz w:val="20"/>
          <w:szCs w:val="20"/>
          <w:color w:val="auto"/>
        </w:rPr>
      </w:pPr>
    </w:p>
    <w:p>
      <w:pPr>
        <w:ind w:right="2259"/>
        <w:spacing w:after="0" w:line="323" w:lineRule="auto"/>
        <w:rPr>
          <w:sz w:val="20"/>
          <w:szCs w:val="20"/>
          <w:color w:val="auto"/>
        </w:rPr>
      </w:pPr>
      <w:r>
        <w:rPr>
          <w:rFonts w:ascii="Arial" w:cs="Arial" w:eastAsia="Arial" w:hAnsi="Arial"/>
          <w:sz w:val="15"/>
          <w:szCs w:val="15"/>
          <w:color w:val="auto"/>
        </w:rPr>
        <w:t xml:space="preserve">The conference call will be webcast live from the Investor Relations section of Waste Management’s website </w:t>
      </w:r>
      <w:r>
        <w:rPr>
          <w:rFonts w:ascii="Arial" w:cs="Arial" w:eastAsia="Arial" w:hAnsi="Arial"/>
          <w:sz w:val="15"/>
          <w:szCs w:val="15"/>
          <w:u w:val="single" w:color="auto"/>
          <w:color w:val="auto"/>
        </w:rPr>
        <w:t>www.wm.com</w:t>
      </w:r>
      <w:r>
        <w:rPr>
          <w:rFonts w:ascii="Arial" w:cs="Arial" w:eastAsia="Arial" w:hAnsi="Arial"/>
          <w:sz w:val="15"/>
          <w:szCs w:val="15"/>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88156298 when prompted by the conference call operator.</w:t>
      </w:r>
    </w:p>
    <w:p>
      <w:pPr>
        <w:spacing w:after="0" w:line="98" w:lineRule="exact"/>
        <w:rPr>
          <w:sz w:val="20"/>
          <w:szCs w:val="20"/>
          <w:color w:val="auto"/>
        </w:rPr>
      </w:pPr>
    </w:p>
    <w:p>
      <w:pPr>
        <w:ind w:right="2239"/>
        <w:spacing w:after="0" w:line="298" w:lineRule="auto"/>
        <w:rPr>
          <w:sz w:val="20"/>
          <w:szCs w:val="20"/>
          <w:color w:val="auto"/>
        </w:rPr>
      </w:pPr>
      <w:r>
        <w:rPr>
          <w:rFonts w:ascii="Arial" w:cs="Arial" w:eastAsia="Arial" w:hAnsi="Arial"/>
          <w:sz w:val="16"/>
          <w:szCs w:val="16"/>
          <w:color w:val="auto"/>
        </w:rPr>
        <w:t xml:space="preserve">A replay of the conference call will be available on the Company’s website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and by telephone from approximately 1:00 PM (Eastern) Thursday, February 14, 2013 through 5:00 PM (Eastern) on Thursday, March 1, 2013. To access the replay telephonically, please dial (855) 859-2056, or from outside of the United States or Canada dial (404) 537-3406, and use the replay conference ID number 88156298.</w:t>
      </w:r>
    </w:p>
    <w:p>
      <w:pPr>
        <w:spacing w:after="0" w:line="113" w:lineRule="exact"/>
        <w:rPr>
          <w:sz w:val="20"/>
          <w:szCs w:val="20"/>
          <w:color w:val="auto"/>
        </w:rPr>
      </w:pPr>
    </w:p>
    <w:p>
      <w:pPr>
        <w:ind w:right="2279"/>
        <w:spacing w:after="0" w:line="284"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of the statements under the heading “2013 Outlook” (which includes 2013 earnings per diluted share; 2013 free cash flow; 2013 capital expenditures; future internal revenue growth from yield and volume; future recycling commodity prices; results from waste-to-energy operations; expected tax rate; and future dividends and share repurchases), as well as statements regarding 2013 compensation and accruals, future debt reduction, future acquisitions and investments, and earnings or cash generation in 2014.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2319"/>
        <w:spacing w:after="0" w:line="291"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20"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32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87"/>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Costs and expenses: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700" w:type="dxa"/>
            <w:vAlign w:val="bottom"/>
            <w:vMerge w:val="restart"/>
          </w:tcPr>
          <w:p>
            <w:pPr>
              <w:jc w:val="right"/>
              <w:ind w:right="3392"/>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Quarters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464.2</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464.8</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0.48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jc w:val="right"/>
              <w:ind w:right="335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Costs and expenses:</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8,879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11,798</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1,851</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860</w:t>
            </w:r>
          </w:p>
        </w:tc>
        <w:tc>
          <w:tcPr>
            <w:tcW w:w="1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817</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464.4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vMerge w:val="restart"/>
          </w:tcPr>
          <w:p>
            <w:pPr>
              <w:jc w:val="right"/>
              <w:ind w:right="3672"/>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jc w:val="right"/>
              <w:ind w:right="36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5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(Unaudited)</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rPr>
              <w:t>Receivables, net</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1,839</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2,423</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426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2,293</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3,036</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Equity:</w:t>
            </w:r>
          </w:p>
        </w:tc>
        <w:tc>
          <w:tcPr>
            <w:tcW w:w="4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Waste Management, Inc. stockholders’ equity</w:t>
            </w:r>
          </w:p>
        </w:tc>
        <w:tc>
          <w:tcPr>
            <w:tcW w:w="4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440"/>
              <w:spacing w:after="0"/>
              <w:rPr>
                <w:sz w:val="20"/>
                <w:szCs w:val="20"/>
                <w:color w:val="auto"/>
              </w:rPr>
            </w:pPr>
            <w:r>
              <w:rPr>
                <w:rFonts w:ascii="Arial" w:cs="Arial" w:eastAsia="Arial" w:hAnsi="Arial"/>
                <w:sz w:val="18"/>
                <w:szCs w:val="18"/>
                <w:color w:val="auto"/>
              </w:rPr>
              <w:t>Noncontrolling interests</w:t>
            </w:r>
          </w:p>
        </w:tc>
        <w:tc>
          <w:tcPr>
            <w:tcW w:w="4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40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40" w:type="dxa"/>
            <w:vAlign w:val="bottom"/>
          </w:tcPr>
          <w:p>
            <w:pPr>
              <w:ind w:left="880"/>
              <w:spacing w:after="0"/>
              <w:rPr>
                <w:sz w:val="20"/>
                <w:szCs w:val="20"/>
                <w:color w:val="auto"/>
              </w:rPr>
            </w:pPr>
            <w:r>
              <w:rPr>
                <w:rFonts w:ascii="Arial" w:cs="Arial" w:eastAsia="Arial" w:hAnsi="Arial"/>
                <w:sz w:val="18"/>
                <w:szCs w:val="18"/>
                <w:color w:val="auto"/>
              </w:rPr>
              <w:t>Total liabilities and equity</w:t>
            </w:r>
          </w:p>
        </w:tc>
        <w:tc>
          <w:tcPr>
            <w:tcW w:w="4260" w:type="dxa"/>
            <w:vAlign w:val="bottom"/>
            <w:gridSpan w:val="2"/>
          </w:tcPr>
          <w:p>
            <w:pPr>
              <w:ind w:left="40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23,097</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40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7"/>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860</w:t>
            </w:r>
          </w:p>
        </w:tc>
        <w:tc>
          <w:tcPr>
            <w:tcW w:w="3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1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20"/>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ind w:right="-19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1"/>
                <w:szCs w:val="11"/>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38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70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Operating Revenues by Lines of Business</w:t>
            </w: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80" w:type="dxa"/>
            <w:vAlign w:val="bottom"/>
            <w:tcBorders>
              <w:top w:val="single" w:sz="8" w:color="auto"/>
            </w:tcBorders>
          </w:tcPr>
          <w:p>
            <w:pPr>
              <w:ind w:left="440"/>
              <w:spacing w:after="0" w:line="142" w:lineRule="exact"/>
              <w:rPr>
                <w:sz w:val="20"/>
                <w:szCs w:val="20"/>
                <w:color w:val="auto"/>
              </w:rPr>
            </w:pPr>
            <w:r>
              <w:rPr>
                <w:rFonts w:ascii="Arial" w:cs="Arial" w:eastAsia="Arial" w:hAnsi="Arial"/>
                <w:sz w:val="14"/>
                <w:szCs w:val="14"/>
                <w:color w:val="auto"/>
              </w:rPr>
              <w:t>Collection</w:t>
            </w:r>
          </w:p>
        </w:tc>
        <w:tc>
          <w:tcPr>
            <w:tcW w:w="33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 xml:space="preserve">Commercial </w:t>
            </w:r>
            <w:r>
              <w:rPr>
                <w:rFonts w:ascii="Arial" w:cs="Arial" w:eastAsia="Arial" w:hAnsi="Arial"/>
                <w:sz w:val="14"/>
                <w:szCs w:val="14"/>
                <w:b w:val="1"/>
                <w:bCs w:val="1"/>
                <w:color w:val="auto"/>
              </w:rPr>
              <w:t>(a)</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w:t>
            </w:r>
          </w:p>
        </w:tc>
        <w:tc>
          <w:tcPr>
            <w:tcW w:w="3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851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49"/>
        </w:trPr>
        <w:tc>
          <w:tcPr>
            <w:tcW w:w="57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Residential</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644</w:t>
            </w: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880"/>
              <w:spacing w:after="0" w:line="149" w:lineRule="exact"/>
              <w:rPr>
                <w:sz w:val="20"/>
                <w:szCs w:val="20"/>
                <w:color w:val="auto"/>
              </w:rPr>
            </w:pPr>
            <w:r>
              <w:rPr>
                <w:rFonts w:ascii="Arial" w:cs="Arial" w:eastAsia="Arial" w:hAnsi="Arial"/>
                <w:sz w:val="14"/>
                <w:szCs w:val="14"/>
                <w:color w:val="auto"/>
              </w:rPr>
              <w:t>Industrial</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553</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49"/>
        </w:trPr>
        <w:tc>
          <w:tcPr>
            <w:tcW w:w="5700" w:type="dxa"/>
            <w:vAlign w:val="bottom"/>
            <w:gridSpan w:val="2"/>
          </w:tcPr>
          <w:p>
            <w:pPr>
              <w:ind w:left="88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Collection</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2,106</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2,119</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149"/>
        </w:trPr>
        <w:tc>
          <w:tcPr>
            <w:tcW w:w="5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Landfill</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689</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705</w:t>
            </w: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332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49"/>
        </w:trPr>
        <w:tc>
          <w:tcPr>
            <w:tcW w:w="5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Wheelabrator</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218</w:t>
            </w: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Recycling</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3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316</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5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393</w:t>
            </w:r>
          </w:p>
        </w:tc>
        <w:tc>
          <w:tcPr>
            <w:tcW w:w="1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5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 xml:space="preserve">Intercompany </w:t>
            </w:r>
            <w:r>
              <w:rPr>
                <w:rFonts w:ascii="Arial" w:cs="Arial" w:eastAsia="Arial" w:hAnsi="Arial"/>
                <w:sz w:val="14"/>
                <w:szCs w:val="14"/>
                <w:b w:val="1"/>
                <w:bCs w:val="1"/>
                <w:color w:val="auto"/>
              </w:rPr>
              <w:t>(b)</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(626)</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880"/>
              <w:spacing w:after="0"/>
              <w:rPr>
                <w:sz w:val="20"/>
                <w:szCs w:val="20"/>
                <w:color w:val="auto"/>
              </w:rPr>
            </w:pPr>
            <w:r>
              <w:rPr>
                <w:rFonts w:ascii="Arial" w:cs="Arial" w:eastAsia="Arial" w:hAnsi="Arial"/>
                <w:sz w:val="14"/>
                <w:szCs w:val="14"/>
                <w:color w:val="auto"/>
              </w:rPr>
              <w:t>Operating revenues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00" w:type="dxa"/>
            <w:vAlign w:val="bottom"/>
            <w:gridSpan w:val="2"/>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3,434</w:t>
            </w:r>
          </w:p>
        </w:tc>
        <w:tc>
          <w:tcPr>
            <w:tcW w:w="340" w:type="dxa"/>
            <w:vAlign w:val="bottom"/>
          </w:tcPr>
          <w:p>
            <w:pPr>
              <w:spacing w:after="0"/>
              <w:rPr>
                <w:sz w:val="13"/>
                <w:szCs w:val="13"/>
                <w:color w:val="auto"/>
              </w:rPr>
            </w:pPr>
          </w:p>
        </w:tc>
        <w:tc>
          <w:tcPr>
            <w:tcW w:w="52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680"/>
              <w:spacing w:after="0" w:line="155" w:lineRule="exact"/>
              <w:rPr>
                <w:sz w:val="20"/>
                <w:szCs w:val="20"/>
                <w:color w:val="auto"/>
              </w:rPr>
            </w:pPr>
            <w:r>
              <w:rPr>
                <w:rFonts w:ascii="Arial" w:cs="Arial" w:eastAsia="Arial" w:hAnsi="Arial"/>
                <w:sz w:val="14"/>
                <w:szCs w:val="14"/>
                <w:color w:val="auto"/>
              </w:rPr>
              <w:t>3,461</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3,406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84"/>
              </w:rPr>
              <w:t>December 31, 2012</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5"/>
          </w:tcPr>
          <w:p>
            <w:pPr>
              <w:jc w:val="right"/>
              <w:ind w:right="20"/>
              <w:spacing w:after="0" w:line="142" w:lineRule="exact"/>
              <w:rPr>
                <w:sz w:val="20"/>
                <w:szCs w:val="20"/>
                <w:color w:val="auto"/>
              </w:rPr>
            </w:pPr>
            <w:r>
              <w:rPr>
                <w:rFonts w:ascii="Arial" w:cs="Arial" w:eastAsia="Arial" w:hAnsi="Arial"/>
                <w:sz w:val="14"/>
                <w:szCs w:val="14"/>
                <w:b w:val="1"/>
                <w:bCs w:val="1"/>
                <w:color w:val="auto"/>
                <w:w w:val="84"/>
              </w:rPr>
              <w:t>December 31, 2011</w:t>
            </w:r>
          </w:p>
        </w:tc>
        <w:tc>
          <w:tcPr>
            <w:tcW w:w="4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4"/>
          </w:tcPr>
          <w:p>
            <w:pPr>
              <w:jc w:val="right"/>
              <w:ind w:right="160"/>
              <w:spacing w:after="0" w:line="131" w:lineRule="exact"/>
              <w:rPr>
                <w:sz w:val="20"/>
                <w:szCs w:val="20"/>
                <w:color w:val="auto"/>
              </w:rPr>
            </w:pPr>
            <w:r>
              <w:rPr>
                <w:rFonts w:ascii="Arial" w:cs="Arial" w:eastAsia="Arial" w:hAnsi="Arial"/>
                <w:sz w:val="14"/>
                <w:szCs w:val="14"/>
                <w:color w:val="auto"/>
              </w:rPr>
              <w:t>As a %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right"/>
              <w:ind w:right="92"/>
              <w:spacing w:after="0" w:line="131" w:lineRule="exact"/>
              <w:rPr>
                <w:sz w:val="20"/>
                <w:szCs w:val="20"/>
                <w:color w:val="auto"/>
              </w:rPr>
            </w:pPr>
            <w:r>
              <w:rPr>
                <w:rFonts w:ascii="Arial" w:cs="Arial" w:eastAsia="Arial" w:hAnsi="Arial"/>
                <w:sz w:val="14"/>
                <w:szCs w:val="14"/>
                <w:color w:val="auto"/>
              </w:rPr>
              <w:t>As a %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5"/>
          </w:tcPr>
          <w:p>
            <w:pPr>
              <w:spacing w:after="0" w:line="15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6"/>
          </w:tcPr>
          <w:p>
            <w:pPr>
              <w:jc w:val="right"/>
              <w:ind w:right="520"/>
              <w:spacing w:after="0" w:line="159" w:lineRule="exact"/>
              <w:rPr>
                <w:sz w:val="20"/>
                <w:szCs w:val="20"/>
                <w:color w:val="auto"/>
              </w:rPr>
            </w:pPr>
            <w:r>
              <w:rPr>
                <w:rFonts w:ascii="Arial" w:cs="Arial" w:eastAsia="Arial" w:hAnsi="Arial"/>
                <w:sz w:val="14"/>
                <w:szCs w:val="14"/>
                <w:color w:val="auto"/>
                <w:w w:val="86"/>
              </w:rPr>
              <w:t>Total 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6"/>
          </w:tcPr>
          <w:p>
            <w:pPr>
              <w:spacing w:after="0" w:line="15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80" w:type="dxa"/>
            <w:vAlign w:val="bottom"/>
            <w:gridSpan w:val="4"/>
          </w:tcPr>
          <w:p>
            <w:pPr>
              <w:jc w:val="right"/>
              <w:ind w:right="140"/>
              <w:spacing w:after="0" w:line="159" w:lineRule="exact"/>
              <w:rPr>
                <w:sz w:val="20"/>
                <w:szCs w:val="20"/>
                <w:color w:val="auto"/>
              </w:rPr>
            </w:pPr>
            <w:r>
              <w:rPr>
                <w:rFonts w:ascii="Arial" w:cs="Arial" w:eastAsia="Arial" w:hAnsi="Arial"/>
                <w:sz w:val="14"/>
                <w:szCs w:val="14"/>
                <w:color w:val="auto"/>
                <w:w w:val="86"/>
              </w:rPr>
              <w:t>Total Company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60" w:type="dxa"/>
            <w:vAlign w:val="bottom"/>
            <w:tcBorders>
              <w:top w:val="single" w:sz="8" w:color="CCEEFF"/>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w w:val="99"/>
              </w:rPr>
              <w:t>Analysis of Change in Year Over Year Revenues</w:t>
            </w:r>
          </w:p>
        </w:tc>
        <w:tc>
          <w:tcPr>
            <w:tcW w:w="26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4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left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gridSpan w:val="3"/>
          </w:tcPr>
          <w:p>
            <w:pPr>
              <w:ind w:left="420"/>
              <w:spacing w:after="0" w:line="142" w:lineRule="exact"/>
              <w:rPr>
                <w:sz w:val="20"/>
                <w:szCs w:val="20"/>
                <w:color w:val="auto"/>
              </w:rPr>
            </w:pPr>
            <w:r>
              <w:rPr>
                <w:rFonts w:ascii="Arial" w:cs="Arial" w:eastAsia="Arial" w:hAnsi="Arial"/>
                <w:sz w:val="14"/>
                <w:szCs w:val="14"/>
                <w:color w:val="auto"/>
              </w:rPr>
              <w:t xml:space="preserve">Average yield </w:t>
            </w:r>
            <w:r>
              <w:rPr>
                <w:rFonts w:ascii="Arial" w:cs="Arial" w:eastAsia="Arial" w:hAnsi="Arial"/>
                <w:sz w:val="14"/>
                <w:szCs w:val="14"/>
                <w:b w:val="1"/>
                <w:bCs w:val="1"/>
                <w:color w:val="auto"/>
              </w:rPr>
              <w:t>(i)</w:t>
            </w:r>
          </w:p>
        </w:tc>
        <w:tc>
          <w:tcPr>
            <w:tcW w:w="260" w:type="dxa"/>
            <w:vAlign w:val="bottom"/>
            <w:gridSpan w:val="2"/>
          </w:tcPr>
          <w:p>
            <w:pPr>
              <w:ind w:left="180"/>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ind w:right="12"/>
              <w:spacing w:after="0" w:line="142" w:lineRule="exact"/>
              <w:rPr>
                <w:sz w:val="20"/>
                <w:szCs w:val="20"/>
                <w:color w:val="auto"/>
              </w:rPr>
            </w:pPr>
            <w:r>
              <w:rPr>
                <w:rFonts w:ascii="Arial" w:cs="Arial" w:eastAsia="Arial" w:hAnsi="Arial"/>
                <w:sz w:val="14"/>
                <w:szCs w:val="14"/>
                <w:color w:val="auto"/>
              </w:rPr>
              <w:t>(35)</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2"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360" w:type="dxa"/>
            <w:vAlign w:val="bottom"/>
            <w:gridSpan w:val="3"/>
          </w:tcPr>
          <w:p>
            <w:pPr>
              <w:ind w:left="2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Volume</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3"/>
            <w:vMerge w:val="restart"/>
          </w:tcPr>
          <w:p>
            <w:pPr>
              <w:ind w:left="420"/>
              <w:spacing w:after="0"/>
              <w:rPr>
                <w:sz w:val="20"/>
                <w:szCs w:val="20"/>
                <w:color w:val="auto"/>
              </w:rPr>
            </w:pPr>
            <w:r>
              <w:rPr>
                <w:rFonts w:ascii="Arial" w:cs="Arial" w:eastAsia="Arial" w:hAnsi="Arial"/>
                <w:sz w:val="14"/>
                <w:szCs w:val="14"/>
                <w:color w:val="auto"/>
              </w:rPr>
              <w:t>Internal revenue growth</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jc w:val="right"/>
              <w:ind w:right="12"/>
              <w:spacing w:after="0" w:line="155" w:lineRule="exact"/>
              <w:rPr>
                <w:sz w:val="20"/>
                <w:szCs w:val="20"/>
                <w:color w:val="auto"/>
              </w:rPr>
            </w:pPr>
            <w:r>
              <w:rPr>
                <w:rFonts w:ascii="Arial" w:cs="Arial" w:eastAsia="Arial" w:hAnsi="Arial"/>
                <w:sz w:val="14"/>
                <w:szCs w:val="14"/>
                <w:color w:val="auto"/>
              </w:rPr>
              <w:t>(21)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-0.6%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4"/>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Divestitures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4"/>
          </w:tcPr>
          <w:p>
            <w:pPr>
              <w:jc w:val="right"/>
              <w:ind w:right="12"/>
              <w:spacing w:after="0" w:line="149" w:lineRule="exact"/>
              <w:rPr>
                <w:sz w:val="20"/>
                <w:szCs w:val="20"/>
                <w:color w:val="auto"/>
              </w:rPr>
            </w:pPr>
            <w:r>
              <w:rPr>
                <w:rFonts w:ascii="Arial" w:cs="Arial" w:eastAsia="Arial" w:hAnsi="Arial"/>
                <w:sz w:val="14"/>
                <w:szCs w:val="14"/>
                <w:color w:val="auto"/>
              </w:rPr>
              <w:t>(2)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-0.1%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Foreign currency translation</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60" w:type="dxa"/>
            <w:vAlign w:val="bottom"/>
            <w:gridSpan w:val="2"/>
          </w:tcPr>
          <w:p>
            <w:pPr>
              <w:ind w:left="180"/>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gridSpan w:val="4"/>
          </w:tcPr>
          <w:p>
            <w:pPr>
              <w:jc w:val="right"/>
              <w:ind w:right="52"/>
              <w:spacing w:after="0" w:line="155" w:lineRule="exact"/>
              <w:rPr>
                <w:sz w:val="20"/>
                <w:szCs w:val="20"/>
                <w:color w:val="auto"/>
              </w:rPr>
            </w:pPr>
            <w:r>
              <w:rPr>
                <w:rFonts w:ascii="Arial" w:cs="Arial" w:eastAsia="Arial" w:hAnsi="Arial"/>
                <w:sz w:val="14"/>
                <w:szCs w:val="14"/>
                <w:color w:val="auto"/>
              </w:rPr>
              <w:t>28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3"/>
                <w:szCs w:val="13"/>
                <w:color w:val="auto"/>
              </w:rPr>
            </w:pPr>
          </w:p>
        </w:tc>
        <w:tc>
          <w:tcPr>
            <w:tcW w:w="36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219</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6"/>
          </w:tcPr>
          <w:p>
            <w:pPr>
              <w:jc w:val="right"/>
              <w:ind w:right="800"/>
              <w:spacing w:after="0"/>
              <w:rPr>
                <w:sz w:val="20"/>
                <w:szCs w:val="20"/>
                <w:color w:val="auto"/>
              </w:rPr>
            </w:pPr>
            <w:r>
              <w:rPr>
                <w:rFonts w:ascii="Arial" w:cs="Arial" w:eastAsia="Arial" w:hAnsi="Arial"/>
                <w:sz w:val="14"/>
                <w:szCs w:val="14"/>
                <w:color w:val="auto"/>
                <w:w w:val="90"/>
              </w:rPr>
              <w:t>As a %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4"/>
                <w:szCs w:val="14"/>
                <w:color w:val="auto"/>
              </w:rPr>
              <w:t>As a %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gridSpan w:val="6"/>
          </w:tcPr>
          <w:p>
            <w:pPr>
              <w:spacing w:after="0" w:line="159" w:lineRule="exact"/>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7"/>
          </w:tcPr>
          <w:p>
            <w:pPr>
              <w:jc w:val="right"/>
              <w:ind w:right="600"/>
              <w:spacing w:after="0" w:line="159" w:lineRule="exact"/>
              <w:rPr>
                <w:sz w:val="20"/>
                <w:szCs w:val="20"/>
                <w:color w:val="auto"/>
              </w:rPr>
            </w:pPr>
            <w:r>
              <w:rPr>
                <w:rFonts w:ascii="Arial" w:cs="Arial" w:eastAsia="Arial" w:hAnsi="Arial"/>
                <w:sz w:val="14"/>
                <w:szCs w:val="14"/>
                <w:color w:val="auto"/>
                <w:w w:val="84"/>
              </w:rPr>
              <w:t>Related Business</w:t>
            </w:r>
          </w:p>
        </w:tc>
        <w:tc>
          <w:tcPr>
            <w:tcW w:w="160" w:type="dxa"/>
            <w:vAlign w:val="bottom"/>
          </w:tcPr>
          <w:p>
            <w:pPr>
              <w:spacing w:after="0"/>
              <w:rPr>
                <w:sz w:val="13"/>
                <w:szCs w:val="13"/>
                <w:color w:val="auto"/>
              </w:rPr>
            </w:pPr>
          </w:p>
        </w:tc>
        <w:tc>
          <w:tcPr>
            <w:tcW w:w="1140" w:type="dxa"/>
            <w:vAlign w:val="bottom"/>
            <w:gridSpan w:val="7"/>
          </w:tcPr>
          <w:p>
            <w:pPr>
              <w:spacing w:after="0" w:line="159" w:lineRule="exact"/>
              <w:rPr>
                <w:sz w:val="20"/>
                <w:szCs w:val="20"/>
                <w:color w:val="auto"/>
              </w:rPr>
            </w:pPr>
            <w:r>
              <w:rPr>
                <w:rFonts w:ascii="Arial" w:cs="Arial" w:eastAsia="Arial" w:hAnsi="Arial"/>
                <w:sz w:val="14"/>
                <w:szCs w:val="14"/>
                <w:color w:val="auto"/>
              </w:rPr>
              <w:t>Amount</w:t>
            </w:r>
          </w:p>
        </w:tc>
        <w:tc>
          <w:tcPr>
            <w:tcW w:w="1080" w:type="dxa"/>
            <w:vAlign w:val="bottom"/>
            <w:gridSpan w:val="5"/>
          </w:tcPr>
          <w:p>
            <w:pPr>
              <w:jc w:val="right"/>
              <w:ind w:right="160"/>
              <w:spacing w:after="0" w:line="159" w:lineRule="exact"/>
              <w:rPr>
                <w:sz w:val="20"/>
                <w:szCs w:val="20"/>
                <w:color w:val="auto"/>
              </w:rPr>
            </w:pPr>
            <w:r>
              <w:rPr>
                <w:rFonts w:ascii="Arial" w:cs="Arial" w:eastAsia="Arial" w:hAnsi="Arial"/>
                <w:sz w:val="14"/>
                <w:szCs w:val="14"/>
                <w:color w:val="auto"/>
                <w:w w:val="82"/>
              </w:rPr>
              <w:t>Related Business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 xml:space="preserve">(i) </w:t>
            </w:r>
            <w:r>
              <w:rPr>
                <w:rFonts w:ascii="Arial" w:cs="Arial" w:eastAsia="Arial" w:hAnsi="Arial"/>
                <w:sz w:val="14"/>
                <w:szCs w:val="14"/>
                <w:color w:val="auto"/>
              </w:rPr>
              <w:t>Average yield</w:t>
            </w: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Collection, landfill and transfer</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29</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Waste-to-energy disposal</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2"/>
              </w:rPr>
              <w:t>-2.8%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gridSpan w:val="3"/>
            <w:vMerge w:val="restart"/>
          </w:tcPr>
          <w:p>
            <w:pPr>
              <w:ind w:left="420"/>
              <w:spacing w:after="0"/>
              <w:rPr>
                <w:sz w:val="20"/>
                <w:szCs w:val="20"/>
                <w:color w:val="auto"/>
              </w:rPr>
            </w:pPr>
            <w:r>
              <w:rPr>
                <w:rFonts w:ascii="Arial" w:cs="Arial" w:eastAsia="Arial" w:hAnsi="Arial"/>
                <w:sz w:val="14"/>
                <w:szCs w:val="14"/>
                <w:color w:val="auto"/>
              </w:rPr>
              <w:t>Collection and disposal</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rPr>
              <w:t>0.9%</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jc w:val="right"/>
              <w:ind w:right="112"/>
              <w:spacing w:after="0" w:line="155" w:lineRule="exact"/>
              <w:rPr>
                <w:sz w:val="20"/>
                <w:szCs w:val="20"/>
                <w:color w:val="auto"/>
              </w:rPr>
            </w:pPr>
            <w:r>
              <w:rPr>
                <w:rFonts w:ascii="Arial" w:cs="Arial" w:eastAsia="Arial" w:hAnsi="Arial"/>
                <w:sz w:val="14"/>
                <w:szCs w:val="14"/>
                <w:color w:val="auto"/>
              </w:rPr>
              <w:t>26</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9"/>
              </w:rPr>
              <w:t>38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Recycling commodities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80"/>
              </w:rPr>
              <w:t>(83)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6"/>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2"/>
                <w:szCs w:val="12"/>
                <w:color w:val="auto"/>
              </w:rPr>
            </w:pPr>
          </w:p>
        </w:tc>
        <w:tc>
          <w:tcPr>
            <w:tcW w:w="700" w:type="dxa"/>
            <w:vAlign w:val="bottom"/>
            <w:gridSpan w:val="6"/>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Electricity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3"/>
          </w:tcPr>
          <w:p>
            <w:pPr>
              <w:jc w:val="right"/>
              <w:ind w:right="112"/>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Fuel surcharges and mandated fees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10.3%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0"/>
        </w:trPr>
        <w:tc>
          <w:tcPr>
            <w:tcW w:w="5440" w:type="dxa"/>
            <w:vAlign w:val="bottom"/>
            <w:gridSpan w:val="4"/>
            <w:vMerge w:val="restart"/>
          </w:tcPr>
          <w:p>
            <w:pPr>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auto"/>
                <w:w w:val="92"/>
              </w:rPr>
              <w:t>-1.0%</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line="20" w:lineRule="exact"/>
              <w:rPr>
                <w:sz w:val="1"/>
                <w:szCs w:val="1"/>
                <w:color w:val="auto"/>
              </w:rPr>
            </w:pPr>
          </w:p>
        </w:tc>
      </w:tr>
      <w:tr>
        <w:trPr>
          <w:trHeight w:val="156"/>
        </w:trPr>
        <w:tc>
          <w:tcPr>
            <w:tcW w:w="5440" w:type="dxa"/>
            <w:vAlign w:val="bottom"/>
            <w:gridSpan w:val="4"/>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gridSpan w:val="3"/>
          </w:tcPr>
          <w:p>
            <w:pPr>
              <w:jc w:val="right"/>
              <w:ind w:right="72"/>
              <w:spacing w:after="0" w:line="155" w:lineRule="exact"/>
              <w:rPr>
                <w:sz w:val="20"/>
                <w:szCs w:val="20"/>
                <w:color w:val="auto"/>
              </w:rPr>
            </w:pPr>
            <w:r>
              <w:rPr>
                <w:rFonts w:ascii="Arial" w:cs="Arial" w:eastAsia="Arial" w:hAnsi="Arial"/>
                <w:sz w:val="14"/>
                <w:szCs w:val="14"/>
                <w:color w:val="auto"/>
                <w:w w:val="80"/>
              </w:rPr>
              <w:t>(35)</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gridSpan w:val="2"/>
          </w:tcPr>
          <w:p>
            <w:pPr>
              <w:ind w:left="160"/>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w w:val="89"/>
              </w:rPr>
              <w:t>46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gridSpan w:val="11"/>
          </w:tcPr>
          <w:p>
            <w:pPr>
              <w:jc w:val="right"/>
              <w:ind w:right="380"/>
              <w:spacing w:after="0"/>
              <w:rPr>
                <w:sz w:val="20"/>
                <w:szCs w:val="20"/>
                <w:color w:val="auto"/>
              </w:rPr>
            </w:pPr>
            <w:r>
              <w:rPr>
                <w:rFonts w:ascii="Arial" w:cs="Arial" w:eastAsia="Arial" w:hAnsi="Arial"/>
                <w:sz w:val="14"/>
                <w:szCs w:val="14"/>
                <w:b w:val="1"/>
                <w:bCs w:val="1"/>
                <w:color w:val="auto"/>
                <w:w w:val="91"/>
              </w:rPr>
              <w:t>Quarters Ended December 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w w:val="91"/>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2"/>
                <w:szCs w:val="12"/>
                <w:b w:val="1"/>
                <w:bCs w:val="1"/>
                <w:color w:val="auto"/>
                <w:w w:val="99"/>
              </w:rPr>
              <w:t>Free Cash Flow Analysis (c)</w:t>
            </w:r>
          </w:p>
        </w:tc>
        <w:tc>
          <w:tcPr>
            <w:tcW w:w="3820" w:type="dxa"/>
            <w:vAlign w:val="bottom"/>
            <w:tcBorders>
              <w:bottom w:val="single" w:sz="8" w:color="CCEEFF"/>
            </w:tcBorders>
            <w:gridSpan w:val="2"/>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left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gridSpan w:val="3"/>
          </w:tcPr>
          <w:p>
            <w:pPr>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577</w:t>
            </w:r>
          </w:p>
        </w:tc>
        <w:tc>
          <w:tcPr>
            <w:tcW w:w="80" w:type="dxa"/>
            <w:vAlign w:val="bottom"/>
          </w:tcPr>
          <w:p>
            <w:pPr>
              <w:spacing w:after="0"/>
              <w:rPr>
                <w:sz w:val="12"/>
                <w:szCs w:val="12"/>
                <w:color w:val="auto"/>
              </w:rPr>
            </w:pPr>
          </w:p>
        </w:tc>
        <w:tc>
          <w:tcPr>
            <w:tcW w:w="680" w:type="dxa"/>
            <w:vAlign w:val="bottom"/>
            <w:gridSpan w:val="3"/>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4"/>
          </w:tcPr>
          <w:p>
            <w:pPr>
              <w:jc w:val="right"/>
              <w:ind w:right="220"/>
              <w:spacing w:after="0" w:line="142" w:lineRule="exact"/>
              <w:rPr>
                <w:sz w:val="20"/>
                <w:szCs w:val="20"/>
                <w:color w:val="auto"/>
              </w:rPr>
            </w:pPr>
            <w:r>
              <w:rPr>
                <w:rFonts w:ascii="Arial" w:cs="Arial" w:eastAsia="Arial" w:hAnsi="Arial"/>
                <w:sz w:val="14"/>
                <w:szCs w:val="14"/>
                <w:color w:val="auto"/>
              </w:rPr>
              <w:t>732</w:t>
            </w:r>
          </w:p>
        </w:tc>
        <w:tc>
          <w:tcPr>
            <w:tcW w:w="44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2,295</w:t>
            </w:r>
          </w:p>
        </w:tc>
        <w:tc>
          <w:tcPr>
            <w:tcW w:w="300" w:type="dxa"/>
            <w:vAlign w:val="bottom"/>
          </w:tcPr>
          <w:p>
            <w:pPr>
              <w:spacing w:after="0"/>
              <w:rPr>
                <w:sz w:val="12"/>
                <w:szCs w:val="12"/>
                <w:color w:val="auto"/>
              </w:rPr>
            </w:pPr>
          </w:p>
        </w:tc>
        <w:tc>
          <w:tcPr>
            <w:tcW w:w="50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(378)</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3"/>
          </w:tcPr>
          <w:p>
            <w:pPr>
              <w:spacing w:after="0" w:line="149" w:lineRule="exact"/>
              <w:rPr>
                <w:sz w:val="20"/>
                <w:szCs w:val="20"/>
                <w:color w:val="auto"/>
              </w:rPr>
            </w:pPr>
            <w:r>
              <w:rPr>
                <w:rFonts w:ascii="Arial" w:cs="Arial" w:eastAsia="Arial" w:hAnsi="Arial"/>
                <w:sz w:val="14"/>
                <w:szCs w:val="14"/>
                <w:color w:val="auto"/>
                <w:w w:val="94"/>
              </w:rPr>
              <w:t xml:space="preserve">Proceeds from divestitures of businesses (net of cash divested) and other sales of assets </w:t>
            </w:r>
            <w:r>
              <w:rPr>
                <w:rFonts w:ascii="Arial" w:cs="Arial" w:eastAsia="Arial" w:hAnsi="Arial"/>
                <w:sz w:val="14"/>
                <w:szCs w:val="14"/>
                <w:b w:val="1"/>
                <w:bCs w:val="1"/>
                <w:color w:val="auto"/>
                <w:w w:val="94"/>
              </w:rPr>
              <w:t>(d)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Free cash flow</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331</w:t>
            </w:r>
          </w:p>
        </w:tc>
        <w:tc>
          <w:tcPr>
            <w:tcW w:w="4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3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left="332" w:right="40" w:hanging="332"/>
        <w:spacing w:after="0" w:line="227"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2012, our revenues resulting from subcontracting work for our National Accounts customers has been reclassified from our Commercial Collection line of business to our Other line of business. For the three months ended September 30, 2012 and December 31, 2011, $4.0 million and $25.0 million, respectively, of these subcontract revenues were included in our Commercial Collection line of business.</w:t>
      </w:r>
    </w:p>
    <w:p>
      <w:pPr>
        <w:ind w:left="332" w:hanging="332"/>
        <w:spacing w:after="0" w:line="221"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ind w:left="332" w:hanging="332"/>
        <w:spacing w:after="0" w:line="258" w:lineRule="auto"/>
        <w:tabs>
          <w:tab w:leader="none" w:pos="332"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ind w:left="332" w:right="20" w:hanging="332"/>
        <w:spacing w:after="0" w:line="230" w:lineRule="auto"/>
        <w:tabs>
          <w:tab w:leader="none" w:pos="332"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Proceeds for the year ended December 31, 2011 includes the repayment of a $17.0 million note receivable from a prior year divestiture. This repayment is included as a component of “Net receipts from restricted trust and escrow accounts, and other” in our Condensed Consolidated Statement of Cash Flows.</w:t>
      </w:r>
    </w:p>
    <w:p>
      <w:pPr>
        <w:spacing w:after="0" w:line="122" w:lineRule="exact"/>
        <w:rPr>
          <w:sz w:val="20"/>
          <w:szCs w:val="20"/>
          <w:color w:val="auto"/>
        </w:rPr>
      </w:pPr>
    </w:p>
    <w:p>
      <w:pPr>
        <w:jc w:val="center"/>
        <w:ind w:right="-191"/>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232"/>
          </w:cols>
          <w:pgMar w:left="248" w:top="274" w:right="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Quarters Ended</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9,916</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9,992</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ind w:left="860"/>
              <w:spacing w:after="0"/>
              <w:rPr>
                <w:sz w:val="20"/>
                <w:szCs w:val="20"/>
                <w:color w:val="auto"/>
              </w:rPr>
            </w:pPr>
            <w:r>
              <w:rPr>
                <w:rFonts w:ascii="Arial" w:cs="Arial" w:eastAsia="Arial" w:hAnsi="Arial"/>
                <w:sz w:val="18"/>
                <w:szCs w:val="18"/>
                <w:color w:val="auto"/>
              </w:rPr>
              <w:t>Total capital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16,591</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16,604</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6"/>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460" w:type="dxa"/>
            <w:vAlign w:val="bottom"/>
            <w:gridSpan w:val="5"/>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56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66.9%</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6"/>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48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8"/>
              </w:rPr>
              <w:t>Amortization, Accretion and Other Expenses for Landfills Included in Operating Groups: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86.7</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460" w:type="dxa"/>
            <w:vAlign w:val="bottom"/>
            <w:gridSpan w:val="5"/>
          </w:tcPr>
          <w:p>
            <w:pPr>
              <w:ind w:left="860"/>
              <w:spacing w:after="0"/>
              <w:rPr>
                <w:sz w:val="20"/>
                <w:szCs w:val="20"/>
                <w:color w:val="auto"/>
              </w:rPr>
            </w:pPr>
            <w:r>
              <w:rPr>
                <w:rFonts w:ascii="Arial" w:cs="Arial" w:eastAsia="Arial" w:hAnsi="Arial"/>
                <w:sz w:val="18"/>
                <w:szCs w:val="18"/>
                <w:color w:val="auto"/>
              </w:rPr>
              <w:t>Total landfill amortization expense (b)(c)</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5"/>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109.1</w:t>
            </w:r>
          </w:p>
        </w:tc>
        <w:tc>
          <w:tcPr>
            <w:tcW w:w="36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122.9</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140" w:hanging="452"/>
        <w:spacing w:after="0" w:line="300"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quarter ended December 31, 2012 as compared to the quarter ended September 30, 2012 reflects a decrease in amortization expense of approximately $14.6 million, primarily due to changes in landfill estimates identified in both quarters, as volumes remained consistent quarter-over-quarter.</w:t>
      </w:r>
    </w:p>
    <w:p>
      <w:pPr>
        <w:ind w:left="460" w:right="12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 ended December 31, 2012 as compared to the quarter ended December 31, 2011 reflects an increase in amortization expense of approximately $19.0 million. Approximately $17 million is due to changes in landfill estimates identified in both quarters.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Adjustments to Net income and Diluted EPS:</w:t>
      </w:r>
    </w:p>
    <w:p>
      <w:pPr>
        <w:spacing w:after="0" w:line="21" w:lineRule="exact"/>
        <w:rPr>
          <w:sz w:val="20"/>
          <w:szCs w:val="20"/>
          <w:color w:val="auto"/>
        </w:rPr>
      </w:pPr>
    </w:p>
    <w:p>
      <w:pPr>
        <w:ind w:left="440" w:right="1500"/>
        <w:spacing w:after="0" w:line="255" w:lineRule="auto"/>
        <w:rPr>
          <w:sz w:val="20"/>
          <w:szCs w:val="20"/>
          <w:color w:val="auto"/>
        </w:rPr>
      </w:pPr>
      <w:r>
        <w:rPr>
          <w:rFonts w:ascii="Arial" w:cs="Arial" w:eastAsia="Arial" w:hAnsi="Arial"/>
          <w:sz w:val="18"/>
          <w:szCs w:val="18"/>
          <w:color w:val="auto"/>
        </w:rPr>
        <w:t xml:space="preserve">Asset impairments, legal reserves and landfill operating costs </w:t>
      </w:r>
      <w:r>
        <w:rPr>
          <w:rFonts w:ascii="Arial" w:cs="Arial" w:eastAsia="Arial" w:hAnsi="Arial"/>
          <w:sz w:val="18"/>
          <w:szCs w:val="18"/>
          <w:b w:val="1"/>
          <w:bCs w:val="1"/>
          <w:color w:val="auto"/>
        </w:rPr>
        <w:t>(b)</w:t>
      </w:r>
      <w:r>
        <w:rPr>
          <w:rFonts w:ascii="Arial" w:cs="Arial" w:eastAsia="Arial" w:hAnsi="Arial"/>
          <w:sz w:val="18"/>
          <w:szCs w:val="18"/>
          <w:color w:val="auto"/>
        </w:rPr>
        <w:t xml:space="preserve"> Restructuring charges and Oakleaf related integration activities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w w:val="90"/>
              </w:rPr>
              <w:t>Quarter Ended</w:t>
            </w:r>
          </w:p>
        </w:tc>
        <w:tc>
          <w:tcPr>
            <w:tcW w:w="80" w:type="dxa"/>
            <w:vAlign w:val="bottom"/>
          </w:tcPr>
          <w:p>
            <w:pPr>
              <w:spacing w:after="0"/>
              <w:rPr>
                <w:sz w:val="14"/>
                <w:szCs w:val="14"/>
                <w:color w:val="auto"/>
              </w:rPr>
            </w:pPr>
          </w:p>
        </w:tc>
        <w:tc>
          <w:tcPr>
            <w:tcW w:w="172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85"/>
              </w:rPr>
              <w:t>December 31, 2012</w:t>
            </w:r>
          </w:p>
        </w:tc>
        <w:tc>
          <w:tcPr>
            <w:tcW w:w="80" w:type="dxa"/>
            <w:vAlign w:val="bottom"/>
          </w:tcPr>
          <w:p>
            <w:pPr>
              <w:spacing w:after="0"/>
              <w:rPr>
                <w:sz w:val="14"/>
                <w:szCs w:val="14"/>
                <w:color w:val="auto"/>
              </w:rPr>
            </w:pPr>
          </w:p>
        </w:tc>
        <w:tc>
          <w:tcPr>
            <w:tcW w:w="1720" w:type="dxa"/>
            <w:vAlign w:val="bottom"/>
            <w:gridSpan w:val="3"/>
          </w:tcPr>
          <w:p>
            <w:pPr>
              <w:jc w:val="center"/>
              <w:ind w:right="6"/>
              <w:spacing w:after="0"/>
              <w:rPr>
                <w:sz w:val="20"/>
                <w:szCs w:val="20"/>
                <w:color w:val="auto"/>
              </w:rPr>
            </w:pPr>
            <w:r>
              <w:rPr>
                <w:rFonts w:ascii="Arial" w:cs="Arial" w:eastAsia="Arial" w:hAnsi="Arial"/>
                <w:sz w:val="14"/>
                <w:szCs w:val="14"/>
                <w:b w:val="1"/>
                <w:bCs w:val="1"/>
                <w:color w:val="auto"/>
                <w:w w:val="85"/>
              </w:rPr>
              <w:t>December 31, 2011</w:t>
            </w:r>
          </w:p>
        </w:tc>
      </w:tr>
      <w:tr>
        <w:trPr>
          <w:trHeight w:val="129"/>
        </w:trPr>
        <w:tc>
          <w:tcPr>
            <w:tcW w:w="20" w:type="dxa"/>
            <w:vAlign w:val="bottom"/>
          </w:tcPr>
          <w:p>
            <w:pPr>
              <w:spacing w:after="0"/>
              <w:rPr>
                <w:sz w:val="11"/>
                <w:szCs w:val="11"/>
                <w:color w:val="auto"/>
              </w:rPr>
            </w:pPr>
          </w:p>
        </w:tc>
        <w:tc>
          <w:tcPr>
            <w:tcW w:w="11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After-tax</w:t>
            </w: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Per Share</w:t>
            </w: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After-tax</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Per Share</w:t>
            </w:r>
          </w:p>
        </w:tc>
      </w:tr>
      <w:tr>
        <w:trPr>
          <w:trHeight w:val="161"/>
        </w:trPr>
        <w:tc>
          <w:tcPr>
            <w:tcW w:w="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Amount(a)</w:t>
            </w: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Amount</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Amount (a)</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r>
      <w:tr>
        <w:trPr>
          <w:trHeight w:val="222"/>
        </w:trPr>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520" w:type="dxa"/>
            <w:vAlign w:val="bottom"/>
          </w:tcPr>
          <w:p>
            <w:pPr>
              <w:spacing w:after="0"/>
              <w:rPr>
                <w:sz w:val="19"/>
                <w:szCs w:val="19"/>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0.48</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520" w:type="dxa"/>
            <w:vAlign w:val="bottom"/>
          </w:tcPr>
          <w:p>
            <w:pPr>
              <w:spacing w:after="0"/>
              <w:rPr>
                <w:sz w:val="19"/>
                <w:szCs w:val="19"/>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  0.58</w:t>
            </w:r>
          </w:p>
        </w:tc>
      </w:tr>
      <w:tr>
        <w:trPr>
          <w:trHeight w:val="41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r>
    </w:tbl>
    <w:p>
      <w:pPr>
        <w:spacing w:after="0" w:line="12" w:lineRule="exact"/>
        <w:rPr>
          <w:sz w:val="20"/>
          <w:szCs w:val="20"/>
          <w:color w:val="auto"/>
        </w:rPr>
      </w:pPr>
    </w:p>
    <w:p>
      <w:pPr>
        <w:sectPr>
          <w:pgSz w:w="11900" w:h="16838" w:orient="portrait"/>
          <w:cols w:equalWidth="0" w:num="2">
            <w:col w:w="6500" w:space="720"/>
            <w:col w:w="42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0.09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267</w:t>
            </w: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0.57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289</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4"/>
          </w:tcPr>
          <w:p>
            <w:pPr>
              <w:jc w:val="right"/>
              <w:ind w:right="14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4"/>
          </w:tcPr>
          <w:p>
            <w:pPr>
              <w:jc w:val="center"/>
              <w:ind w:left="15"/>
              <w:spacing w:after="0"/>
              <w:rPr>
                <w:sz w:val="20"/>
                <w:szCs w:val="20"/>
                <w:color w:val="auto"/>
              </w:rPr>
            </w:pPr>
            <w:r>
              <w:rPr>
                <w:rFonts w:ascii="Arial" w:cs="Arial" w:eastAsia="Arial" w:hAnsi="Arial"/>
                <w:sz w:val="14"/>
                <w:szCs w:val="14"/>
                <w:b w:val="1"/>
                <w:bCs w:val="1"/>
                <w:color w:val="auto"/>
                <w:w w:val="88"/>
              </w:rPr>
              <w:t>Year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55"/>
              <w:spacing w:after="0"/>
              <w:rPr>
                <w:sz w:val="20"/>
                <w:szCs w:val="20"/>
                <w:color w:val="auto"/>
              </w:rPr>
            </w:pPr>
            <w:r>
              <w:rPr>
                <w:rFonts w:ascii="Arial" w:cs="Arial" w:eastAsia="Arial" w:hAnsi="Arial"/>
                <w:sz w:val="14"/>
                <w:szCs w:val="14"/>
                <w:b w:val="1"/>
                <w:bCs w:val="1"/>
                <w:color w:val="auto"/>
                <w:w w:val="85"/>
              </w:rPr>
              <w:t>December 31, 2011</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Diluted Earnings Per Share</w:t>
            </w: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3"/>
          </w:tcPr>
          <w:p>
            <w:pPr>
              <w:jc w:val="right"/>
              <w:ind w:right="2"/>
              <w:spacing w:after="0" w:line="129" w:lineRule="exact"/>
              <w:rPr>
                <w:sz w:val="20"/>
                <w:szCs w:val="20"/>
                <w:color w:val="auto"/>
              </w:rPr>
            </w:pPr>
            <w:r>
              <w:rPr>
                <w:rFonts w:ascii="Arial" w:cs="Arial" w:eastAsia="Arial" w:hAnsi="Arial"/>
                <w:sz w:val="14"/>
                <w:szCs w:val="14"/>
                <w:b w:val="1"/>
                <w:bCs w:val="1"/>
                <w:color w:val="auto"/>
              </w:rPr>
              <w:t>After-tax</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5"/>
              </w:rPr>
              <w:t>Per Share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80"/>
              <w:spacing w:after="0" w:line="129" w:lineRule="exact"/>
              <w:rPr>
                <w:sz w:val="20"/>
                <w:szCs w:val="20"/>
                <w:color w:val="auto"/>
              </w:rPr>
            </w:pPr>
            <w:r>
              <w:rPr>
                <w:rFonts w:ascii="Arial" w:cs="Arial" w:eastAsia="Arial" w:hAnsi="Arial"/>
                <w:sz w:val="14"/>
                <w:szCs w:val="14"/>
                <w:b w:val="1"/>
                <w:bCs w:val="1"/>
                <w:color w:val="auto"/>
              </w:rPr>
              <w:t>After-tax</w:t>
            </w:r>
          </w:p>
        </w:tc>
        <w:tc>
          <w:tcPr>
            <w:tcW w:w="4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2"/>
              </w:rPr>
              <w:t>Per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8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(a)</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9"/>
              </w:rPr>
              <w:t>Amount (a)</w:t>
            </w:r>
          </w:p>
        </w:tc>
        <w:tc>
          <w:tcPr>
            <w:tcW w:w="44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reported</w:t>
            </w:r>
          </w:p>
        </w:tc>
        <w:tc>
          <w:tcPr>
            <w:tcW w:w="18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1.76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b w:val="1"/>
                <w:bCs w:val="1"/>
                <w:color w:val="auto"/>
              </w:rPr>
              <w:t>Adjustments to Net income and Diluted EPS:</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(c)</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Oakleaf related integration activities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 xml:space="preserve">Legal reserve and landfill operating costs </w:t>
            </w:r>
            <w:r>
              <w:rPr>
                <w:rFonts w:ascii="Arial" w:cs="Arial" w:eastAsia="Arial" w:hAnsi="Arial"/>
                <w:sz w:val="18"/>
                <w:szCs w:val="18"/>
                <w:b w:val="1"/>
                <w:bCs w:val="1"/>
                <w:color w:val="auto"/>
              </w:rPr>
              <w:t>(d)</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Partial withdrawal from multiemployer pension plan</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Labor dispute</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0.32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46</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and Diluted EPS, as adjusted</w:t>
            </w:r>
          </w:p>
        </w:tc>
        <w:tc>
          <w:tcPr>
            <w:tcW w:w="1900" w:type="dxa"/>
            <w:vAlign w:val="bottom"/>
            <w:gridSpan w:val="3"/>
            <w:shd w:val="clear" w:color="auto" w:fill="CCEEFF"/>
          </w:tcPr>
          <w:p>
            <w:pPr>
              <w:ind w:left="180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966</w:t>
            </w:r>
          </w:p>
        </w:tc>
        <w:tc>
          <w:tcPr>
            <w:tcW w:w="720" w:type="dxa"/>
            <w:vAlign w:val="bottom"/>
            <w:gridSpan w:val="3"/>
            <w:shd w:val="clear" w:color="auto" w:fill="CCEEFF"/>
          </w:tcPr>
          <w:p>
            <w:pPr>
              <w:jc w:val="right"/>
              <w:ind w:right="129"/>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2.08</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1,007</w:t>
            </w: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54"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Please see the “Adjusted tax expense reconciliation” for the tax expense associated with each of the after-tax adjustments to net income and diluted EPS in the fourth quarter and full year of 2012 and 2011.</w:t>
      </w:r>
    </w:p>
    <w:p>
      <w:pPr>
        <w:ind w:left="460" w:hanging="452"/>
        <w:spacing w:after="0" w:line="281"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Adjustments in the fourth quarter of 2012 include impairment charges associated with certain of our investments in unconsolidated entities that are included in the “Other, net” financial caption, as well as impairment charges associated with assets in the “Asset Impairments and Unusual Items” financial caption. Adjustments in the fourth quarter of 2012 consist of $21 million of asset impairment charges and $6 million in legal reserves and landfill operating costs. Adjustments in the fourth quarter of 2011 consist of asset impairment charges of $3 million.</w:t>
      </w:r>
    </w:p>
    <w:p>
      <w:pPr>
        <w:spacing w:after="0" w:line="2" w:lineRule="exact"/>
        <w:rPr>
          <w:rFonts w:ascii="Arial" w:cs="Arial" w:eastAsia="Arial" w:hAnsi="Arial"/>
          <w:sz w:val="16"/>
          <w:szCs w:val="16"/>
          <w:b w:val="1"/>
          <w:bCs w:val="1"/>
          <w:color w:val="auto"/>
        </w:rPr>
      </w:pPr>
    </w:p>
    <w:p>
      <w:pPr>
        <w:ind w:left="460" w:right="100" w:hanging="452"/>
        <w:spacing w:after="0" w:line="250"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Adjustments in 2012 consist of impairment charges associated with certain of our investments in unconsolidated entities that are included in the “Equity in Earnings/Losses of Unconsolidated Entities” and “Other, net” financial captions, as well as impairment charges associated with assets in the “Asset Impairments and Unusual Items” financial caption.</w:t>
      </w:r>
    </w:p>
    <w:p>
      <w:pPr>
        <w:spacing w:after="0" w:line="1" w:lineRule="exact"/>
        <w:rPr>
          <w:rFonts w:ascii="Arial" w:cs="Arial" w:eastAsia="Arial" w:hAnsi="Arial"/>
          <w:sz w:val="18"/>
          <w:szCs w:val="18"/>
          <w:b w:val="1"/>
          <w:bCs w:val="1"/>
          <w:color w:val="auto"/>
        </w:rPr>
      </w:pPr>
    </w:p>
    <w:p>
      <w:pPr>
        <w:ind w:left="460" w:right="60" w:hanging="452"/>
        <w:spacing w:after="0" w:line="302"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Adjustments in 2012 consist of an aggregate after-tax charge of $6 million related to legal reserves and changes in risk-free interest rates. Adjustments in 2011 consist of a net after-tax charge resulting from an $11 million charge due to changes in risk-free interest rates partially offset by an after-tax benefit of $6 million due to decreases in environmental remediation reserves and closure and post-closure costs.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4" w:right="239" w:bottom="1440" w:gutter="0" w:footer="0" w:header="0"/>
          <w:type w:val="continuous"/>
        </w:sectPr>
      </w:pPr>
    </w:p>
    <w:bookmarkStart w:id="19" w:name="page20"/>
    <w:bookmarkEnd w:id="19"/>
    <w:p>
      <w:pPr>
        <w:jc w:val="center"/>
        <w:ind w:right="-3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ind w:right="-35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72"/>
          </w:cols>
          <w:pgMar w:left="248" w:top="274" w:right="579" w:bottom="1440" w:gutter="0" w:footer="0" w:header="0"/>
        </w:sectPr>
      </w:pPr>
    </w:p>
    <w:p>
      <w:pPr>
        <w:spacing w:after="0" w:line="354" w:lineRule="exact"/>
        <w:rPr>
          <w:sz w:val="20"/>
          <w:szCs w:val="20"/>
          <w:color w:val="auto"/>
        </w:rPr>
      </w:pPr>
    </w:p>
    <w:p>
      <w:pPr>
        <w:ind w:left="1372"/>
        <w:spacing w:after="0"/>
        <w:rPr>
          <w:sz w:val="20"/>
          <w:szCs w:val="20"/>
          <w:color w:val="auto"/>
        </w:rPr>
      </w:pPr>
      <w:r>
        <w:rPr>
          <w:rFonts w:ascii="Arial" w:cs="Arial" w:eastAsia="Arial" w:hAnsi="Arial"/>
          <w:sz w:val="18"/>
          <w:szCs w:val="18"/>
          <w:b w:val="1"/>
          <w:bCs w:val="1"/>
          <w:i w:val="1"/>
          <w:iCs w:val="1"/>
          <w:color w:val="auto"/>
        </w:rPr>
        <w:t>Adjusted Operating Expenses</w:t>
      </w:r>
    </w:p>
    <w:p>
      <w:pPr>
        <w:spacing w:after="0" w:line="15"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Operating Expenses,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-129540</wp:posOffset>
            </wp:positionV>
            <wp:extent cx="550545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8"/>
          <w:szCs w:val="18"/>
          <w:b w:val="1"/>
          <w:bCs w:val="1"/>
          <w:color w:val="auto"/>
        </w:rPr>
        <w:t>Adjustments to Operating Expenses</w:t>
      </w:r>
    </w:p>
    <w:p>
      <w:pPr>
        <w:spacing w:after="0" w:line="21" w:lineRule="exact"/>
        <w:rPr>
          <w:sz w:val="20"/>
          <w:szCs w:val="20"/>
          <w:color w:val="auto"/>
        </w:rPr>
      </w:pPr>
    </w:p>
    <w:p>
      <w:pPr>
        <w:ind w:left="1812"/>
        <w:spacing w:after="0"/>
        <w:rPr>
          <w:sz w:val="20"/>
          <w:szCs w:val="20"/>
          <w:color w:val="auto"/>
        </w:rPr>
      </w:pPr>
      <w:r>
        <w:rPr>
          <w:rFonts w:ascii="Arial" w:cs="Arial" w:eastAsia="Arial" w:hAnsi="Arial"/>
          <w:sz w:val="15"/>
          <w:szCs w:val="15"/>
          <w:color w:val="auto"/>
        </w:rPr>
        <w:t>Legal reserves and landfill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-107315</wp:posOffset>
            </wp:positionV>
            <wp:extent cx="55054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4" w:lineRule="exact"/>
        <w:rPr>
          <w:sz w:val="20"/>
          <w:szCs w:val="20"/>
          <w:color w:val="auto"/>
        </w:rPr>
      </w:pPr>
    </w:p>
    <w:p>
      <w:pPr>
        <w:ind w:left="1812"/>
        <w:spacing w:after="0"/>
        <w:rPr>
          <w:sz w:val="20"/>
          <w:szCs w:val="20"/>
          <w:color w:val="auto"/>
        </w:rPr>
      </w:pPr>
      <w:r>
        <w:rPr>
          <w:rFonts w:ascii="Arial" w:cs="Arial" w:eastAsia="Arial" w:hAnsi="Arial"/>
          <w:sz w:val="18"/>
          <w:szCs w:val="18"/>
          <w:color w:val="auto"/>
        </w:rPr>
        <w:t>Oakleaf related integration activities</w:t>
      </w:r>
    </w:p>
    <w:p>
      <w:pPr>
        <w:spacing w:after="0" w:line="24"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Adjusted Operating Expenses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-121920</wp:posOffset>
            </wp:positionV>
            <wp:extent cx="55054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Quarters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4319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5" w:lineRule="exact"/>
        <w:rPr>
          <w:sz w:val="20"/>
          <w:szCs w:val="20"/>
          <w:color w:val="auto"/>
        </w:rPr>
      </w:pPr>
    </w:p>
    <w:p>
      <w:pPr>
        <w:ind w:left="240"/>
        <w:spacing w:after="0"/>
        <w:tabs>
          <w:tab w:leader="none" w:pos="16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2011(e)</w:t>
      </w:r>
    </w:p>
    <w:p>
      <w:pPr>
        <w:spacing w:after="0" w:line="13" w:lineRule="exact"/>
        <w:rPr>
          <w:sz w:val="20"/>
          <w:szCs w:val="20"/>
          <w:color w:val="auto"/>
        </w:rPr>
      </w:pPr>
    </w:p>
    <w:p>
      <w:pPr>
        <w:spacing w:after="0"/>
        <w:tabs>
          <w:tab w:leader="none" w:pos="340" w:val="left"/>
          <w:tab w:leader="none" w:pos="1400" w:val="left"/>
          <w:tab w:leader="none" w:pos="1840" w:val="left"/>
        </w:tabs>
        <w:rPr>
          <w:sz w:val="20"/>
          <w:szCs w:val="20"/>
          <w:color w:val="auto"/>
        </w:rPr>
      </w:pPr>
      <w:r>
        <w:rPr>
          <w:rFonts w:ascii="Arial" w:cs="Arial" w:eastAsia="Arial" w:hAnsi="Arial"/>
          <w:sz w:val="18"/>
          <w:szCs w:val="18"/>
          <w:b w:val="1"/>
          <w:bCs w:val="1"/>
          <w:color w:val="auto"/>
        </w:rPr>
        <w:t>$</w:t>
        <w:tab/>
        <w:t>2,224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2,145</w:t>
      </w:r>
    </w:p>
    <w:p>
      <w:pPr>
        <w:spacing w:after="0" w:line="217" w:lineRule="exact"/>
        <w:rPr>
          <w:sz w:val="20"/>
          <w:szCs w:val="20"/>
          <w:color w:val="auto"/>
        </w:rPr>
      </w:pPr>
    </w:p>
    <w:p>
      <w:pPr>
        <w:ind w:left="2000" w:hanging="1485"/>
        <w:spacing w:after="0"/>
        <w:tabs>
          <w:tab w:leader="none" w:pos="2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4718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6985</wp:posOffset>
            </wp:positionV>
            <wp:extent cx="5314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4" w:lineRule="exact"/>
        <w:rPr>
          <w:sz w:val="20"/>
          <w:szCs w:val="20"/>
          <w:color w:val="auto"/>
        </w:rPr>
      </w:pPr>
    </w:p>
    <w:p>
      <w:pPr>
        <w:spacing w:after="0"/>
        <w:tabs>
          <w:tab w:leader="none" w:pos="340" w:val="left"/>
          <w:tab w:leader="none" w:pos="1400" w:val="left"/>
          <w:tab w:leader="none" w:pos="184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2,214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2,143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31750</wp:posOffset>
            </wp:positionV>
            <wp:extent cx="471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14605</wp:posOffset>
            </wp:positionV>
            <wp:extent cx="5314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31750</wp:posOffset>
            </wp:positionV>
            <wp:extent cx="531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52" w:space="720"/>
            <w:col w:w="3400"/>
          </w:cols>
          <w:pgMar w:left="248" w:top="274" w:right="579" w:bottom="1440" w:gutter="0" w:footer="0" w:header="0"/>
          <w:type w:val="continuous"/>
        </w:sectPr>
      </w:pPr>
    </w:p>
    <w:p>
      <w:pPr>
        <w:spacing w:after="0" w:line="81"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Operating Expenses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4"/>
                <w:szCs w:val="14"/>
                <w:b w:val="1"/>
                <w:bCs w:val="1"/>
                <w:color w:val="auto"/>
                <w:w w:val="95"/>
              </w:rPr>
              <w:t>Years Ended 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2011(e)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 as reported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Adjustments to 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Partial withdrawal from multiemployer pension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 xml:space="preserve">Legal reserves and landfill operating costs </w:t>
            </w:r>
            <w:r>
              <w:rPr>
                <w:rFonts w:ascii="Arial" w:cs="Arial" w:eastAsia="Arial" w:hAnsi="Arial"/>
                <w:sz w:val="18"/>
                <w:szCs w:val="18"/>
                <w:b w:val="1"/>
                <w:bCs w:val="1"/>
                <w:color w:val="auto"/>
              </w:rPr>
              <w:t>(g)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dispute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Arial" w:cs="Arial" w:eastAsia="Arial" w:hAnsi="Arial"/>
                <w:sz w:val="18"/>
                <w:szCs w:val="18"/>
                <w:color w:val="auto"/>
              </w:rPr>
              <w:t>Oakleaf related integration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(h)</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8,853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Full Year 2013 Free Cash Flow Reconciliation (i)</w:t>
            </w: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Scenario 1</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Scenario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5"/>
              </w:rPr>
              <w:t>Proceeds from divestitures of businesses (net of cash divested) and other sales of</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52" w:right="80" w:hanging="452"/>
        <w:spacing w:after="0" w:line="253"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financial results for the fourth quarter and full year 2011 were adjusted to exclude the impact of our then recently acquired Oakleaf operations. However, for purposes of this year-over-year comparison, we have included the impact of the Oakleaf operations in the results of both 2012 and 2011, except for certain integration costs.</w:t>
      </w: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operating expenses for fourth quarter 2012 increased $71 million as compared with fourth quarter 2011.</w:t>
      </w:r>
    </w:p>
    <w:p>
      <w:pPr>
        <w:spacing w:after="0" w:line="9" w:lineRule="exact"/>
        <w:rPr>
          <w:rFonts w:ascii="Arial" w:cs="Arial" w:eastAsia="Arial" w:hAnsi="Arial"/>
          <w:sz w:val="18"/>
          <w:szCs w:val="18"/>
          <w:b w:val="1"/>
          <w:bCs w:val="1"/>
          <w:color w:val="auto"/>
        </w:rPr>
      </w:pPr>
    </w:p>
    <w:p>
      <w:pPr>
        <w:ind w:left="452" w:right="320" w:hanging="452"/>
        <w:spacing w:after="0" w:line="250"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Adjustments in 2012 were primarily comprised of $7 million in legal reserves and landfill operating costs of $3 million. Adjustments in 2011 were primarily comprised of a $17 million charge due to changes in risk-free interest rates partially offset by a $9 million benefit from decreases in environmental remediation reserves and closure and post-closure costs.</w:t>
      </w:r>
    </w:p>
    <w:p>
      <w:pPr>
        <w:spacing w:after="0" w:line="1" w:lineRule="exact"/>
        <w:rPr>
          <w:rFonts w:ascii="Arial" w:cs="Arial" w:eastAsia="Arial" w:hAnsi="Arial"/>
          <w:sz w:val="18"/>
          <w:szCs w:val="18"/>
          <w:b w:val="1"/>
          <w:bCs w:val="1"/>
          <w:color w:val="auto"/>
        </w:rPr>
      </w:pPr>
    </w:p>
    <w:p>
      <w:pPr>
        <w:ind w:left="452" w:hanging="452"/>
        <w:spacing w:after="0"/>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Adjusted operating expenses for full year 2012 increased $326 million as compared with full year 2011.</w:t>
      </w:r>
    </w:p>
    <w:p>
      <w:pPr>
        <w:spacing w:after="0" w:line="9" w:lineRule="exact"/>
        <w:rPr>
          <w:rFonts w:ascii="Arial" w:cs="Arial" w:eastAsia="Arial" w:hAnsi="Arial"/>
          <w:sz w:val="18"/>
          <w:szCs w:val="18"/>
          <w:b w:val="1"/>
          <w:bCs w:val="1"/>
          <w:color w:val="auto"/>
        </w:rPr>
      </w:pPr>
    </w:p>
    <w:p>
      <w:pPr>
        <w:ind w:left="452" w:hanging="452"/>
        <w:spacing w:after="0" w:line="261"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2013. The amounts used in the reconciliation are subject to many variables, some of which are not under our control and, therefore, are not necessarily indicative of actual results.</w:t>
      </w:r>
    </w:p>
    <w:p>
      <w:pPr>
        <w:spacing w:after="0" w:line="118"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color w:val="auto"/>
        </w:rPr>
        <w:t>(10)</w:t>
      </w:r>
    </w:p>
    <w:p>
      <w:pPr>
        <w:sectPr>
          <w:pgSz w:w="11900" w:h="16838" w:orient="portrait"/>
          <w:cols w:equalWidth="0" w:num="1">
            <w:col w:w="11072"/>
          </w:cols>
          <w:pgMar w:left="248" w:top="274" w:right="57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8"/>
          </w:tcPr>
          <w:p>
            <w:pPr>
              <w:ind w:left="24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ind w:left="26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8"/>
          </w:tcPr>
          <w:p>
            <w:pPr>
              <w:ind w:left="14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ind w:left="16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4"/>
              </w:rPr>
              <w:t>Pre-tax</w:t>
            </w: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0"/>
              </w:rPr>
              <w:t>Tax</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Pre-tax</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2"/>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Income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Expense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9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$ 349</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8"/>
              </w:rPr>
              <w:t>$ 412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Asset impairments, legal reserves and landfill operating costs</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w w:val="90"/>
              </w:rPr>
              <w:t>Restructuring charges and Oakleaf related integration activities</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960" w:type="dxa"/>
            <w:vAlign w:val="bottom"/>
            <w:gridSpan w:val="5"/>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$ 415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88"/>
              </w:rPr>
              <w:t>$ 447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5"/>
          </w:tcPr>
          <w:p>
            <w:pPr>
              <w:ind w:left="2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December 31, 2012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60" w:type="dxa"/>
            <w:vAlign w:val="bottom"/>
            <w:tcBorders>
              <w:top w:val="single" w:sz="8" w:color="auto"/>
            </w:tcBorders>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6"/>
              </w:rPr>
              <w:t>Pre-tax</w:t>
            </w: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Tax</w:t>
            </w:r>
          </w:p>
        </w:tc>
        <w:tc>
          <w:tcPr>
            <w:tcW w:w="3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Pre-tax</w:t>
            </w: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82"/>
              </w:rPr>
              <w:t>Tax</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Adjusted tax expense reconciliation</w:t>
            </w:r>
          </w:p>
        </w:tc>
        <w:tc>
          <w:tcPr>
            <w:tcW w:w="192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Income</w:t>
            </w:r>
          </w:p>
        </w:tc>
        <w:tc>
          <w:tcPr>
            <w:tcW w:w="36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4"/>
                <w:szCs w:val="14"/>
                <w:color w:val="auto"/>
              </w:rPr>
            </w:pPr>
          </w:p>
        </w:tc>
        <w:tc>
          <w:tcPr>
            <w:tcW w:w="780" w:type="dxa"/>
            <w:vAlign w:val="bottom"/>
            <w:gridSpan w:val="4"/>
          </w:tcPr>
          <w:p>
            <w:pPr>
              <w:ind w:left="6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7"/>
              </w:rPr>
              <w:t>Expense</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reported amounts</w:t>
            </w:r>
          </w:p>
        </w:tc>
        <w:tc>
          <w:tcPr>
            <w:tcW w:w="19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$ 1,303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443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$ 1,520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Adjustments to Tax Expense: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impairments</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Restructuring</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Oakleaf related integration activities</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Legal reserve and landfill operating costs</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Partial withdrawal from multiemployer pension plan</w:t>
            </w:r>
          </w:p>
        </w:tc>
        <w:tc>
          <w:tcPr>
            <w:tcW w:w="25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Labor dispute</w:t>
            </w:r>
          </w:p>
        </w:tc>
        <w:tc>
          <w:tcPr>
            <w:tcW w:w="2580" w:type="dxa"/>
            <w:vAlign w:val="bottom"/>
            <w:gridSpan w:val="4"/>
          </w:tcPr>
          <w:p>
            <w:pPr>
              <w:jc w:val="right"/>
              <w:ind w:right="12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w:t>
            </w: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9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$ 1,523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514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$ 1,590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920" w:type="dxa"/>
            <w:vAlign w:val="bottom"/>
            <w:vMerge w:val="restart"/>
          </w:tcPr>
          <w:p>
            <w:pPr>
              <w:jc w:val="right"/>
              <w:ind w:right="1432"/>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500"/>
      </w:cols>
      <w:pgMar w:left="700" w:top="274"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2019-12-06T01:14:55Z</dcterms:created>
  <dcterms:modified xsi:type="dcterms:W3CDTF">2019-12-06T01:14:55Z</dcterms:modified>
</cp:coreProperties>
</file>