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23,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9"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7"/>
          <w:szCs w:val="17"/>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sectPr>
          <w:pgSz w:w="11900" w:h="16838" w:orient="portrait"/>
          <w:cols w:equalWidth="0" w:num="2">
            <w:col w:w="7700" w:space="720"/>
            <w:col w:w="2880"/>
          </w:cols>
          <w:pgMar w:left="240" w:top="362" w:right="3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980"/>
          </w:cols>
          <w:pgMar w:left="240" w:top="362"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512-6200</w:t>
      </w:r>
    </w:p>
    <w:p>
      <w:pPr>
        <w:spacing w:after="0" w:line="200" w:lineRule="exact"/>
        <w:rPr>
          <w:sz w:val="24"/>
          <w:szCs w:val="24"/>
          <w:color w:val="auto"/>
        </w:rPr>
      </w:pPr>
    </w:p>
    <w:p>
      <w:pPr>
        <w:spacing w:after="0" w:line="2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Waste Management, Inc. (the “Company”) issued a press release this morning announcing its financial results for the second quarter of 2015,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64809894. To access a replay telephonically, please dial (855) 859-2056 and use the replay conference ID number 64809894.</w:t>
      </w:r>
    </w:p>
    <w:p>
      <w:pPr>
        <w:spacing w:after="0" w:line="184" w:lineRule="exact"/>
        <w:rPr>
          <w:sz w:val="20"/>
          <w:szCs w:val="20"/>
          <w:color w:val="auto"/>
        </w:rPr>
      </w:pPr>
    </w:p>
    <w:p>
      <w:pPr>
        <w:ind w:right="100" w:firstLine="456"/>
        <w:spacing w:after="0" w:line="266" w:lineRule="auto"/>
        <w:rPr>
          <w:sz w:val="20"/>
          <w:szCs w:val="20"/>
          <w:color w:val="auto"/>
        </w:rPr>
      </w:pPr>
      <w:r>
        <w:rPr>
          <w:rFonts w:ascii="Times New Roman" w:cs="Times New Roman" w:eastAsia="Times New Roman" w:hAnsi="Times New Roman"/>
          <w:sz w:val="18"/>
          <w:szCs w:val="18"/>
          <w:color w:val="auto"/>
        </w:rPr>
        <w:t>On the call, management of the Company is expected to discuss certain non-GAAP financial measures. The Company has provided information regarding its use of such non-GAAP measures and reconciliations of such measures to their most comparable GAAP measures in footnote (b) and the tables to the press release issued this morning.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9"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color w:val="auto"/>
        </w:rPr>
        <w:t>Press Release dated July 23, 2015</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60"/>
          </w:cols>
          <w:pgMar w:left="240" w:top="266" w:right="29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3"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July 23, 2015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18415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8"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Barry H. Caldwell</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Senior Vice President, Corporate Affairs</w:t>
      </w:r>
    </w:p>
    <w:p>
      <w:pPr>
        <w:spacing w:after="0" w:line="9"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40"/>
          </w:cols>
          <w:pgMar w:left="240" w:top="266" w:right="319" w:bottom="1440" w:gutter="0" w:footer="0" w:header="0"/>
        </w:sectPr>
      </w:pPr>
    </w:p>
    <w:bookmarkStart w:id="3" w:name="page4"/>
    <w:bookmarkEnd w:id="3"/>
    <w:p>
      <w:pPr>
        <w:jc w:val="right"/>
        <w:ind w:right="39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185" w:lineRule="auto"/>
        <w:tabs>
          <w:tab w:leader="none" w:pos="1060" w:val="left"/>
        </w:tabs>
        <w:rPr>
          <w:sz w:val="20"/>
          <w:szCs w:val="20"/>
          <w:color w:val="auto"/>
        </w:rPr>
      </w:pPr>
      <w:r>
        <w:rPr>
          <w:rFonts w:ascii="Times New Roman" w:cs="Times New Roman" w:eastAsia="Times New Roman" w:hAnsi="Times New Roman"/>
          <w:sz w:val="22"/>
          <w:szCs w:val="22"/>
          <w:b w:val="1"/>
          <w:bCs w:val="1"/>
          <w:u w:val="single" w:color="auto"/>
          <w:color w:val="auto"/>
          <w:vertAlign w:val="superscript"/>
        </w:rPr>
        <w:t>Number</w:t>
      </w:r>
      <w:r>
        <w:rPr>
          <w:sz w:val="20"/>
          <w:szCs w:val="20"/>
          <w:color w:val="auto"/>
        </w:rPr>
        <w:tab/>
      </w:r>
      <w:r>
        <w:rPr>
          <w:rFonts w:ascii="Times New Roman" w:cs="Times New Roman" w:eastAsia="Times New Roman" w:hAnsi="Times New Roman"/>
          <w:sz w:val="12"/>
          <w:szCs w:val="12"/>
          <w:b w:val="1"/>
          <w:bCs w:val="1"/>
          <w:u w:val="single" w:color="auto"/>
          <w:color w:val="auto"/>
        </w:rPr>
        <w:t>Description</w:t>
      </w:r>
    </w:p>
    <w:p>
      <w:pPr>
        <w:spacing w:after="0" w:line="11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July 23, 2015</w:t>
      </w:r>
    </w:p>
    <w:p>
      <w:pPr>
        <w:spacing w:after="0" w:line="13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266"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ectPr>
          <w:pgSz w:w="11900" w:h="16838" w:orient="portrait"/>
          <w:cols w:equalWidth="0" w:num="1">
            <w:col w:w="11420"/>
          </w:cols>
          <w:pgMar w:left="240" w:top="117" w:right="239" w:bottom="1440" w:gutter="0" w:footer="0" w:header="0"/>
        </w:sectPr>
      </w:pPr>
    </w:p>
    <w:p>
      <w:pPr>
        <w:spacing w:after="0" w:line="229" w:lineRule="exact"/>
        <w:rPr>
          <w:sz w:val="20"/>
          <w:szCs w:val="20"/>
          <w:color w:val="auto"/>
        </w:rPr>
      </w:pPr>
    </w:p>
    <w:p>
      <w:pPr>
        <w:jc w:val="center"/>
        <w:ind w:left="20" w:right="260"/>
        <w:spacing w:after="0" w:line="262" w:lineRule="auto"/>
        <w:rPr>
          <w:sz w:val="20"/>
          <w:szCs w:val="20"/>
          <w:color w:val="auto"/>
        </w:rPr>
      </w:pPr>
      <w:r>
        <w:rPr>
          <w:rFonts w:ascii="Times New Roman" w:cs="Times New Roman" w:eastAsia="Times New Roman" w:hAnsi="Times New Roman"/>
          <w:sz w:val="40"/>
          <w:szCs w:val="40"/>
          <w:color w:val="auto"/>
        </w:rPr>
        <w:t>Waste Management Announces Second Quarter Earnings</w:t>
      </w:r>
    </w:p>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Company Sees Double Digit Growth in Earnings and Net Cash Provided by Operating Activities</w:t>
      </w:r>
    </w:p>
    <w:p>
      <w:pPr>
        <w:spacing w:after="0" w:line="25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HOUSTON – July 23, 2015 </w:t>
      </w:r>
      <w:r>
        <w:rPr>
          <w:rFonts w:ascii="Times New Roman" w:cs="Times New Roman" w:eastAsia="Times New Roman" w:hAnsi="Times New Roman"/>
          <w:sz w:val="18"/>
          <w:szCs w:val="18"/>
          <w:color w:val="auto"/>
        </w:rPr>
        <w:t>– Waste Management, Inc. (NYSE: WM) today announced financial results for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ended June 30, 2015. Revenues for the second quarter of 2015 were $3.32 billion compared with $3.56 billion for the same 2014 period. Net income for the quarter was $274 million, or $0.60 per diluted share, compared with net income of $210 million, or $0.45 per diluted share, for the second quarter of 2014. On an as-adjusted basis, excluding certain items, net income was $306 million, or $0.67 per diluted share, in the second quarter of 2015, compared with $270 million, or $0.58 per diluted share, in the second quarter of 2014.</w:t>
      </w:r>
      <w:r>
        <w:rPr>
          <w:rFonts w:ascii="Times New Roman" w:cs="Times New Roman" w:eastAsia="Times New Roman" w:hAnsi="Times New Roman"/>
          <w:sz w:val="15"/>
          <w:szCs w:val="15"/>
          <w:color w:val="auto"/>
        </w:rPr>
        <w:t>(b)</w:t>
      </w:r>
    </w:p>
    <w:p>
      <w:pPr>
        <w:spacing w:after="0" w:line="21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as-adjusted second quarter 2015 results exclude a $0.07 per diluted share charge to operating expenses associated with resolving the Company’s withdrawal liability from certain underfunded multiemployer pension plans. The Company’s second quarter 2014 results have been adjusted to exclude a negative impact of $0.15 per diluted share, primarily related to the divestiture of operations in Puerto Rico, and the earnings from businesses and assets divested in 2014, which contributed $0.02 per diluted share to earnings in the second quarter of 2014.</w:t>
      </w:r>
      <w:r>
        <w:rPr>
          <w:rFonts w:ascii="Times New Roman" w:cs="Times New Roman" w:eastAsia="Times New Roman" w:hAnsi="Times New Roman"/>
          <w:sz w:val="15"/>
          <w:szCs w:val="15"/>
          <w:color w:val="auto"/>
        </w:rPr>
        <w:t>(b)</w:t>
      </w:r>
    </w:p>
    <w:p>
      <w:pPr>
        <w:spacing w:after="0" w:line="21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David P. Steiner, President and Chief Executive Officer of Waste Management, commented, “Our strong second quarter results reflect our continued commitment to disciplined core price growth and cost controls. After adjusting for the items noted above, each of our net income, operating income and margin, operating EBITDA and margin, and earnings per diluted share improved when compared to the second quarter of 2014, despite year-over-year headwinds of $0.03 per diluted share from lower recycling commodity prices and the unfavorable impact of foreign currency fluctuations.</w:t>
      </w:r>
      <w:r>
        <w:rPr>
          <w:rFonts w:ascii="Times New Roman" w:cs="Times New Roman" w:eastAsia="Times New Roman" w:hAnsi="Times New Roman"/>
          <w:sz w:val="15"/>
          <w:szCs w:val="15"/>
          <w:color w:val="auto"/>
        </w:rPr>
        <w:t>(b)</w:t>
      </w:r>
    </w:p>
    <w:p>
      <w:pPr>
        <w:spacing w:after="0" w:line="21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second quarter, we also saw improvement in our volumes year-over-year and sequentially. In addition, commercial and industrial new business revenue exceeded lost business revenue for the first time in three years. We are encouraged by the volume performance as we maintain our focus on more profitable volumes, and we expect them to strengthen through the rest of 2015 and into 2016.</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“Our net cash provided by operating activities and free cash flow were very strong at $816 million and $579 million, respectively. Combined with the proceeds from our 2014 divestitures, we are in a strong cash position to improve our business and return cash to our shareholders.”</w:t>
      </w:r>
    </w:p>
    <w:p>
      <w:pPr>
        <w:spacing w:after="0" w:line="20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Steiner added, “To update our plans to deploy our excess cash, we continue to seek accretive acquisitions in our solid waste business, and we expect to reach agreements in the second half of this year to acquire an additional $50 to $75 million of operating EBITDA. We expect to close those acquisitions in 2016. In the second quarter, we repurchased $300 million of our outstanding shares and we returned $175 million to our shareholders in the form of cash dividends. We currently anticipate that we will repurchase an additional $300 million of our outstanding shares in the third quarter of 2015. In the fourth quarter, and going forward, we will continue to balance our acquisitions, share repurchases, and our dividend to provide the maximum benefit for our shareholders while maintaining a strong balance sheet.”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720"/>
        <w:spacing w:after="0" w:line="353" w:lineRule="auto"/>
        <w:rPr>
          <w:sz w:val="20"/>
          <w:szCs w:val="20"/>
          <w:color w:val="auto"/>
        </w:rPr>
      </w:pPr>
      <w:r>
        <w:rPr>
          <w:rFonts w:ascii="Times New Roman" w:cs="Times New Roman" w:eastAsia="Times New Roman" w:hAnsi="Times New Roman"/>
          <w:sz w:val="18"/>
          <w:szCs w:val="18"/>
          <w:b w:val="1"/>
          <w:bCs w:val="1"/>
          <w:color w:val="auto"/>
        </w:rPr>
        <w:t>FOR MORE INFORMATION Waste Management Web site</w:t>
      </w:r>
    </w:p>
    <w:p>
      <w:pPr>
        <w:spacing w:after="0"/>
        <w:rPr>
          <w:sz w:val="20"/>
          <w:szCs w:val="20"/>
          <w:color w:val="auto"/>
        </w:rPr>
      </w:pPr>
      <w:r>
        <w:rPr>
          <w:rFonts w:ascii="Times New Roman" w:cs="Times New Roman" w:eastAsia="Times New Roman" w:hAnsi="Times New Roman"/>
          <w:sz w:val="18"/>
          <w:szCs w:val="18"/>
          <w:u w:val="single" w:color="auto"/>
          <w:color w:val="auto"/>
        </w:rPr>
        <w:t>www.wm.com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Egl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713.265.1656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eegl@wm.com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Toni Beck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713.394.5093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tbeck3@wm.com</w:t>
      </w:r>
    </w:p>
    <w:p>
      <w:pPr>
        <w:sectPr>
          <w:pgSz w:w="11900" w:h="16838" w:orient="portrait"/>
          <w:cols w:equalWidth="0" w:num="2">
            <w:col w:w="8100" w:space="240"/>
            <w:col w:w="3080"/>
          </w:cols>
          <w:pgMar w:left="240" w:top="117" w:right="2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KEY HIGHLIGHTS FOR THE SECOND QUARTER 2015</w:t>
      </w:r>
    </w:p>
    <w:p>
      <w:pPr>
        <w:spacing w:after="0" w:line="135" w:lineRule="exact"/>
        <w:rPr>
          <w:sz w:val="20"/>
          <w:szCs w:val="20"/>
          <w:color w:val="auto"/>
        </w:rPr>
      </w:pPr>
    </w:p>
    <w:p>
      <w:pPr>
        <w:ind w:left="720" w:right="2319" w:hanging="262"/>
        <w:spacing w:after="0" w:line="258" w:lineRule="auto"/>
        <w:tabs>
          <w:tab w:leader="none" w:pos="6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revenue declined by 6.9%, or $246 million, compared to the second quarter of 2014. The Company saw a $54 million increase in revenues from acquisitions and a $33 million increase in its traditional solid waste business. The overall revenue decline stemmed from a $193 million decline from divestitures, a $59 million decline from lower recycling revenues, $45 million in lower fuel surcharge revenues and $27 million in foreign currency fluctuations.</w:t>
      </w:r>
    </w:p>
    <w:p>
      <w:pPr>
        <w:spacing w:after="0" w:line="89" w:lineRule="exact"/>
        <w:rPr>
          <w:rFonts w:ascii="Times New Roman" w:cs="Times New Roman" w:eastAsia="Times New Roman" w:hAnsi="Times New Roman"/>
          <w:sz w:val="18"/>
          <w:szCs w:val="18"/>
          <w:color w:val="auto"/>
        </w:rPr>
      </w:pPr>
    </w:p>
    <w:p>
      <w:pPr>
        <w:ind w:left="720" w:right="2159" w:hanging="262"/>
        <w:spacing w:after="0" w:line="266" w:lineRule="auto"/>
        <w:tabs>
          <w:tab w:leader="none" w:pos="6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Core price, which consists of price increases and fees, other than the Company’s fuel surcharge, net of rollbacks, was 4.1%, up from 4.0% in the second quarter of 2014. </w:t>
      </w:r>
      <w:r>
        <w:rPr>
          <w:rFonts w:ascii="Times New Roman" w:cs="Times New Roman" w:eastAsia="Times New Roman" w:hAnsi="Times New Roman"/>
          <w:sz w:val="15"/>
          <w:szCs w:val="15"/>
          <w:color w:val="auto"/>
        </w:rPr>
        <w:t>(c)</w:t>
      </w:r>
      <w:r>
        <w:rPr>
          <w:rFonts w:ascii="Times New Roman" w:cs="Times New Roman" w:eastAsia="Times New Roman" w:hAnsi="Times New Roman"/>
          <w:sz w:val="18"/>
          <w:szCs w:val="18"/>
          <w:color w:val="auto"/>
        </w:rPr>
        <w:t xml:space="preserve"> Internal revenue growth from yield for collection and disposal operations was 1.7%.</w:t>
      </w:r>
    </w:p>
    <w:p>
      <w:pPr>
        <w:spacing w:after="0" w:line="81" w:lineRule="exact"/>
        <w:rPr>
          <w:rFonts w:ascii="Times New Roman" w:cs="Times New Roman" w:eastAsia="Times New Roman" w:hAnsi="Times New Roman"/>
          <w:sz w:val="18"/>
          <w:szCs w:val="18"/>
          <w:color w:val="auto"/>
        </w:rPr>
      </w:pPr>
    </w:p>
    <w:p>
      <w:pPr>
        <w:ind w:left="720" w:right="2139" w:hanging="262"/>
        <w:spacing w:after="0" w:line="256" w:lineRule="auto"/>
        <w:tabs>
          <w:tab w:leader="none" w:pos="6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revenue growth from volume in the Company’s traditional solid waste business declined 0.6% in the second quarter of 2015 versus a decline of 2.3% in the second quarter of 2014, an improvement of 170 basis points. Sequentially, this was a 60 basis point improvement from the 1.2% decline in the first quarter of 2015. Overall internal revenue growth from volume declined 1.3% in the second quarter, compared to the negative 3.0% in the first quarter of 2015, an improvement of 170 basis points.</w:t>
      </w:r>
    </w:p>
    <w:p>
      <w:pPr>
        <w:spacing w:after="0" w:line="93" w:lineRule="exact"/>
        <w:rPr>
          <w:rFonts w:ascii="Times New Roman" w:cs="Times New Roman" w:eastAsia="Times New Roman" w:hAnsi="Times New Roman"/>
          <w:sz w:val="18"/>
          <w:szCs w:val="18"/>
          <w:color w:val="auto"/>
        </w:rPr>
      </w:pPr>
    </w:p>
    <w:p>
      <w:pPr>
        <w:ind w:left="720" w:right="2159" w:hanging="262"/>
        <w:spacing w:after="0" w:line="261" w:lineRule="auto"/>
        <w:tabs>
          <w:tab w:leader="none" w:pos="68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recycling commodity prices were approximately 13.0% lower in the second quarter of 2015 compared with the prior year period. Recycling volumes declined 5.7% in the second quarter. In total, recycling operations negatively affected earnings by $0.02 per diluted share when compared to the prior year period.</w:t>
      </w:r>
    </w:p>
    <w:p>
      <w:pPr>
        <w:spacing w:after="0" w:line="85" w:lineRule="exact"/>
        <w:rPr>
          <w:rFonts w:ascii="Times New Roman" w:cs="Times New Roman" w:eastAsia="Times New Roman" w:hAnsi="Times New Roman"/>
          <w:sz w:val="18"/>
          <w:szCs w:val="18"/>
          <w:color w:val="auto"/>
        </w:rPr>
      </w:pPr>
    </w:p>
    <w:p>
      <w:pPr>
        <w:ind w:left="720" w:right="2139" w:hanging="262"/>
        <w:spacing w:after="0" w:line="256" w:lineRule="auto"/>
        <w:tabs>
          <w:tab w:leader="none" w:pos="6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expenses improved by $138 million compared to the prior year period. Excluding divestitures and items excluded from the Company’s as-adjusted results, operating expenses improved $56 million.</w:t>
      </w:r>
      <w:r>
        <w:rPr>
          <w:rFonts w:ascii="Times New Roman" w:cs="Times New Roman" w:eastAsia="Times New Roman" w:hAnsi="Times New Roman"/>
          <w:sz w:val="15"/>
          <w:szCs w:val="15"/>
          <w:color w:val="auto"/>
        </w:rPr>
        <w:t>(b)</w:t>
      </w:r>
      <w:r>
        <w:rPr>
          <w:rFonts w:ascii="Times New Roman" w:cs="Times New Roman" w:eastAsia="Times New Roman" w:hAnsi="Times New Roman"/>
          <w:sz w:val="18"/>
          <w:szCs w:val="18"/>
          <w:color w:val="auto"/>
        </w:rPr>
        <w:t xml:space="preserve"> Lower fuel and subcontractor costs, commodity rebates, and continued route optimization drove the improvement. As a percent of revenue, operating expenses were 63.6% in the second quarter of 2015, as compared to 64.2% in the second quarter of 2014, an improvement of 60 basis points.</w:t>
      </w:r>
    </w:p>
    <w:p>
      <w:pPr>
        <w:spacing w:after="0" w:line="93" w:lineRule="exact"/>
        <w:rPr>
          <w:rFonts w:ascii="Times New Roman" w:cs="Times New Roman" w:eastAsia="Times New Roman" w:hAnsi="Times New Roman"/>
          <w:sz w:val="18"/>
          <w:szCs w:val="18"/>
          <w:color w:val="auto"/>
        </w:rPr>
      </w:pPr>
    </w:p>
    <w:p>
      <w:pPr>
        <w:ind w:left="720" w:right="2199" w:hanging="262"/>
        <w:spacing w:after="0" w:line="261" w:lineRule="auto"/>
        <w:tabs>
          <w:tab w:leader="none" w:pos="6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expenses improved by $31 million compared with the second quarter of 2014. As a percent of revenue, SG&amp;A expenses improved 20 basis points to 9.7%. Excluding divestitures from the second quarter of 2014, SG&amp;A expenses improved by $18 million and improved 40 basis points as a percent of revenue compared with the second quarter of 2014.</w:t>
      </w:r>
      <w:r>
        <w:rPr>
          <w:rFonts w:ascii="Times New Roman" w:cs="Times New Roman" w:eastAsia="Times New Roman" w:hAnsi="Times New Roman"/>
          <w:sz w:val="15"/>
          <w:szCs w:val="15"/>
          <w:color w:val="auto"/>
        </w:rPr>
        <w:t>(b)</w:t>
      </w:r>
    </w:p>
    <w:p>
      <w:pPr>
        <w:spacing w:after="0" w:line="85" w:lineRule="exact"/>
        <w:rPr>
          <w:rFonts w:ascii="Times New Roman" w:cs="Times New Roman" w:eastAsia="Times New Roman" w:hAnsi="Times New Roman"/>
          <w:sz w:val="18"/>
          <w:szCs w:val="18"/>
          <w:color w:val="auto"/>
        </w:rPr>
      </w:pPr>
    </w:p>
    <w:p>
      <w:pPr>
        <w:ind w:left="720" w:right="2199" w:hanging="262"/>
        <w:spacing w:after="0" w:line="261" w:lineRule="auto"/>
        <w:tabs>
          <w:tab w:leader="none" w:pos="6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 was $816 million, compared to $555 million in the second quarter of 2014, an improvement of $261 million driven by a $216 million reduction in cash taxes. Capital expenditures were $296 million. The Company had $59 million of divestiture proceeds in the quarter.</w:t>
      </w:r>
    </w:p>
    <w:p>
      <w:pPr>
        <w:spacing w:after="0" w:line="85" w:lineRule="exact"/>
        <w:rPr>
          <w:rFonts w:ascii="Times New Roman" w:cs="Times New Roman" w:eastAsia="Times New Roman" w:hAnsi="Times New Roman"/>
          <w:sz w:val="18"/>
          <w:szCs w:val="18"/>
          <w:color w:val="auto"/>
        </w:rPr>
      </w:pPr>
    </w:p>
    <w:p>
      <w:pPr>
        <w:ind w:left="720" w:right="2519" w:hanging="262"/>
        <w:spacing w:after="0" w:line="282" w:lineRule="auto"/>
        <w:tabs>
          <w:tab w:leader="none" w:pos="69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was $579 million in the second quarter of 2015, an increase of $245 million when excluding free cash flow from operations divested in 2014.</w:t>
      </w:r>
      <w:r>
        <w:rPr>
          <w:rFonts w:ascii="Times New Roman" w:cs="Times New Roman" w:eastAsia="Times New Roman" w:hAnsi="Times New Roman"/>
          <w:sz w:val="15"/>
          <w:szCs w:val="15"/>
          <w:color w:val="auto"/>
        </w:rPr>
        <w:t>(b)</w:t>
      </w:r>
    </w:p>
    <w:p>
      <w:pPr>
        <w:spacing w:after="0" w:line="67" w:lineRule="exact"/>
        <w:rPr>
          <w:rFonts w:ascii="Times New Roman" w:cs="Times New Roman" w:eastAsia="Times New Roman" w:hAnsi="Times New Roman"/>
          <w:sz w:val="18"/>
          <w:szCs w:val="18"/>
          <w:color w:val="auto"/>
        </w:rPr>
      </w:pPr>
    </w:p>
    <w:p>
      <w:pPr>
        <w:ind w:left="720" w:right="2199" w:hanging="262"/>
        <w:spacing w:after="0" w:line="282" w:lineRule="auto"/>
        <w:tabs>
          <w:tab w:leader="none" w:pos="69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returned $475 million to shareholders, including $300 million in share repurchases and $175 million in the form of dividends.</w:t>
      </w:r>
    </w:p>
    <w:p>
      <w:pPr>
        <w:spacing w:after="0" w:line="67" w:lineRule="exact"/>
        <w:rPr>
          <w:rFonts w:ascii="Times New Roman" w:cs="Times New Roman" w:eastAsia="Times New Roman" w:hAnsi="Times New Roman"/>
          <w:sz w:val="18"/>
          <w:szCs w:val="18"/>
          <w:color w:val="auto"/>
        </w:rPr>
      </w:pPr>
    </w:p>
    <w:p>
      <w:pPr>
        <w:ind w:left="700" w:hanging="242"/>
        <w:spacing w:after="0"/>
        <w:tabs>
          <w:tab w:leader="none" w:pos="7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tax rate was approximately 29.6%. Adjusting for items excluded from the Company’s</w:t>
      </w:r>
    </w:p>
    <w:p>
      <w:pPr>
        <w:spacing w:after="0" w:line="26" w:lineRule="exact"/>
        <w:rPr>
          <w:sz w:val="20"/>
          <w:szCs w:val="20"/>
          <w:color w:val="auto"/>
        </w:rPr>
      </w:pPr>
    </w:p>
    <w:p>
      <w:pPr>
        <w:ind w:left="720" w:right="2459"/>
        <w:spacing w:after="0" w:line="256" w:lineRule="auto"/>
        <w:rPr>
          <w:sz w:val="20"/>
          <w:szCs w:val="20"/>
          <w:color w:val="auto"/>
        </w:rPr>
      </w:pPr>
      <w:r>
        <w:rPr>
          <w:rFonts w:ascii="Times New Roman" w:cs="Times New Roman" w:eastAsia="Times New Roman" w:hAnsi="Times New Roman"/>
          <w:sz w:val="18"/>
          <w:szCs w:val="18"/>
          <w:color w:val="auto"/>
        </w:rPr>
        <w:t>as-adjusted results, the tax rate was 30.9%.</w:t>
      </w:r>
      <w:r>
        <w:rPr>
          <w:rFonts w:ascii="Times New Roman" w:cs="Times New Roman" w:eastAsia="Times New Roman" w:hAnsi="Times New Roman"/>
          <w:sz w:val="15"/>
          <w:szCs w:val="15"/>
          <w:color w:val="auto"/>
        </w:rPr>
        <w:t>(b)</w:t>
      </w:r>
      <w:r>
        <w:rPr>
          <w:rFonts w:ascii="Times New Roman" w:cs="Times New Roman" w:eastAsia="Times New Roman" w:hAnsi="Times New Roman"/>
          <w:sz w:val="18"/>
          <w:szCs w:val="18"/>
          <w:color w:val="auto"/>
        </w:rPr>
        <w:t xml:space="preserve"> Lower taxes benefited earnings per diluted share by $0.02 in the second quarter when compared to the second quarter of 2014, driven primarily by a reduction in deferred taxes and utilization of state net operating losses.</w:t>
      </w:r>
    </w:p>
    <w:p>
      <w:pPr>
        <w:sectPr>
          <w:pgSz w:w="11900" w:h="16838" w:orient="portrait"/>
          <w:cols w:equalWidth="0" w:num="1">
            <w:col w:w="10219"/>
          </w:cols>
          <w:pgMar w:left="240" w:top="266" w:right="1440" w:bottom="1440" w:gutter="0" w:footer="0" w:header="0"/>
        </w:sectPr>
      </w:pPr>
    </w:p>
    <w:bookmarkStart w:id="6" w:name="page7"/>
    <w:bookmarkEnd w:id="6"/>
    <w:p>
      <w:pPr>
        <w:ind w:right="2559"/>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Steiner concluded, “We are pleased with the strong results through the first half of 2015. Combining the first half results with our outlook for continued price and cost control discipline and improving volumes, we are confident that the momentum we saw in the first half of the year will continue in the second half of the year. We now expect that our 2015 adjusted earnings per diluted share should be at the high end of our previously announced guidance of between $2.48 and $2.55, despite negative headwinds to diluted earnings per share of between $0.07 and $0.10 from recycling operations and about $0.04 from the impact of foreign currency translation adjustments. We also expect to achieve the upper end of our full year free cash flow guidance of between $1.4 and $1.5 billion.”</w:t>
      </w:r>
      <w:r>
        <w:rPr>
          <w:rFonts w:ascii="Times New Roman" w:cs="Times New Roman" w:eastAsia="Times New Roman" w:hAnsi="Times New Roman"/>
          <w:sz w:val="15"/>
          <w:szCs w:val="15"/>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ind w:left="460" w:right="2479" w:hanging="452"/>
        <w:spacing w:after="0" w:line="257"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For purposes of this press release, all references to “Net loss” and “Net income” refer to the financial statement line items “Net income (loss) attributable to Waste Management, Inc.” and “Net income attributable to Waste Management, Inc.,” respectively.</w:t>
      </w:r>
    </w:p>
    <w:p>
      <w:pPr>
        <w:spacing w:after="0" w:line="1" w:lineRule="exact"/>
        <w:rPr>
          <w:rFonts w:ascii="Times New Roman" w:cs="Times New Roman" w:eastAsia="Times New Roman" w:hAnsi="Times New Roman"/>
          <w:sz w:val="15"/>
          <w:szCs w:val="15"/>
          <w:color w:val="auto"/>
        </w:rPr>
      </w:pPr>
    </w:p>
    <w:p>
      <w:pPr>
        <w:ind w:left="460" w:right="2559" w:hanging="452"/>
        <w:spacing w:after="0" w:line="251"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net income, earnings per diluted share, operating income and margin, operating EBITDA and margin, operating expenses, SG&amp;A expenses, and our effective tax rate have been presented in certain instances excluding items identified in the reconciliations provided.</w:t>
      </w:r>
    </w:p>
    <w:p>
      <w:pPr>
        <w:spacing w:after="0" w:line="85" w:lineRule="exact"/>
        <w:rPr>
          <w:rFonts w:ascii="Times New Roman" w:cs="Times New Roman" w:eastAsia="Times New Roman" w:hAnsi="Times New Roman"/>
          <w:sz w:val="15"/>
          <w:szCs w:val="15"/>
          <w:color w:val="auto"/>
        </w:rPr>
      </w:pPr>
    </w:p>
    <w:p>
      <w:pPr>
        <w:ind w:left="460" w:right="2459"/>
        <w:spacing w:after="0" w:line="25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Company’s projected full year 2015 earnings per diluted share is not based on GAAP net earnings per diluted share and are anticipated to be adjusted to exclude the effects of events or circumstances in 2015 that are not representative or indicative of the Company’s results of operations including the items excluded from our as-adjusted first and second quarter results.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or projected earnings growth to a GAAP earnings per diluted share projection.</w:t>
      </w:r>
    </w:p>
    <w:p>
      <w:pPr>
        <w:spacing w:after="0" w:line="84" w:lineRule="exact"/>
        <w:rPr>
          <w:rFonts w:ascii="Times New Roman" w:cs="Times New Roman" w:eastAsia="Times New Roman" w:hAnsi="Times New Roman"/>
          <w:sz w:val="15"/>
          <w:szCs w:val="15"/>
          <w:color w:val="auto"/>
        </w:rPr>
      </w:pPr>
    </w:p>
    <w:p>
      <w:pPr>
        <w:ind w:left="460" w:right="2459"/>
        <w:spacing w:after="0" w:line="254" w:lineRule="auto"/>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Company also discusses free cash flow and provides projections of free cash flow. Free cash flow is a non-GAAP measure. 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91" w:lineRule="exact"/>
        <w:rPr>
          <w:rFonts w:ascii="Times New Roman" w:cs="Times New Roman" w:eastAsia="Times New Roman" w:hAnsi="Times New Roman"/>
          <w:sz w:val="15"/>
          <w:szCs w:val="15"/>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provided by operating activities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capital expenditures</w:t>
      </w:r>
    </w:p>
    <w:p>
      <w:pPr>
        <w:spacing w:after="0" w:line="130"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Plus, proceeds from divestitures of businesses (net of cash divested) and other sales of assets.</w:t>
      </w:r>
    </w:p>
    <w:p>
      <w:pPr>
        <w:sectPr>
          <w:pgSz w:w="11900" w:h="16838" w:orient="portrait"/>
          <w:cols w:equalWidth="0" w:num="1">
            <w:col w:w="10219"/>
          </w:cols>
          <w:pgMar w:left="240" w:top="270" w:right="1440" w:bottom="1440" w:gutter="0" w:footer="0" w:header="0"/>
        </w:sectPr>
      </w:pPr>
    </w:p>
    <w:bookmarkStart w:id="7" w:name="page8"/>
    <w:bookmarkEnd w:id="7"/>
    <w:p>
      <w:pPr>
        <w:ind w:left="452" w:right="2879"/>
        <w:spacing w:after="0" w:line="282" w:lineRule="auto"/>
        <w:rPr>
          <w:sz w:val="20"/>
          <w:szCs w:val="20"/>
          <w:color w:val="auto"/>
        </w:rPr>
      </w:pPr>
      <w:r>
        <w:rPr>
          <w:rFonts w:ascii="Times New Roman" w:cs="Times New Roman" w:eastAsia="Times New Roman" w:hAnsi="Times New Roman"/>
          <w:sz w:val="18"/>
          <w:szCs w:val="18"/>
          <w:color w:val="auto"/>
        </w:rPr>
        <w:t>The Company’s definition of free cash flow may not be comparable to similarly titled measures presented by other companies, and therefore is not subject to comparison.</w:t>
      </w:r>
    </w:p>
    <w:p>
      <w:pPr>
        <w:spacing w:after="0" w:line="54" w:lineRule="exact"/>
        <w:rPr>
          <w:sz w:val="20"/>
          <w:szCs w:val="20"/>
          <w:color w:val="auto"/>
        </w:rPr>
      </w:pPr>
    </w:p>
    <w:p>
      <w:pPr>
        <w:ind w:left="452" w:right="2479"/>
        <w:spacing w:after="0" w:line="255" w:lineRule="auto"/>
        <w:rPr>
          <w:sz w:val="20"/>
          <w:szCs w:val="20"/>
          <w:color w:val="auto"/>
        </w:rPr>
      </w:pPr>
      <w:r>
        <w:rPr>
          <w:rFonts w:ascii="Times New Roman" w:cs="Times New Roman" w:eastAsia="Times New Roman" w:hAnsi="Times New Roman"/>
          <w:sz w:val="18"/>
          <w:szCs w:val="18"/>
          <w:color w:val="auto"/>
        </w:rPr>
        <w:t>The Company defines operating EBITDA as income from operations before depreciation and amortization; this measure may not be comparable to similarly titled measures reported by other companies. Management uses this measure as an indicator of the Company’s operating performance and ability to pay dividends, fund acquisitions, capital expenditures and other investments and, in the absence of refinancing, to repay debt obligations. Adjusted operating EBITDA is a non-GAAP measure and is not intended to replace net income, income from operations or net cash provided by operating activities.</w:t>
      </w:r>
    </w:p>
    <w:p>
      <w:pPr>
        <w:spacing w:after="0" w:line="81" w:lineRule="exact"/>
        <w:rPr>
          <w:sz w:val="20"/>
          <w:szCs w:val="20"/>
          <w:color w:val="auto"/>
        </w:rPr>
      </w:pPr>
    </w:p>
    <w:p>
      <w:pPr>
        <w:ind w:left="452" w:right="2479"/>
        <w:spacing w:after="0" w:line="258" w:lineRule="auto"/>
        <w:rPr>
          <w:sz w:val="20"/>
          <w:szCs w:val="20"/>
          <w:color w:val="auto"/>
        </w:rPr>
      </w:pPr>
      <w:r>
        <w:rPr>
          <w:rFonts w:ascii="Times New Roman" w:cs="Times New Roman" w:eastAsia="Times New Roman" w:hAnsi="Times New Roman"/>
          <w:sz w:val="18"/>
          <w:szCs w:val="18"/>
          <w:color w:val="auto"/>
        </w:rPr>
        <w:t>The quantitative reconciliations of non-GAAP measures used herein to the most comparable GAAP measures are included in the accompanying schedules, with the exception of projected earnings per diluted share. Non-GAAP measures should not be considered a substitute for financial measures presented in accordance with GAAP, and investors are urged to take into account GAAP measures as well as non-GAAP measures in evaluating the Company.</w:t>
      </w:r>
    </w:p>
    <w:p>
      <w:pPr>
        <w:spacing w:after="0" w:line="89" w:lineRule="exact"/>
        <w:rPr>
          <w:sz w:val="20"/>
          <w:szCs w:val="20"/>
          <w:color w:val="auto"/>
        </w:rPr>
      </w:pPr>
    </w:p>
    <w:p>
      <w:pPr>
        <w:ind w:left="452" w:right="3299" w:hanging="452"/>
        <w:spacing w:after="0" w:line="282" w:lineRule="auto"/>
        <w:tabs>
          <w:tab w:leader="none" w:pos="452"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Core price is a performance metric used by management and is based on certain historical assumptions to allow for comparability between reporting periods.</w:t>
      </w:r>
    </w:p>
    <w:p>
      <w:pPr>
        <w:sectPr>
          <w:pgSz w:w="11900" w:h="16838" w:orient="portrait"/>
          <w:cols w:equalWidth="0" w:num="1">
            <w:col w:w="10211"/>
          </w:cols>
          <w:pgMar w:left="248" w:top="121" w:right="1440" w:bottom="1440" w:gutter="0" w:footer="0" w:header="0"/>
        </w:sectPr>
      </w:pPr>
    </w:p>
    <w:bookmarkStart w:id="8" w:name="page9"/>
    <w:bookmarkEnd w:id="8"/>
    <w:p>
      <w:pPr>
        <w:ind w:right="2619"/>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will host a conference call at 10:00 AM (Eastern) today to discuss the second quarter 2015 results. Information contained within this press release will be referenced and should be considered in conjunction with the call.</w:t>
      </w:r>
    </w:p>
    <w:p>
      <w:pPr>
        <w:spacing w:after="0" w:line="203" w:lineRule="exact"/>
        <w:rPr>
          <w:sz w:val="20"/>
          <w:szCs w:val="20"/>
          <w:color w:val="auto"/>
        </w:rPr>
      </w:pPr>
    </w:p>
    <w:p>
      <w:pPr>
        <w:ind w:right="2299"/>
        <w:spacing w:after="0" w:line="258" w:lineRule="auto"/>
        <w:rPr>
          <w:sz w:val="20"/>
          <w:szCs w:val="20"/>
          <w:color w:val="auto"/>
        </w:rPr>
      </w:pPr>
      <w:r>
        <w:rPr>
          <w:rFonts w:ascii="Times New Roman" w:cs="Times New Roman" w:eastAsia="Times New Roman" w:hAnsi="Times New Roman"/>
          <w:sz w:val="18"/>
          <w:szCs w:val="18"/>
          <w:color w:val="auto"/>
        </w:rPr>
        <w:t xml:space="preserve">The conference call will be webcast live from the Investor Relations section of Waste Management’s website </w:t>
      </w:r>
      <w:r>
        <w:rPr>
          <w:rFonts w:ascii="Times New Roman" w:cs="Times New Roman" w:eastAsia="Times New Roman" w:hAnsi="Times New Roman"/>
          <w:sz w:val="18"/>
          <w:szCs w:val="18"/>
          <w:u w:val="single" w:color="auto"/>
          <w:color w:val="auto"/>
        </w:rPr>
        <w:t>www.wm.com</w:t>
      </w:r>
      <w:r>
        <w:rPr>
          <w:rFonts w:ascii="Times New Roman" w:cs="Times New Roman" w:eastAsia="Times New Roman" w:hAnsi="Times New Roman"/>
          <w:sz w:val="18"/>
          <w:szCs w:val="18"/>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64809894 when prompted by the conference call operator.</w:t>
      </w:r>
    </w:p>
    <w:p>
      <w:pPr>
        <w:spacing w:after="0" w:line="211" w:lineRule="exact"/>
        <w:rPr>
          <w:sz w:val="20"/>
          <w:szCs w:val="20"/>
          <w:color w:val="auto"/>
        </w:rPr>
      </w:pPr>
    </w:p>
    <w:p>
      <w:pPr>
        <w:ind w:right="2299"/>
        <w:spacing w:after="0" w:line="261" w:lineRule="auto"/>
        <w:rPr>
          <w:sz w:val="20"/>
          <w:szCs w:val="20"/>
          <w:color w:val="auto"/>
        </w:rPr>
      </w:pPr>
      <w:r>
        <w:rPr>
          <w:rFonts w:ascii="Times New Roman" w:cs="Times New Roman" w:eastAsia="Times New Roman" w:hAnsi="Times New Roman"/>
          <w:sz w:val="18"/>
          <w:szCs w:val="18"/>
          <w:color w:val="auto"/>
        </w:rPr>
        <w:t xml:space="preserve">A replay of the conference call will be available on the Company’s website </w:t>
      </w:r>
      <w:r>
        <w:rPr>
          <w:rFonts w:ascii="Times New Roman" w:cs="Times New Roman" w:eastAsia="Times New Roman" w:hAnsi="Times New Roman"/>
          <w:sz w:val="18"/>
          <w:szCs w:val="18"/>
          <w:u w:val="single" w:color="auto"/>
          <w:color w:val="auto"/>
        </w:rPr>
        <w:t>www.wm.com</w:t>
      </w:r>
      <w:r>
        <w:rPr>
          <w:rFonts w:ascii="Times New Roman" w:cs="Times New Roman" w:eastAsia="Times New Roman" w:hAnsi="Times New Roman"/>
          <w:sz w:val="18"/>
          <w:szCs w:val="18"/>
          <w:color w:val="auto"/>
        </w:rPr>
        <w:t xml:space="preserve"> and by telephone from approximately 1:00 PM (Eastern) Thursday, July 23, 2015 through 5:00 PM (Eastern) on Thursday, August 6, 2015. To access the replay telephonically, please dial (855) 859-2056, or from outside of the United States or Canada dial (404) 537-3406, and use the replay conference ID number 64809894.</w:t>
      </w:r>
    </w:p>
    <w:p>
      <w:pPr>
        <w:spacing w:after="0" w:line="205" w:lineRule="exact"/>
        <w:rPr>
          <w:sz w:val="20"/>
          <w:szCs w:val="20"/>
          <w:color w:val="auto"/>
        </w:rPr>
      </w:pPr>
    </w:p>
    <w:p>
      <w:pPr>
        <w:ind w:right="2119"/>
        <w:spacing w:after="0" w:line="252" w:lineRule="auto"/>
        <w:rPr>
          <w:sz w:val="20"/>
          <w:szCs w:val="20"/>
          <w:color w:val="auto"/>
        </w:rPr>
      </w:pPr>
      <w:r>
        <w:rPr>
          <w:rFonts w:ascii="Times New Roman" w:cs="Times New Roman" w:eastAsia="Times New Roman" w:hAnsi="Times New Roman"/>
          <w:sz w:val="18"/>
          <w:szCs w:val="18"/>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2015 earnings per diluted share; 2015 free cash flow; future results from price and cost control discipline; volume trends and improvement; execution, timing, closing and impact of future acquisitions; future share repurchases; future recycling commodity prices; results from recycling operations; and future foreign currency translation adjustments.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WASTE MANAGEMENT</w:t>
      </w:r>
    </w:p>
    <w:p>
      <w:pPr>
        <w:spacing w:after="0" w:line="135" w:lineRule="exact"/>
        <w:rPr>
          <w:sz w:val="20"/>
          <w:szCs w:val="20"/>
          <w:color w:val="auto"/>
        </w:rPr>
      </w:pPr>
    </w:p>
    <w:p>
      <w:pPr>
        <w:ind w:right="2199"/>
        <w:spacing w:after="0" w:line="256" w:lineRule="auto"/>
        <w:rPr>
          <w:sz w:val="20"/>
          <w:szCs w:val="20"/>
          <w:color w:val="auto"/>
        </w:rPr>
      </w:pPr>
      <w:r>
        <w:rPr>
          <w:rFonts w:ascii="Times New Roman" w:cs="Times New Roman" w:eastAsia="Times New Roman" w:hAnsi="Times New Roman"/>
          <w:sz w:val="18"/>
          <w:szCs w:val="18"/>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Times New Roman" w:cs="Times New Roman" w:eastAsia="Times New Roman" w:hAnsi="Times New Roman"/>
          <w:sz w:val="18"/>
          <w:szCs w:val="18"/>
          <w:u w:val="single" w:color="auto"/>
          <w:color w:val="auto"/>
        </w:rPr>
        <w:t>www.wm.com</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www.thinkgreen.com</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70"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0" w:type="dxa"/>
            <w:vAlign w:val="bottom"/>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7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32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expense from divestitures, asset impairments and unusual items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502</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331"/>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9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331"/>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9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9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common shares outstanding</w:t>
            </w:r>
          </w:p>
        </w:tc>
        <w:tc>
          <w:tcPr>
            <w:tcW w:w="1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common shares outstanding</w:t>
            </w: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0.375</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ind w:left="5600"/>
              <w:spacing w:after="0"/>
              <w:rPr>
                <w:sz w:val="20"/>
                <w:szCs w:val="20"/>
                <w:color w:val="auto"/>
              </w:rPr>
            </w:pPr>
            <w:r>
              <w:rPr>
                <w:rFonts w:ascii="Times New Roman" w:cs="Times New Roman" w:eastAsia="Times New Roman" w:hAnsi="Times New Roman"/>
                <w:sz w:val="18"/>
                <w:szCs w:val="18"/>
                <w:color w:val="auto"/>
              </w:rPr>
              <w:t>(1)</w:t>
            </w: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2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Calculation: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 issuable shares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jc w:val="right"/>
              <w:ind w:right="36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6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94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6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6,957</w:t>
            </w:r>
          </w:p>
        </w:tc>
        <w:tc>
          <w:tcPr>
            <w:tcW w:w="0" w:type="dxa"/>
            <w:vAlign w:val="bottom"/>
          </w:tcPr>
          <w:p>
            <w:pPr>
              <w:spacing w:after="0"/>
              <w:rPr>
                <w:sz w:val="1"/>
                <w:szCs w:val="1"/>
                <w:color w:val="auto"/>
              </w:rPr>
            </w:pPr>
          </w:p>
        </w:tc>
      </w:tr>
      <w:tr>
        <w:trPr>
          <w:trHeight w:val="324"/>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expense from divestitures, asset impairments and unusual items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331"/>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8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in net losses of unconsolidated entities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331"/>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1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8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common shares outstanding</w:t>
            </w:r>
          </w:p>
        </w:tc>
        <w:tc>
          <w:tcPr>
            <w:tcW w:w="1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common shares outstanding</w:t>
            </w: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459.6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76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0.75</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ind w:left="5600"/>
              <w:spacing w:after="0"/>
              <w:rPr>
                <w:sz w:val="20"/>
                <w:szCs w:val="20"/>
                <w:color w:val="auto"/>
              </w:rPr>
            </w:pPr>
            <w:r>
              <w:rPr>
                <w:rFonts w:ascii="Times New Roman" w:cs="Times New Roman" w:eastAsia="Times New Roman" w:hAnsi="Times New Roman"/>
                <w:sz w:val="18"/>
                <w:szCs w:val="18"/>
                <w:color w:val="auto"/>
              </w:rPr>
              <w:t>(3)</w:t>
            </w:r>
          </w:p>
        </w:tc>
        <w:tc>
          <w:tcPr>
            <w:tcW w:w="1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40" w:type="dxa"/>
            <w:vAlign w:val="bottom"/>
            <w:gridSpan w:val="2"/>
            <w:vMerge w:val="continue"/>
          </w:tcPr>
          <w:p>
            <w:pPr>
              <w:spacing w:after="0"/>
              <w:rPr>
                <w:sz w:val="24"/>
                <w:szCs w:val="24"/>
                <w:color w:val="auto"/>
              </w:rPr>
            </w:pP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145</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using weighted average common shares outstanding</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459.6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0"/>
        </w:trPr>
        <w:tc>
          <w:tcPr>
            <w:tcW w:w="82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0.32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0.32</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8200" w:type="dxa"/>
            <w:vAlign w:val="bottom"/>
            <w:gridSpan w:val="2"/>
            <w:vMerge w:val="restart"/>
          </w:tcPr>
          <w:p>
            <w:pPr>
              <w:jc w:val="right"/>
              <w:ind w:right="2290"/>
              <w:spacing w:after="0"/>
              <w:rPr>
                <w:sz w:val="20"/>
                <w:szCs w:val="20"/>
                <w:color w:val="auto"/>
              </w:rPr>
            </w:pPr>
            <w:r>
              <w:rPr>
                <w:rFonts w:ascii="Times New Roman" w:cs="Times New Roman" w:eastAsia="Times New Roman" w:hAnsi="Times New Roman"/>
                <w:sz w:val="18"/>
                <w:szCs w:val="18"/>
                <w:color w:val="auto"/>
              </w:rPr>
              <w:t>(4)</w:t>
            </w: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(Unaudited)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16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273</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Receivables, net</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assets</w:t>
            </w:r>
          </w:p>
        </w:tc>
        <w:tc>
          <w:tcPr>
            <w:tcW w:w="4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10,665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968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assets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20,578</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21,412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160" w:type="dxa"/>
            <w:vAlign w:val="bottom"/>
            <w:gridSpan w:val="2"/>
            <w:vMerge w:val="continue"/>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4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4160" w:type="dxa"/>
            <w:vAlign w:val="bottom"/>
            <w:gridSpan w:val="2"/>
          </w:tcPr>
          <w:p>
            <w:pPr>
              <w:ind w:left="40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2,281</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5140" w:type="dxa"/>
            <w:vAlign w:val="bottom"/>
          </w:tcPr>
          <w:p>
            <w:pPr>
              <w:spacing w:after="0"/>
              <w:rPr>
                <w:sz w:val="8"/>
                <w:szCs w:val="8"/>
                <w:color w:val="auto"/>
              </w:rPr>
            </w:pPr>
          </w:p>
        </w:tc>
        <w:tc>
          <w:tcPr>
            <w:tcW w:w="4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8,910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3,784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liabilities</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15,171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15,523</w:t>
            </w:r>
          </w:p>
        </w:tc>
        <w:tc>
          <w:tcPr>
            <w:tcW w:w="0" w:type="dxa"/>
            <w:vAlign w:val="bottom"/>
          </w:tcPr>
          <w:p>
            <w:pPr>
              <w:spacing w:after="0"/>
              <w:rPr>
                <w:sz w:val="1"/>
                <w:szCs w:val="1"/>
                <w:color w:val="auto"/>
              </w:rPr>
            </w:pPr>
          </w:p>
        </w:tc>
      </w:tr>
      <w:tr>
        <w:trPr>
          <w:trHeight w:val="331"/>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40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5,386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equity</w:t>
            </w:r>
          </w:p>
        </w:tc>
        <w:tc>
          <w:tcPr>
            <w:tcW w:w="4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5,407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0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40" w:type="dxa"/>
            <w:vAlign w:val="bottom"/>
            <w:vMerge w:val="restart"/>
          </w:tcPr>
          <w:p>
            <w:pPr>
              <w:jc w:val="right"/>
              <w:ind w:right="32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9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614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Investments in unconsolidated entities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receipts from restricted trust and escrow accounts, and other</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331"/>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New borrowings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Debt repayments</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Premiums paid on early extinguishment of debt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14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dividends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40" w:type="dxa"/>
            <w:vAlign w:val="bottom"/>
          </w:tcPr>
          <w:p>
            <w:pPr>
              <w:spacing w:after="0"/>
              <w:rPr>
                <w:sz w:val="24"/>
                <w:szCs w:val="24"/>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ind w:left="560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gridSpan w:val="6"/>
          </w:tcPr>
          <w:p>
            <w:pPr>
              <w:jc w:val="right"/>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4"/>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30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9"/>
              </w:rPr>
              <w:t>Operating Revenues by Lines of Business</w:t>
            </w:r>
          </w:p>
        </w:tc>
        <w:tc>
          <w:tcPr>
            <w:tcW w:w="3600" w:type="dxa"/>
            <w:vAlign w:val="bottom"/>
            <w:tcBorders>
              <w:bottom w:val="single" w:sz="8" w:color="CCEEFF"/>
            </w:tcBorders>
            <w:gridSpan w:val="2"/>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Collection</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837</w:t>
            </w:r>
          </w:p>
        </w:tc>
        <w:tc>
          <w:tcPr>
            <w:tcW w:w="3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4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631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Industrial</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582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Collection</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w w:val="98"/>
              </w:rPr>
              <w:t>2,141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2,161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Landfill</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758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Transfer</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362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Wheelabrator</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4"/>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Recycling</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4"/>
          </w:tcPr>
          <w:p>
            <w:pPr>
              <w:jc w:val="right"/>
              <w:ind w:right="8"/>
              <w:spacing w:after="0"/>
              <w:rPr>
                <w:sz w:val="20"/>
                <w:szCs w:val="20"/>
                <w:color w:val="auto"/>
              </w:rPr>
            </w:pPr>
            <w:r>
              <w:rPr>
                <w:rFonts w:ascii="Times New Roman" w:cs="Times New Roman" w:eastAsia="Times New Roman" w:hAnsi="Times New Roman"/>
                <w:sz w:val="18"/>
                <w:szCs w:val="18"/>
                <w:color w:val="auto"/>
              </w:rPr>
              <w:t>374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Intercompany </w:t>
            </w:r>
            <w:r>
              <w:rPr>
                <w:rFonts w:ascii="Times New Roman" w:cs="Times New Roman" w:eastAsia="Times New Roman" w:hAnsi="Times New Roman"/>
                <w:sz w:val="18"/>
                <w:szCs w:val="18"/>
                <w:b w:val="1"/>
                <w:bCs w:val="1"/>
                <w:color w:val="auto"/>
              </w:rPr>
              <w:t>(a)</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Borders>
              <w:top w:val="single" w:sz="8" w:color="auto"/>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8"/>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6"/>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June 30, 2015</w:t>
            </w:r>
          </w:p>
        </w:tc>
        <w:tc>
          <w:tcPr>
            <w:tcW w:w="2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7"/>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2014</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4"/>
          </w:tcPr>
          <w:p>
            <w:pPr>
              <w:jc w:val="center"/>
              <w:ind w:right="33"/>
              <w:spacing w:after="0" w:line="119" w:lineRule="exact"/>
              <w:rPr>
                <w:sz w:val="20"/>
                <w:szCs w:val="20"/>
                <w:color w:val="auto"/>
              </w:rPr>
            </w:pPr>
            <w:r>
              <w:rPr>
                <w:rFonts w:ascii="Times New Roman" w:cs="Times New Roman" w:eastAsia="Times New Roman" w:hAnsi="Times New Roman"/>
                <w:sz w:val="13"/>
                <w:szCs w:val="13"/>
                <w:color w:val="auto"/>
              </w:rPr>
              <w:t>As a % of</w:t>
            </w:r>
          </w:p>
        </w:tc>
        <w:tc>
          <w:tcPr>
            <w:tcW w:w="340" w:type="dxa"/>
            <w:vAlign w:val="bottom"/>
            <w:gridSpan w:val="2"/>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6"/>
            <w:vMerge w:val="restart"/>
          </w:tcPr>
          <w:p>
            <w:pPr>
              <w:jc w:val="right"/>
              <w:ind w:right="84"/>
              <w:spacing w:after="0"/>
              <w:rPr>
                <w:sz w:val="20"/>
                <w:szCs w:val="20"/>
                <w:color w:val="auto"/>
              </w:rPr>
            </w:pPr>
            <w:r>
              <w:rPr>
                <w:rFonts w:ascii="Times New Roman" w:cs="Times New Roman" w:eastAsia="Times New Roman" w:hAnsi="Times New Roman"/>
                <w:sz w:val="14"/>
                <w:szCs w:val="14"/>
                <w:color w:val="auto"/>
                <w:w w:val="95"/>
              </w:rPr>
              <w:t>Amount</w:t>
            </w: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4"/>
          </w:tcPr>
          <w:p>
            <w:pPr>
              <w:jc w:val="center"/>
              <w:ind w:right="71"/>
              <w:spacing w:after="0" w:line="119" w:lineRule="exact"/>
              <w:rPr>
                <w:sz w:val="20"/>
                <w:szCs w:val="20"/>
                <w:color w:val="auto"/>
              </w:rPr>
            </w:pPr>
            <w:r>
              <w:rPr>
                <w:rFonts w:ascii="Times New Roman" w:cs="Times New Roman" w:eastAsia="Times New Roman" w:hAnsi="Times New Roman"/>
                <w:sz w:val="13"/>
                <w:szCs w:val="13"/>
                <w:color w:val="auto"/>
              </w:rPr>
              <w:t>As a % of</w:t>
            </w:r>
          </w:p>
        </w:tc>
        <w:tc>
          <w:tcPr>
            <w:tcW w:w="2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8"/>
          </w:tcPr>
          <w:p>
            <w:pPr>
              <w:jc w:val="center"/>
              <w:ind w:right="420"/>
              <w:spacing w:after="0"/>
              <w:rPr>
                <w:sz w:val="20"/>
                <w:szCs w:val="20"/>
                <w:color w:val="auto"/>
              </w:rPr>
            </w:pPr>
            <w:r>
              <w:rPr>
                <w:rFonts w:ascii="Times New Roman" w:cs="Times New Roman" w:eastAsia="Times New Roman" w:hAnsi="Times New Roman"/>
                <w:sz w:val="14"/>
                <w:szCs w:val="14"/>
                <w:color w:val="auto"/>
              </w:rPr>
              <w:t>Total Company</w:t>
            </w:r>
          </w:p>
        </w:tc>
        <w:tc>
          <w:tcPr>
            <w:tcW w:w="220" w:type="dxa"/>
            <w:vAlign w:val="bottom"/>
          </w:tcPr>
          <w:p>
            <w:pPr>
              <w:spacing w:after="0"/>
              <w:rPr>
                <w:sz w:val="14"/>
                <w:szCs w:val="14"/>
                <w:color w:val="auto"/>
              </w:rPr>
            </w:pPr>
          </w:p>
        </w:tc>
        <w:tc>
          <w:tcPr>
            <w:tcW w:w="62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7"/>
          </w:tcPr>
          <w:p>
            <w:pPr>
              <w:jc w:val="center"/>
              <w:ind w:right="200"/>
              <w:spacing w:after="0"/>
              <w:rPr>
                <w:sz w:val="20"/>
                <w:szCs w:val="20"/>
                <w:color w:val="auto"/>
              </w:rPr>
            </w:pPr>
            <w:r>
              <w:rPr>
                <w:rFonts w:ascii="Times New Roman" w:cs="Times New Roman" w:eastAsia="Times New Roman" w:hAnsi="Times New Roman"/>
                <w:sz w:val="14"/>
                <w:szCs w:val="14"/>
                <w:color w:val="auto"/>
              </w:rPr>
              <w:t>Total Company</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760" w:type="dxa"/>
            <w:vAlign w:val="bottom"/>
            <w:tcBorders>
              <w:top w:val="single" w:sz="8" w:color="CCEEFF"/>
            </w:tcBorders>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Analysis of Change in Year Over Year Revenues</w:t>
            </w:r>
          </w:p>
        </w:tc>
        <w:tc>
          <w:tcPr>
            <w:tcW w:w="12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top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color w:val="auto"/>
              </w:rPr>
              <w:t xml:space="preserve">Average yield </w:t>
            </w:r>
            <w:r>
              <w:rPr>
                <w:rFonts w:ascii="Times New Roman" w:cs="Times New Roman" w:eastAsia="Times New Roman" w:hAnsi="Times New Roman"/>
                <w:sz w:val="18"/>
                <w:szCs w:val="18"/>
                <w:b w:val="1"/>
                <w:bCs w:val="1"/>
                <w:color w:val="auto"/>
              </w:rPr>
              <w:t>(i)</w:t>
            </w:r>
          </w:p>
        </w:tc>
        <w:tc>
          <w:tcPr>
            <w:tcW w:w="3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60</w:t>
            </w: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5"/>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Volume</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7"/>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rPr>
              <w:t>Internal revenue growth</w:t>
            </w: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Acquisition</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0"/>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Divestitures</w:t>
            </w:r>
          </w:p>
        </w:tc>
        <w:tc>
          <w:tcPr>
            <w:tcW w:w="1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(193)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7"/>
          </w:tcPr>
          <w:p>
            <w:pPr>
              <w:jc w:val="right"/>
              <w:ind w:right="24"/>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7"/>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4"/>
              </w:rPr>
              <w:t>$ (246</w:t>
            </w:r>
          </w:p>
        </w:tc>
        <w:tc>
          <w:tcPr>
            <w:tcW w:w="1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35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7"/>
          </w:tcPr>
          <w:p>
            <w:pPr>
              <w:jc w:val="center"/>
              <w:ind w:right="540"/>
              <w:spacing w:after="0"/>
              <w:rPr>
                <w:sz w:val="20"/>
                <w:szCs w:val="20"/>
                <w:color w:val="auto"/>
              </w:rPr>
            </w:pPr>
            <w:r>
              <w:rPr>
                <w:rFonts w:ascii="Times New Roman" w:cs="Times New Roman" w:eastAsia="Times New Roman" w:hAnsi="Times New Roman"/>
                <w:sz w:val="14"/>
                <w:szCs w:val="14"/>
                <w:color w:val="auto"/>
              </w:rPr>
              <w:t>As a % of</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color w:val="auto"/>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Amount</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6"/>
            <w:vMerge w:val="restart"/>
          </w:tcPr>
          <w:p>
            <w:pPr>
              <w:jc w:val="right"/>
              <w:ind w:right="84"/>
              <w:spacing w:after="0"/>
              <w:rPr>
                <w:sz w:val="20"/>
                <w:szCs w:val="20"/>
                <w:color w:val="auto"/>
              </w:rPr>
            </w:pPr>
            <w:r>
              <w:rPr>
                <w:rFonts w:ascii="Times New Roman" w:cs="Times New Roman" w:eastAsia="Times New Roman" w:hAnsi="Times New Roman"/>
                <w:sz w:val="14"/>
                <w:szCs w:val="14"/>
                <w:color w:val="auto"/>
                <w:w w:val="95"/>
              </w:rPr>
              <w:t>Amount</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6"/>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6"/>
          </w:tcPr>
          <w:p>
            <w:pPr>
              <w:jc w:val="center"/>
              <w:ind w:right="600"/>
              <w:spacing w:after="0"/>
              <w:rPr>
                <w:sz w:val="20"/>
                <w:szCs w:val="20"/>
                <w:color w:val="auto"/>
              </w:rPr>
            </w:pPr>
            <w:r>
              <w:rPr>
                <w:rFonts w:ascii="Times New Roman" w:cs="Times New Roman" w:eastAsia="Times New Roman" w:hAnsi="Times New Roman"/>
                <w:sz w:val="14"/>
                <w:szCs w:val="14"/>
                <w:color w:val="auto"/>
              </w:rPr>
              <w:t>Business</w:t>
            </w:r>
          </w:p>
        </w:tc>
        <w:tc>
          <w:tcPr>
            <w:tcW w:w="220" w:type="dxa"/>
            <w:vAlign w:val="bottom"/>
          </w:tcPr>
          <w:p>
            <w:pPr>
              <w:spacing w:after="0"/>
              <w:rPr>
                <w:sz w:val="14"/>
                <w:szCs w:val="14"/>
                <w:color w:val="auto"/>
              </w:rPr>
            </w:pPr>
          </w:p>
        </w:tc>
        <w:tc>
          <w:tcPr>
            <w:tcW w:w="620" w:type="dxa"/>
            <w:vAlign w:val="bottom"/>
            <w:gridSpan w:val="6"/>
            <w:vMerge w:val="continue"/>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color w:val="auto"/>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60" w:type="dxa"/>
            <w:vAlign w:val="bottom"/>
            <w:tcBorders>
              <w:top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Average yield</w:t>
            </w: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Collection and disposal</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0"/>
              </w:rPr>
              <w:t>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Recycling commodities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7"/>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Electricity</w:t>
            </w:r>
          </w:p>
        </w:tc>
        <w:tc>
          <w:tcPr>
            <w:tcW w:w="120" w:type="dxa"/>
            <w:vAlign w:val="bottom"/>
          </w:tcPr>
          <w:p>
            <w:pPr>
              <w:spacing w:after="0"/>
              <w:rPr>
                <w:sz w:val="18"/>
                <w:szCs w:val="18"/>
                <w:color w:val="auto"/>
              </w:rPr>
            </w:pPr>
          </w:p>
        </w:tc>
        <w:tc>
          <w:tcPr>
            <w:tcW w:w="4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0"/>
              </w:rPr>
              <w:t>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Fuel surcharges and mandated fees</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60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5"/>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9"/>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Quarters Ended June 30,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13"/>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4"/>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1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Free Cash Flow Analysis (b)</w:t>
            </w:r>
          </w:p>
        </w:tc>
        <w:tc>
          <w:tcPr>
            <w:tcW w:w="46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40" w:type="dxa"/>
            <w:vAlign w:val="bottom"/>
            <w:tcBorders>
              <w:top w:val="single" w:sz="8" w:color="auto"/>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6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Pr>
          <w:p>
            <w:pPr>
              <w:spacing w:after="0"/>
              <w:rPr>
                <w:sz w:val="24"/>
                <w:szCs w:val="24"/>
                <w:color w:val="auto"/>
              </w:rPr>
            </w:pP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555</w:t>
            </w: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72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1,315</w:t>
            </w:r>
          </w:p>
        </w:tc>
        <w:tc>
          <w:tcPr>
            <w:tcW w:w="16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8"/>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78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center"/>
              <w:ind w:left="51"/>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447</w:t>
            </w: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864</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change does not provide a meaningful comparison.</w:t>
      </w:r>
    </w:p>
    <w:p>
      <w:pPr>
        <w:spacing w:after="0" w:line="27"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revenues between lines of business are eliminated within the Condensed Consolidated Financial Statements included herein.</w:t>
      </w:r>
    </w:p>
    <w:p>
      <w:pPr>
        <w:spacing w:after="0" w:line="9" w:lineRule="exact"/>
        <w:rPr>
          <w:rFonts w:ascii="Times New Roman" w:cs="Times New Roman" w:eastAsia="Times New Roman" w:hAnsi="Times New Roman"/>
          <w:sz w:val="18"/>
          <w:szCs w:val="18"/>
          <w:color w:val="auto"/>
        </w:rPr>
      </w:pPr>
    </w:p>
    <w:p>
      <w:pPr>
        <w:ind w:left="460" w:right="80" w:hanging="452"/>
        <w:spacing w:after="0" w:line="255"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66"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40" w:type="dxa"/>
            <w:vAlign w:val="bottom"/>
            <w:gridSpan w:val="3"/>
          </w:tcPr>
          <w:p>
            <w:pPr>
              <w:jc w:val="right"/>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80" w:type="dxa"/>
            <w:vAlign w:val="bottom"/>
          </w:tcPr>
          <w:p>
            <w:pPr>
              <w:spacing w:after="0"/>
              <w:rPr>
                <w:sz w:val="10"/>
                <w:szCs w:val="10"/>
                <w:color w:val="auto"/>
              </w:rPr>
            </w:pP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March 31,</w:t>
            </w:r>
          </w:p>
        </w:tc>
        <w:tc>
          <w:tcPr>
            <w:tcW w:w="6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498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7"/>
              </w:rPr>
              <w:t>Balance Sheet Data</w:t>
            </w:r>
          </w:p>
        </w:tc>
        <w:tc>
          <w:tcPr>
            <w:tcW w:w="6860" w:type="dxa"/>
            <w:vAlign w:val="bottom"/>
            <w:tcBorders>
              <w:bottom w:val="single" w:sz="8" w:color="CCEEFF"/>
            </w:tcBorders>
            <w:gridSpan w:val="4"/>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24"/>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Debt-to-total capital ratio:</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Long-term indebtedness, including current portion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w:t>
            </w:r>
          </w:p>
        </w:tc>
        <w:tc>
          <w:tcPr>
            <w:tcW w:w="2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9,207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Total capital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14,513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14,782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15,944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Debt-to-total capital</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Capitalized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34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Acquisition Summary (a)</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9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8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consideration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Cash paid for acquisitions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8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Other Operational Data</w:t>
            </w:r>
          </w:p>
        </w:tc>
        <w:tc>
          <w:tcPr>
            <w:tcW w:w="6500" w:type="dxa"/>
            <w:vAlign w:val="bottom"/>
            <w:tcBorders>
              <w:bottom w:val="single" w:sz="8" w:color="CCEEFF"/>
            </w:tcBorders>
            <w:gridSpan w:val="3"/>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1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Pr>
          <w:p>
            <w:pPr>
              <w:spacing w:after="0"/>
              <w:rPr>
                <w:sz w:val="24"/>
                <w:szCs w:val="24"/>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landfill disposal volumes (tons in millions)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waste-to-energy disposal volumes (tons in millions)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disposal volumes (tons in millions)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Active landfills</w:t>
            </w:r>
          </w:p>
        </w:tc>
        <w:tc>
          <w:tcPr>
            <w:tcW w:w="10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9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Landfills reporting volume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836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Amortization, Accretion and Other Expenses for Landfills Included in Operating Groups: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360" w:type="dxa"/>
            <w:vAlign w:val="bottom"/>
            <w:gridSpan w:val="6"/>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98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amortization expense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Cost basis of landfill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90.2</w:t>
            </w:r>
          </w:p>
        </w:tc>
        <w:tc>
          <w:tcPr>
            <w:tcW w:w="4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retirement costs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5"/>
          </w:tcPr>
          <w:p>
            <w:pPr>
              <w:ind w:left="700"/>
              <w:spacing w:after="0"/>
              <w:rPr>
                <w:sz w:val="20"/>
                <w:szCs w:val="20"/>
                <w:color w:val="auto"/>
              </w:rPr>
            </w:pPr>
            <w:r>
              <w:rPr>
                <w:rFonts w:ascii="Times New Roman" w:cs="Times New Roman" w:eastAsia="Times New Roman" w:hAnsi="Times New Roman"/>
                <w:sz w:val="18"/>
                <w:szCs w:val="18"/>
                <w:color w:val="auto"/>
              </w:rPr>
              <w:t>Total landfill amortization expense (b) (c)</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and other related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Landfill amortization, accretion and other related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14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ind w:left="460" w:right="80" w:hanging="452"/>
        <w:spacing w:after="0" w:line="250"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 ended June 30, 2015 as compared to the quarter ended March 31, 2015 reflects an increase in amortization expense of approximately $22.6 million primarily due to changes in landfill estimates identified in both quarters and by an increase in volumes primarily due to seasonality.</w:t>
      </w:r>
    </w:p>
    <w:p>
      <w:pPr>
        <w:ind w:left="460" w:right="300" w:hanging="452"/>
        <w:spacing w:after="0" w:line="261"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 ended June 30, 2015 as compared to the quarter ended June 30, 2014 reflects an increase in amortization expense of approximately $7.4 million primarily due to changes in landfill estimates identified in both quarters.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66"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Millions, Except Per Share Amounts)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ectPr>
          <w:pgSz w:w="11900" w:h="16838" w:orient="portrait"/>
          <w:cols w:equalWidth="0" w:num="1">
            <w:col w:w="11420"/>
          </w:cols>
          <w:pgMar w:left="240" w:top="26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9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and Earnings Per Diluted Share </w:t>
      </w:r>
      <w:r>
        <w:rPr>
          <w:rFonts w:ascii="Times New Roman" w:cs="Times New Roman" w:eastAsia="Times New Roman" w:hAnsi="Times New Roman"/>
          <w:sz w:val="18"/>
          <w:szCs w:val="18"/>
          <w:b w:val="1"/>
          <w:bCs w:val="1"/>
          <w:color w:val="auto"/>
        </w:rPr>
        <w:t>Net Income and Diluted EPS,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 to Net Income and Diluted EPS:</w:t>
      </w:r>
    </w:p>
    <w:p>
      <w:pPr>
        <w:spacing w:after="0" w:line="31" w:lineRule="exact"/>
        <w:rPr>
          <w:sz w:val="20"/>
          <w:szCs w:val="20"/>
          <w:color w:val="auto"/>
        </w:rPr>
      </w:pPr>
    </w:p>
    <w:p>
      <w:pPr>
        <w:ind w:firstLine="360"/>
        <w:spacing w:after="0" w:line="292" w:lineRule="auto"/>
        <w:rPr>
          <w:sz w:val="20"/>
          <w:szCs w:val="20"/>
          <w:color w:val="auto"/>
        </w:rPr>
      </w:pPr>
      <w:r>
        <w:rPr>
          <w:rFonts w:ascii="Times New Roman" w:cs="Times New Roman" w:eastAsia="Times New Roman" w:hAnsi="Times New Roman"/>
          <w:sz w:val="18"/>
          <w:szCs w:val="18"/>
          <w:color w:val="auto"/>
        </w:rPr>
        <w:t xml:space="preserve">Charges associated with withdrawal from certain underfunded multiemployer pension plans </w:t>
      </w:r>
      <w:r>
        <w:rPr>
          <w:rFonts w:ascii="Times New Roman" w:cs="Times New Roman" w:eastAsia="Times New Roman" w:hAnsi="Times New Roman"/>
          <w:sz w:val="18"/>
          <w:szCs w:val="18"/>
          <w:b w:val="1"/>
          <w:bCs w:val="1"/>
          <w:color w:val="auto"/>
        </w:rPr>
        <w:t>Net Income and Diluted EPS,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4"/>
          <w:szCs w:val="14"/>
          <w:b w:val="1"/>
          <w:bCs w:val="1"/>
          <w:color w:val="auto"/>
        </w:rPr>
        <w:t>Quarter Ended</w:t>
      </w:r>
    </w:p>
    <w:p>
      <w:pPr>
        <w:jc w:val="right"/>
        <w:ind w:right="1700"/>
        <w:spacing w:after="0"/>
        <w:rPr>
          <w:sz w:val="20"/>
          <w:szCs w:val="20"/>
          <w:color w:val="auto"/>
        </w:rPr>
      </w:pPr>
      <w:r>
        <w:rPr>
          <w:rFonts w:ascii="Times New Roman" w:cs="Times New Roman" w:eastAsia="Times New Roman" w:hAnsi="Times New Roman"/>
          <w:sz w:val="14"/>
          <w:szCs w:val="14"/>
          <w:b w:val="1"/>
          <w:bCs w:val="1"/>
          <w:color w:val="auto"/>
        </w:rPr>
        <w:t>June 30, 2015</w:t>
      </w:r>
    </w:p>
    <w:tbl>
      <w:tblPr>
        <w:tblLayout w:type="fixed"/>
        <w:tblInd w:w="0" w:type="dxa"/>
        <w:tblCellMar>
          <w:top w:w="0" w:type="dxa"/>
          <w:left w:w="0" w:type="dxa"/>
          <w:bottom w:w="0" w:type="dxa"/>
          <w:right w:w="0" w:type="dxa"/>
        </w:tblCellMar>
      </w:tblPr>
      <w:tr>
        <w:trPr>
          <w:trHeight w:val="117"/>
        </w:trPr>
        <w:tc>
          <w:tcPr>
            <w:tcW w:w="620" w:type="dxa"/>
            <w:vAlign w:val="bottom"/>
            <w:tcBorders>
              <w:top w:val="single" w:sz="8" w:color="auto"/>
            </w:tcBorders>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5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Tax</w:t>
            </w:r>
          </w:p>
        </w:tc>
        <w:tc>
          <w:tcPr>
            <w:tcW w:w="4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2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Share Amount</w:t>
            </w:r>
          </w:p>
        </w:tc>
        <w:tc>
          <w:tcPr>
            <w:tcW w:w="0" w:type="dxa"/>
            <w:vAlign w:val="bottom"/>
          </w:tcPr>
          <w:p>
            <w:pPr>
              <w:spacing w:after="0"/>
              <w:rPr>
                <w:sz w:val="1"/>
                <w:szCs w:val="1"/>
                <w:color w:val="auto"/>
              </w:rPr>
            </w:pPr>
          </w:p>
        </w:tc>
      </w:tr>
      <w:tr>
        <w:trPr>
          <w:trHeight w:val="173"/>
        </w:trPr>
        <w:tc>
          <w:tcPr>
            <w:tcW w:w="6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Pr>
          <w:p>
            <w:pPr>
              <w:spacing w:after="0"/>
              <w:rPr>
                <w:sz w:val="15"/>
                <w:szCs w:val="15"/>
                <w:color w:val="auto"/>
              </w:rPr>
            </w:pPr>
          </w:p>
        </w:tc>
        <w:tc>
          <w:tcPr>
            <w:tcW w:w="12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3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w w:val="95"/>
              </w:rPr>
              <w:t>0.60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4"/>
                <w:szCs w:val="24"/>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w:t>
            </w:r>
          </w:p>
        </w:tc>
        <w:tc>
          <w:tcPr>
            <w:tcW w:w="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w w:val="98"/>
              </w:rPr>
              <w:t>0.67(a)</w:t>
            </w:r>
          </w:p>
        </w:tc>
        <w:tc>
          <w:tcPr>
            <w:tcW w:w="0" w:type="dxa"/>
            <w:vAlign w:val="bottom"/>
          </w:tcPr>
          <w:p>
            <w:pPr>
              <w:spacing w:after="0"/>
              <w:rPr>
                <w:sz w:val="1"/>
                <w:szCs w:val="1"/>
                <w:color w:val="auto"/>
              </w:rPr>
            </w:pP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2">
            <w:col w:w="6980" w:space="540"/>
            <w:col w:w="3900"/>
          </w:cols>
          <w:pgMar w:left="240" w:top="266"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20" w:type="dxa"/>
            <w:vAlign w:val="bottom"/>
            <w:gridSpan w:val="3"/>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9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After-Tax</w:t>
            </w:r>
          </w:p>
        </w:tc>
        <w:tc>
          <w:tcPr>
            <w:tcW w:w="1420" w:type="dxa"/>
            <w:vAlign w:val="bottom"/>
            <w:gridSpan w:val="3"/>
          </w:tcPr>
          <w:p>
            <w:pPr>
              <w:jc w:val="center"/>
              <w:ind w:right="675"/>
              <w:spacing w:after="0" w:line="118" w:lineRule="exact"/>
              <w:rPr>
                <w:sz w:val="20"/>
                <w:szCs w:val="20"/>
                <w:color w:val="auto"/>
              </w:rPr>
            </w:pPr>
            <w:r>
              <w:rPr>
                <w:rFonts w:ascii="Times New Roman" w:cs="Times New Roman" w:eastAsia="Times New Roman" w:hAnsi="Times New Roman"/>
                <w:sz w:val="13"/>
                <w:szCs w:val="13"/>
                <w:b w:val="1"/>
                <w:bCs w:val="1"/>
                <w:color w:val="auto"/>
              </w:rPr>
              <w:t>Tax</w:t>
            </w:r>
          </w:p>
        </w:tc>
        <w:tc>
          <w:tcPr>
            <w:tcW w:w="1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149"/>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Earnings Per Diluted Share</w:t>
            </w:r>
          </w:p>
        </w:tc>
        <w:tc>
          <w:tcPr>
            <w:tcW w:w="1180" w:type="dxa"/>
            <w:vAlign w:val="bottom"/>
            <w:gridSpan w:val="3"/>
            <w:vMerge w:val="continue"/>
          </w:tcPr>
          <w:p>
            <w:pPr>
              <w:spacing w:after="0"/>
              <w:rPr>
                <w:sz w:val="12"/>
                <w:szCs w:val="12"/>
                <w:color w:val="auto"/>
              </w:rPr>
            </w:pPr>
          </w:p>
        </w:tc>
        <w:tc>
          <w:tcPr>
            <w:tcW w:w="1420" w:type="dxa"/>
            <w:vAlign w:val="bottom"/>
            <w:gridSpan w:val="3"/>
          </w:tcPr>
          <w:p>
            <w:pPr>
              <w:jc w:val="center"/>
              <w:ind w:right="675"/>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520" w:type="dxa"/>
            <w:vAlign w:val="bottom"/>
            <w:gridSpan w:val="2"/>
            <w:vMerge w:val="continue"/>
          </w:tcPr>
          <w:p>
            <w:pPr>
              <w:spacing w:after="0"/>
              <w:rPr>
                <w:sz w:val="15"/>
                <w:szCs w:val="15"/>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gridSpan w:val="3"/>
          </w:tcPr>
          <w:p>
            <w:pPr>
              <w:jc w:val="center"/>
              <w:ind w:right="695"/>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 as reported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5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w w:val="95"/>
              </w:rPr>
              <w:t>0.45</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 to Net Income and Diluted EPS: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impairments and unusual items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Partial withdrawal from multiemployer pension plans</w:t>
            </w:r>
          </w:p>
        </w:tc>
        <w:tc>
          <w:tcPr>
            <w:tcW w:w="220" w:type="dxa"/>
            <w:vAlign w:val="bottom"/>
          </w:tcPr>
          <w:p>
            <w:pPr>
              <w:spacing w:after="0"/>
              <w:rPr>
                <w:sz w:val="19"/>
                <w:szCs w:val="19"/>
                <w:color w:val="auto"/>
              </w:rPr>
            </w:pPr>
          </w:p>
        </w:tc>
        <w:tc>
          <w:tcPr>
            <w:tcW w:w="9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0.15</w:t>
            </w:r>
          </w:p>
        </w:tc>
        <w:tc>
          <w:tcPr>
            <w:tcW w:w="0" w:type="dxa"/>
            <w:vAlign w:val="bottom"/>
          </w:tcPr>
          <w:p>
            <w:pPr>
              <w:spacing w:after="0"/>
              <w:rPr>
                <w:sz w:val="1"/>
                <w:szCs w:val="1"/>
                <w:color w:val="auto"/>
              </w:rPr>
            </w:pPr>
          </w:p>
        </w:tc>
      </w:tr>
      <w:tr>
        <w:trPr>
          <w:trHeight w:val="232"/>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 as adjusted</w:t>
            </w: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279</w:t>
            </w: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b w:val="1"/>
                <w:bCs w:val="1"/>
                <w:color w:val="auto"/>
                <w:w w:val="95"/>
              </w:rPr>
              <w:t>0.60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Further Adjustment to Net Income and Diluted EPS: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Earnings from businesses and assets divested in 2014 </w:t>
            </w:r>
            <w:r>
              <w:rPr>
                <w:rFonts w:ascii="Times New Roman" w:cs="Times New Roman" w:eastAsia="Times New Roman" w:hAnsi="Times New Roman"/>
                <w:sz w:val="18"/>
                <w:szCs w:val="18"/>
                <w:b w:val="1"/>
                <w:bCs w:val="1"/>
                <w:color w:val="auto"/>
              </w:rPr>
              <w:t>(b)</w:t>
            </w:r>
          </w:p>
        </w:tc>
        <w:tc>
          <w:tcPr>
            <w:tcW w:w="22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w:t>
            </w: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3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(0.02)</w:t>
            </w:r>
            <w:r>
              <w:rPr>
                <w:rFonts w:ascii="Times New Roman" w:cs="Times New Roman" w:eastAsia="Times New Roman" w:hAnsi="Times New Roman"/>
                <w:sz w:val="18"/>
                <w:szCs w:val="18"/>
                <w:b w:val="1"/>
                <w:bCs w:val="1"/>
                <w:color w:val="auto"/>
              </w:rPr>
              <w:t>(b)</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Further Adjusted Net Income and Diluted EPS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270</w:t>
            </w:r>
          </w:p>
        </w:tc>
        <w:tc>
          <w:tcPr>
            <w:tcW w:w="142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0.58(a)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560" w:hanging="452"/>
        <w:spacing w:after="0" w:line="261" w:lineRule="auto"/>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Second quarter 2015 as-adjusted earnings per diluted share increased $0.09, or almost 16%, as compared with the second quarter of 2014 results adjusted to exclude the earnings from businesses and assets divested in 2014.</w:t>
      </w: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Primarily includes the divestiture of our waste-to-energy business and other solid waste assets.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66" w:right="2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2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11"/>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Quarter Ended June 30, 2015</w:t>
            </w: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Tax Expense Reconciliation and Effective Tax Rate</w:t>
            </w: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Pre-Tax Income</w:t>
            </w:r>
          </w:p>
        </w:tc>
        <w:tc>
          <w:tcPr>
            <w:tcW w:w="640" w:type="dxa"/>
            <w:vAlign w:val="bottom"/>
          </w:tcPr>
          <w:p>
            <w:pPr>
              <w:spacing w:after="0"/>
              <w:rPr>
                <w:sz w:val="10"/>
                <w:szCs w:val="10"/>
                <w:color w:val="auto"/>
              </w:rPr>
            </w:pPr>
          </w:p>
        </w:tc>
        <w:tc>
          <w:tcPr>
            <w:tcW w:w="86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Tax Expense</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4"/>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Effective Tax</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240" w:type="dxa"/>
            <w:vAlign w:val="bottom"/>
            <w:gridSpan w:val="2"/>
            <w:vMerge w:val="continue"/>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gridSpan w:val="6"/>
            <w:vMerge w:val="continue"/>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Rate (a)</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7220" w:type="dxa"/>
            <w:vAlign w:val="bottom"/>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4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389</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29.6%</w:t>
            </w:r>
          </w:p>
        </w:tc>
        <w:tc>
          <w:tcPr>
            <w:tcW w:w="0" w:type="dxa"/>
            <w:vAlign w:val="bottom"/>
          </w:tcPr>
          <w:p>
            <w:pPr>
              <w:spacing w:after="0"/>
              <w:rPr>
                <w:sz w:val="1"/>
                <w:szCs w:val="1"/>
                <w:color w:val="auto"/>
              </w:rPr>
            </w:pPr>
          </w:p>
        </w:tc>
      </w:tr>
      <w:tr>
        <w:trPr>
          <w:trHeight w:val="32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 to Tax Expense:</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22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Charges associated with withdrawal from certain underfunded multiemployer pension</w:t>
            </w: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plans</w:t>
            </w:r>
          </w:p>
        </w:tc>
        <w:tc>
          <w:tcPr>
            <w:tcW w:w="4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10"/>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Quarters Ended</w:t>
            </w: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Expenses and Adjusted Operating Expenses as a Percent of Revenues</w:t>
            </w:r>
          </w:p>
        </w:tc>
        <w:tc>
          <w:tcPr>
            <w:tcW w:w="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2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reported:</w:t>
            </w:r>
          </w:p>
        </w:tc>
        <w:tc>
          <w:tcPr>
            <w:tcW w:w="4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revenues</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7"/>
          </w:tcPr>
          <w:p>
            <w:pPr>
              <w:ind w:left="480"/>
              <w:spacing w:after="0"/>
              <w:rPr>
                <w:sz w:val="20"/>
                <w:szCs w:val="20"/>
                <w:color w:val="auto"/>
              </w:rPr>
            </w:pPr>
            <w:r>
              <w:rPr>
                <w:rFonts w:ascii="Times New Roman" w:cs="Times New Roman" w:eastAsia="Times New Roman" w:hAnsi="Times New Roman"/>
                <w:sz w:val="18"/>
                <w:szCs w:val="18"/>
                <w:color w:val="auto"/>
              </w:rPr>
              <w:t>$3,315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$3,561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expenses</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7"/>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$2,163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revenues - Businesses and assets divested in 2014</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expenses - Withdrawal from multiemployer pension plans</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gridSpan w:val="5"/>
          </w:tcPr>
          <w:p>
            <w:pPr>
              <w:ind w:left="48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expenses - Businesses and assets divested in 2014</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5"/>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revenues</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7"/>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$3,315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Operating expenses </w:t>
            </w:r>
            <w:r>
              <w:rPr>
                <w:rFonts w:ascii="Times New Roman" w:cs="Times New Roman" w:eastAsia="Times New Roman" w:hAnsi="Times New Roman"/>
                <w:sz w:val="18"/>
                <w:szCs w:val="18"/>
                <w:b w:val="1"/>
                <w:bCs w:val="1"/>
                <w:color w:val="auto"/>
              </w:rPr>
              <w:t>(b)</w:t>
            </w: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7"/>
          </w:tcPr>
          <w:p>
            <w:pPr>
              <w:ind w:left="480"/>
              <w:spacing w:after="0"/>
              <w:rPr>
                <w:sz w:val="20"/>
                <w:szCs w:val="20"/>
                <w:color w:val="auto"/>
              </w:rPr>
            </w:pPr>
            <w:r>
              <w:rPr>
                <w:rFonts w:ascii="Times New Roman" w:cs="Times New Roman" w:eastAsia="Times New Roman" w:hAnsi="Times New Roman"/>
                <w:sz w:val="18"/>
                <w:szCs w:val="18"/>
                <w:color w:val="auto"/>
              </w:rPr>
              <w:t>$2,108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$2,164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7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Expenses as a Percent of Revenues (b)</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63.6%</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64.2%</w:t>
            </w:r>
          </w:p>
        </w:tc>
        <w:tc>
          <w:tcPr>
            <w:tcW w:w="0" w:type="dxa"/>
            <w:vAlign w:val="bottom"/>
          </w:tcPr>
          <w:p>
            <w:pPr>
              <w:spacing w:after="0"/>
              <w:rPr>
                <w:sz w:val="1"/>
                <w:szCs w:val="1"/>
                <w:color w:val="auto"/>
              </w:rPr>
            </w:pPr>
          </w:p>
        </w:tc>
      </w:tr>
      <w:tr>
        <w:trPr>
          <w:trHeight w:val="45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2015 Projected Free Cash Flow Reconciliation </w:t>
            </w:r>
            <w:r>
              <w:rPr>
                <w:rFonts w:ascii="Times New Roman" w:cs="Times New Roman" w:eastAsia="Times New Roman" w:hAnsi="Times New Roman"/>
                <w:sz w:val="18"/>
                <w:szCs w:val="18"/>
                <w:b w:val="1"/>
                <w:bCs w:val="1"/>
                <w:color w:val="auto"/>
              </w:rPr>
              <w:t>(c)</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Scenario 1</w:t>
            </w:r>
          </w:p>
        </w:tc>
        <w:tc>
          <w:tcPr>
            <w:tcW w:w="280" w:type="dxa"/>
            <w:vAlign w:val="bottom"/>
          </w:tcPr>
          <w:p>
            <w:pPr>
              <w:spacing w:after="0"/>
              <w:rPr>
                <w:sz w:val="24"/>
                <w:szCs w:val="24"/>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Scenario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w w:val="98"/>
              </w:rPr>
              <w:t>(1,200)</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1,450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40" w:hanging="452"/>
        <w:spacing w:after="0" w:line="261" w:lineRule="auto"/>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calculates its effective tax rate based on actual dollars. Rounding differences occurred when the effective tax rate was calculated using Pre-tax Income and Tax Expense amounts included in the table above, as these items have been rounded in millions.</w:t>
      </w:r>
    </w:p>
    <w:p>
      <w:pPr>
        <w:ind w:left="460" w:right="60" w:hanging="452"/>
        <w:spacing w:after="0" w:line="250" w:lineRule="auto"/>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Excluding the operating expense associated with withdrawal from certain underfunded multiemployer pension plans in the second quarter of 2015 and 2014, as well as operating expense associated with businesses and assets divested in 2014, the adjusted operating expense in the second quarter of 2015 improved $56 million, or 60 basis points, to 63.6% of revenues as compared with prior year.</w:t>
      </w:r>
    </w:p>
    <w:p>
      <w:pPr>
        <w:spacing w:after="0" w:line="1" w:lineRule="exact"/>
        <w:rPr>
          <w:rFonts w:ascii="Times New Roman" w:cs="Times New Roman" w:eastAsia="Times New Roman" w:hAnsi="Times New Roman"/>
          <w:sz w:val="18"/>
          <w:szCs w:val="18"/>
          <w:b w:val="1"/>
          <w:bCs w:val="1"/>
          <w:color w:val="auto"/>
        </w:rPr>
      </w:pPr>
    </w:p>
    <w:p>
      <w:pPr>
        <w:ind w:left="460" w:right="120" w:hanging="452"/>
        <w:spacing w:after="0" w:line="261" w:lineRule="auto"/>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reconciliation includes two scenarios that illustrate our projected free cash flow range for 2015. The amounts used in the reconciliation are subject to many variables, some of which are not under our control and, therefore, are not necessarily indicative of actual results.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66"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0" w:type="dxa"/>
            <w:vAlign w:val="bottom"/>
          </w:tcPr>
          <w:p>
            <w:pPr>
              <w:spacing w:after="0"/>
              <w:rPr>
                <w:sz w:val="1"/>
                <w:szCs w:val="1"/>
                <w:color w:val="auto"/>
              </w:rPr>
            </w:pPr>
          </w:p>
        </w:tc>
      </w:tr>
      <w:tr>
        <w:trPr>
          <w:trHeight w:val="117"/>
        </w:trPr>
        <w:tc>
          <w:tcPr>
            <w:tcW w:w="9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from Operations, Adjusted Operating EBITDA and each as a percent of Revenues</w:t>
            </w:r>
          </w:p>
        </w:tc>
        <w:tc>
          <w:tcPr>
            <w:tcW w:w="20" w:type="dxa"/>
            <w:vAlign w:val="bottom"/>
          </w:tcPr>
          <w:p>
            <w:pPr>
              <w:spacing w:after="0"/>
              <w:rPr>
                <w:sz w:val="10"/>
                <w:szCs w:val="10"/>
                <w:color w:val="auto"/>
              </w:rPr>
            </w:pPr>
          </w:p>
        </w:tc>
        <w:tc>
          <w:tcPr>
            <w:tcW w:w="124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1260" w:type="dxa"/>
            <w:vAlign w:val="bottom"/>
            <w:gridSpan w:val="5"/>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$3,315</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as reported</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502</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Income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xml:space="preserve">Charges associated with withdrawal from certain underfunded multiemployer pension plans </w:t>
            </w:r>
            <w:r>
              <w:rPr>
                <w:rFonts w:ascii="Times New Roman" w:cs="Times New Roman" w:eastAsia="Times New Roman" w:hAnsi="Times New Roman"/>
                <w:sz w:val="18"/>
                <w:szCs w:val="18"/>
                <w:b w:val="1"/>
                <w:bCs w:val="1"/>
                <w:color w:val="auto"/>
              </w:rPr>
              <w:t>(a)</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557(a)</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16.8%(a)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740" w:type="dxa"/>
            <w:vAlign w:val="bottom"/>
            <w:gridSpan w:val="2"/>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EFF"/>
          </w:tcPr>
          <w:p>
            <w:pPr>
              <w:jc w:val="right"/>
              <w:ind w:right="448"/>
              <w:spacing w:after="0"/>
              <w:rPr>
                <w:sz w:val="20"/>
                <w:szCs w:val="20"/>
                <w:color w:val="auto"/>
              </w:rPr>
            </w:pPr>
            <w:r>
              <w:rPr>
                <w:rFonts w:ascii="Times New Roman" w:cs="Times New Roman" w:eastAsia="Times New Roman" w:hAnsi="Times New Roman"/>
                <w:sz w:val="18"/>
                <w:szCs w:val="18"/>
                <w:b w:val="1"/>
                <w:bCs w:val="1"/>
                <w:color w:val="auto"/>
              </w:rPr>
              <w:t>879(b)</w:t>
            </w:r>
          </w:p>
        </w:tc>
        <w:tc>
          <w:tcPr>
            <w:tcW w:w="10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26.5%(b)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gridSpan w:val="5"/>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80" w:type="dxa"/>
            <w:vAlign w:val="bottom"/>
            <w:gridSpan w:val="3"/>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0" w:type="dxa"/>
            <w:vAlign w:val="bottom"/>
          </w:tcPr>
          <w:p>
            <w:pPr>
              <w:spacing w:after="0"/>
              <w:rPr>
                <w:sz w:val="1"/>
                <w:szCs w:val="1"/>
                <w:color w:val="auto"/>
              </w:rPr>
            </w:pPr>
          </w:p>
        </w:tc>
      </w:tr>
      <w:tr>
        <w:trPr>
          <w:trHeight w:val="117"/>
        </w:trPr>
        <w:tc>
          <w:tcPr>
            <w:tcW w:w="9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from Operations, Adjusted Operating EBITDA and each as a percent of Adjusted Revenues</w:t>
            </w:r>
          </w:p>
        </w:tc>
        <w:tc>
          <w:tcPr>
            <w:tcW w:w="20" w:type="dxa"/>
            <w:vAlign w:val="bottom"/>
          </w:tcPr>
          <w:p>
            <w:pPr>
              <w:spacing w:after="0"/>
              <w:rPr>
                <w:sz w:val="10"/>
                <w:szCs w:val="10"/>
                <w:color w:val="auto"/>
              </w:rPr>
            </w:pPr>
          </w:p>
        </w:tc>
        <w:tc>
          <w:tcPr>
            <w:tcW w:w="1240" w:type="dxa"/>
            <w:vAlign w:val="bottom"/>
            <w:tcBorders>
              <w:top w:val="single" w:sz="8" w:color="auto"/>
            </w:tcBorders>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91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0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1260" w:type="dxa"/>
            <w:vAlign w:val="bottom"/>
            <w:gridSpan w:val="5"/>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$3,561</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 to Operating Revenues: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Divested businesses and assets in 2014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b w:val="1"/>
                <w:bCs w:val="1"/>
                <w:color w:val="auto"/>
              </w:rPr>
              <w:t>(189)</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Operating Revenues</w:t>
            </w:r>
          </w:p>
        </w:tc>
        <w:tc>
          <w:tcPr>
            <w:tcW w:w="20" w:type="dxa"/>
            <w:vAlign w:val="bottom"/>
          </w:tcPr>
          <w:p>
            <w:pPr>
              <w:spacing w:after="0"/>
              <w:rPr>
                <w:sz w:val="20"/>
                <w:szCs w:val="20"/>
                <w:color w:val="auto"/>
              </w:rPr>
            </w:pPr>
          </w:p>
        </w:tc>
        <w:tc>
          <w:tcPr>
            <w:tcW w:w="5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$3,372</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9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as reported</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b w:val="1"/>
                <w:bCs w:val="1"/>
                <w:color w:val="auto"/>
              </w:rPr>
              <w:t>532</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Income from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 impairments and unusual items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Partial withdrawal from multiemployer pension plans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668"/>
              <w:spacing w:after="0"/>
              <w:rPr>
                <w:sz w:val="20"/>
                <w:szCs w:val="20"/>
                <w:color w:val="auto"/>
              </w:rPr>
            </w:pPr>
            <w:r>
              <w:rPr>
                <w:rFonts w:ascii="Times New Roman" w:cs="Times New Roman" w:eastAsia="Times New Roman" w:hAnsi="Times New Roman"/>
                <w:sz w:val="18"/>
                <w:szCs w:val="18"/>
                <w:color w:val="auto"/>
              </w:rPr>
              <w:t>3</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Businesses and assets divested in 2014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8"/>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16.2%(a)</w:t>
            </w:r>
          </w:p>
        </w:tc>
        <w:tc>
          <w:tcPr>
            <w:tcW w:w="0" w:type="dxa"/>
            <w:vAlign w:val="bottom"/>
          </w:tcPr>
          <w:p>
            <w:pPr>
              <w:spacing w:after="0" w:line="20" w:lineRule="exact"/>
              <w:rPr>
                <w:sz w:val="1"/>
                <w:szCs w:val="1"/>
                <w:color w:val="auto"/>
              </w:rPr>
            </w:pPr>
          </w:p>
        </w:tc>
      </w:tr>
      <w:tr>
        <w:trPr>
          <w:trHeight w:val="223"/>
        </w:trPr>
        <w:tc>
          <w:tcPr>
            <w:tcW w:w="910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3"/>
          </w:tcPr>
          <w:p>
            <w:pPr>
              <w:jc w:val="right"/>
              <w:ind w:right="468"/>
              <w:spacing w:after="0"/>
              <w:rPr>
                <w:sz w:val="20"/>
                <w:szCs w:val="20"/>
                <w:color w:val="auto"/>
              </w:rPr>
            </w:pPr>
            <w:r>
              <w:rPr>
                <w:rFonts w:ascii="Times New Roman" w:cs="Times New Roman" w:eastAsia="Times New Roman" w:hAnsi="Times New Roman"/>
                <w:sz w:val="18"/>
                <w:szCs w:val="18"/>
                <w:b w:val="1"/>
                <w:bCs w:val="1"/>
                <w:color w:val="auto"/>
              </w:rPr>
              <w:t>545(a)</w:t>
            </w:r>
          </w:p>
        </w:tc>
        <w:tc>
          <w:tcPr>
            <w:tcW w:w="10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Depreciation and amortization </w:t>
            </w:r>
            <w:r>
              <w:rPr>
                <w:rFonts w:ascii="Times New Roman" w:cs="Times New Roman" w:eastAsia="Times New Roman" w:hAnsi="Times New Roman"/>
                <w:sz w:val="18"/>
                <w:szCs w:val="18"/>
                <w:b w:val="1"/>
                <w:bCs w:val="1"/>
                <w:color w:val="auto"/>
              </w:rPr>
              <w:t>(c)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68"/>
              <w:spacing w:after="0"/>
              <w:rPr>
                <w:sz w:val="20"/>
                <w:szCs w:val="20"/>
                <w:color w:val="auto"/>
              </w:rPr>
            </w:pPr>
            <w:r>
              <w:rPr>
                <w:rFonts w:ascii="Times New Roman" w:cs="Times New Roman" w:eastAsia="Times New Roman" w:hAnsi="Times New Roman"/>
                <w:sz w:val="18"/>
                <w:szCs w:val="18"/>
                <w:color w:val="auto"/>
              </w:rPr>
              <w:t>323</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868</w:t>
            </w:r>
          </w:p>
        </w:tc>
        <w:tc>
          <w:tcPr>
            <w:tcW w:w="740" w:type="dxa"/>
            <w:vAlign w:val="bottom"/>
            <w:gridSpan w:val="2"/>
          </w:tcPr>
          <w:p>
            <w:pPr>
              <w:jc w:val="right"/>
              <w:ind w:right="448"/>
              <w:spacing w:after="0"/>
              <w:rPr>
                <w:sz w:val="20"/>
                <w:szCs w:val="20"/>
                <w:color w:val="auto"/>
              </w:rPr>
            </w:pPr>
            <w:r>
              <w:rPr>
                <w:rFonts w:ascii="Times New Roman" w:cs="Times New Roman" w:eastAsia="Times New Roman" w:hAnsi="Times New Roman"/>
                <w:sz w:val="18"/>
                <w:szCs w:val="18"/>
                <w:b w:val="1"/>
                <w:bCs w:val="1"/>
                <w:color w:val="auto"/>
                <w:w w:val="90"/>
              </w:rPr>
              <w:t>(b)</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25.7%(b)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right="240" w:hanging="452"/>
        <w:spacing w:after="0" w:line="261" w:lineRule="auto"/>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income from operations for the second quarter of 2015 increased $12 million, or 60 basis points as a percent of revenues, as compared with adjusted results for the same period prior year.</w:t>
      </w:r>
    </w:p>
    <w:p>
      <w:pPr>
        <w:ind w:left="460" w:hanging="452"/>
        <w:spacing w:after="0" w:line="250" w:lineRule="auto"/>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Adjusted operating EBITDA increased $11 million, or 80 basis points as a percent of revenues, compared with adjusted results for the same period prior year.</w:t>
      </w:r>
    </w:p>
    <w:p>
      <w:pPr>
        <w:ind w:left="460" w:right="940" w:hanging="452"/>
        <w:spacing w:after="0" w:line="261" w:lineRule="auto"/>
        <w:tabs>
          <w:tab w:leader="none" w:pos="4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Depreciation and amortization has been adjusted to exclude amounts attributed to businesses and assets divested in 2014. See page 12 for a reconciliation.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66"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Data - Q2 2014 Impact of Divestitures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The following table presents certain financial measures that have been adjusted to exclude amounts attributed to divestitures during 2014, primarily our waste-to-energy business and other solid waste assets. These pro-forma 2014 financial measures are non-GAAP measures and should not be considered a substitute for the as-reported amounts. We have included this information because the Company had significant divestitures in 2014; accordingly, management believes that presenting certain financial measures as adjusted to exclude amounts attributed to divested operations and assets will provide investors with a more meaningful comparison to 2015 results.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Quarter ended June 30, 2014</w:t>
            </w: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LESS: Amounts</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Financial Information</w:t>
            </w:r>
          </w:p>
        </w:tc>
        <w:tc>
          <w:tcPr>
            <w:tcW w:w="64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Results</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right"/>
              <w:ind w:right="6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Attributed to</w:t>
            </w:r>
          </w:p>
        </w:tc>
        <w:tc>
          <w:tcPr>
            <w:tcW w:w="4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Pro-Forma</w:t>
            </w:r>
          </w:p>
        </w:tc>
        <w:tc>
          <w:tcPr>
            <w:tcW w:w="0" w:type="dxa"/>
            <w:vAlign w:val="bottom"/>
          </w:tcPr>
          <w:p>
            <w:pPr>
              <w:spacing w:after="0"/>
              <w:rPr>
                <w:sz w:val="1"/>
                <w:szCs w:val="1"/>
                <w:color w:val="auto"/>
              </w:rPr>
            </w:pPr>
          </w:p>
        </w:tc>
      </w:tr>
      <w:tr>
        <w:trPr>
          <w:trHeight w:val="173"/>
        </w:trPr>
        <w:tc>
          <w:tcPr>
            <w:tcW w:w="780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4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3,561</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5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3,372</w:t>
            </w: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 (a)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3"/>
              </w:rPr>
              <w:t>2,298</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134</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2,164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353</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13</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340(b)</w:t>
            </w:r>
          </w:p>
        </w:tc>
        <w:tc>
          <w:tcPr>
            <w:tcW w:w="0" w:type="dxa"/>
            <w:vAlign w:val="bottom"/>
          </w:tcPr>
          <w:p>
            <w:pPr>
              <w:spacing w:after="0"/>
              <w:rPr>
                <w:sz w:val="1"/>
                <w:szCs w:val="1"/>
                <w:color w:val="auto"/>
              </w:rPr>
            </w:pPr>
          </w:p>
        </w:tc>
      </w:tr>
      <w:tr>
        <w:trPr>
          <w:trHeight w:val="32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339</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323</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571</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26</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545</w:t>
            </w:r>
          </w:p>
        </w:tc>
        <w:tc>
          <w:tcPr>
            <w:tcW w:w="0" w:type="dxa"/>
            <w:vAlign w:val="bottom"/>
          </w:tcPr>
          <w:p>
            <w:pPr>
              <w:spacing w:after="0"/>
              <w:rPr>
                <w:sz w:val="1"/>
                <w:szCs w:val="1"/>
                <w:color w:val="auto"/>
              </w:rPr>
            </w:pPr>
          </w:p>
        </w:tc>
      </w:tr>
      <w:tr>
        <w:trPr>
          <w:trHeight w:val="32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EBITDA (a)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910</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42</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868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279</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9</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270</w:t>
            </w:r>
          </w:p>
        </w:tc>
        <w:tc>
          <w:tcPr>
            <w:tcW w:w="0" w:type="dxa"/>
            <w:vAlign w:val="bottom"/>
          </w:tcPr>
          <w:p>
            <w:pPr>
              <w:spacing w:after="0"/>
              <w:rPr>
                <w:sz w:val="1"/>
                <w:szCs w:val="1"/>
                <w:color w:val="auto"/>
              </w:rPr>
            </w:pPr>
          </w:p>
        </w:tc>
      </w:tr>
      <w:tr>
        <w:trPr>
          <w:trHeight w:val="32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Per Diluted Share (a)</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0.60</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0.02</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0.58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555</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539</w:t>
            </w:r>
          </w:p>
        </w:tc>
        <w:tc>
          <w:tcPr>
            <w:tcW w:w="0" w:type="dxa"/>
            <w:vAlign w:val="bottom"/>
          </w:tcPr>
          <w:p>
            <w:pPr>
              <w:spacing w:after="0"/>
              <w:rPr>
                <w:sz w:val="1"/>
                <w:szCs w:val="1"/>
                <w:color w:val="auto"/>
              </w:rPr>
            </w:pPr>
          </w:p>
        </w:tc>
      </w:tr>
      <w:tr>
        <w:trPr>
          <w:trHeight w:val="32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208</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3</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Proceeds from Divestitures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100</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4"/>
        </w:trPr>
        <w:tc>
          <w:tcPr>
            <w:tcW w:w="7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447</w:t>
            </w:r>
          </w:p>
        </w:tc>
        <w:tc>
          <w:tcPr>
            <w:tcW w:w="54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113</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334(c)</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340" w:hanging="452"/>
        <w:spacing w:after="0" w:line="257" w:lineRule="auto"/>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These amounts have been adjusted for items excluded from the Company’s as-adjusted results in the second quarter of 2014. For a reconciliation of these adjusted amounts to the most comparable GAAP measure, please see: operating expense on page 10; income from operations and operating EBITDA on page 11 and net income and earnings per diluted share on page 9.</w:t>
      </w:r>
    </w:p>
    <w:p>
      <w:pPr>
        <w:spacing w:after="0" w:line="1" w:lineRule="exact"/>
        <w:rPr>
          <w:rFonts w:ascii="Times New Roman" w:cs="Times New Roman" w:eastAsia="Times New Roman" w:hAnsi="Times New Roman"/>
          <w:sz w:val="18"/>
          <w:szCs w:val="18"/>
          <w:b w:val="1"/>
          <w:bCs w:val="1"/>
          <w:color w:val="auto"/>
        </w:rPr>
      </w:pPr>
    </w:p>
    <w:p>
      <w:pPr>
        <w:ind w:left="460" w:right="420" w:hanging="452"/>
        <w:spacing w:after="0" w:line="250" w:lineRule="auto"/>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As-reported SG&amp;A expenses for the second quarter of 2015 were $322 million. As a result, after excluding divestitures from the second quarter of 2014, SG&amp;A expenses improved by $18 million, or 40 basis points, to 9.7% of revenues, as compared with the prior year period.</w:t>
      </w:r>
    </w:p>
    <w:p>
      <w:pPr>
        <w:ind w:left="460" w:right="260" w:hanging="452"/>
        <w:spacing w:after="0" w:line="255" w:lineRule="auto"/>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Free cash flow was $579 million in the second quarter of 2015. Excluding estimated free cash flow from businesses and assets divested in 2014, free cash flow improved $245 million when compared with the prior year period. Please see note (b) to the earnings press release for a definition and additional information regarding our use of this non-GAAP measure.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66"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Data - 2014 Impact of Divestitures by Quarter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following table presents certain financial results attributed to divestitures during 2014, primarily our waste-to-energy business and other solid waste assets. We have included this information because the Company had significant divestitures in 2014; accordingly, management believes that providing this additional detail regarding prior financial results attributed to divested operations and assets will help investors understand the Company’s 2015 financial projections and provide investors with more meaningful comparisons to 2015 results.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Q1 2014</w:t>
            </w:r>
          </w:p>
        </w:tc>
        <w:tc>
          <w:tcPr>
            <w:tcW w:w="18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Q2 2014</w:t>
            </w: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7"/>
              </w:rPr>
              <w:t>Q3 2014</w:t>
            </w:r>
          </w:p>
        </w:tc>
        <w:tc>
          <w:tcPr>
            <w:tcW w:w="7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Q4 2014</w:t>
            </w:r>
          </w:p>
        </w:tc>
        <w:tc>
          <w:tcPr>
            <w:tcW w:w="1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Year 2014</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5140" w:type="dxa"/>
            <w:vAlign w:val="bottom"/>
          </w:tcPr>
          <w:p>
            <w:pPr>
              <w:spacing w:after="0"/>
              <w:rPr>
                <w:sz w:val="7"/>
                <w:szCs w:val="7"/>
                <w:color w:val="auto"/>
              </w:rPr>
            </w:pPr>
          </w:p>
        </w:tc>
        <w:tc>
          <w:tcPr>
            <w:tcW w:w="18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Operating Revenues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253</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177</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Intercompany Operating Revenues</w:t>
            </w:r>
          </w:p>
        </w:tc>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Operating Revenues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218</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151</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734</w:t>
            </w:r>
          </w:p>
        </w:tc>
        <w:tc>
          <w:tcPr>
            <w:tcW w:w="0" w:type="dxa"/>
            <w:vAlign w:val="bottom"/>
          </w:tcPr>
          <w:p>
            <w:pPr>
              <w:spacing w:after="0"/>
              <w:rPr>
                <w:sz w:val="1"/>
                <w:szCs w:val="1"/>
                <w:color w:val="auto"/>
              </w:rPr>
            </w:pPr>
          </w:p>
        </w:tc>
      </w:tr>
      <w:tr>
        <w:trPr>
          <w:trHeight w:val="20"/>
        </w:trPr>
        <w:tc>
          <w:tcPr>
            <w:tcW w:w="516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155</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134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93</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20" w:type="dxa"/>
            <w:vAlign w:val="bottom"/>
          </w:tcPr>
          <w:p>
            <w:pPr>
              <w:spacing w:after="0"/>
              <w:rPr>
                <w:sz w:val="24"/>
                <w:szCs w:val="24"/>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36</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51</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164</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EBITDA (a)</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20" w:type="dxa"/>
            <w:vAlign w:val="bottom"/>
          </w:tcPr>
          <w:p>
            <w:pPr>
              <w:spacing w:after="0"/>
              <w:rPr>
                <w:sz w:val="24"/>
                <w:szCs w:val="24"/>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4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52</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Earnings per Diluted Share</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0.04</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0.02</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0.05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0.07</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0.18</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140</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Proceeds from Divestitures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166</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3"/>
              </w:rPr>
              <w:t>1,934</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2,253</w:t>
            </w:r>
          </w:p>
        </w:tc>
        <w:tc>
          <w:tcPr>
            <w:tcW w:w="0" w:type="dxa"/>
            <w:vAlign w:val="bottom"/>
          </w:tcPr>
          <w:p>
            <w:pPr>
              <w:spacing w:after="0"/>
              <w:rPr>
                <w:sz w:val="1"/>
                <w:szCs w:val="1"/>
                <w:color w:val="auto"/>
              </w:rPr>
            </w:pPr>
          </w:p>
        </w:tc>
      </w:tr>
      <w:tr>
        <w:trPr>
          <w:trHeight w:val="32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Free Cash Flow (b)</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221</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113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94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3"/>
              </w:rPr>
              <w:t>1,955</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2,383</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refers to GAAP income from operations, before depreciation and amortization, as operating EBITDA.</w:t>
      </w:r>
    </w:p>
    <w:p>
      <w:pPr>
        <w:spacing w:after="0" w:line="27"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see note (b) to the earnings press release for a definition and additional information regarding our use of this non-GAAP measure.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420"/>
      </w:cols>
      <w:pgMar w:left="240" w:top="26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lvl w:ilvl="1">
      <w:lvlJc w:val="left"/>
      <w:lvlText w:val="•"/>
      <w:numFmt w:val="bullet"/>
      <w:start w:val="1"/>
    </w:lvl>
  </w:abstractNum>
  <w:abstractNum w:abstractNumId="3">
    <w:nsid w:val="7545E146"/>
    <w:multiLevelType w:val="hybridMultilevel"/>
    <w:lvl w:ilvl="0">
      <w:lvlJc w:val="left"/>
      <w:lvlText w:val="(%1)"/>
      <w:numFmt w:val="lowerLetter"/>
      <w:start w:val="3"/>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2019-12-06T02:21:05Z</dcterms:created>
  <dcterms:modified xsi:type="dcterms:W3CDTF">2019-12-06T02:21:05Z</dcterms:modified>
</cp:coreProperties>
</file>