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220"/>
        <w:spacing w:after="0"/>
        <w:rPr>
          <w:sz w:val="20"/>
          <w:szCs w:val="20"/>
          <w:color w:val="auto"/>
        </w:rPr>
      </w:pPr>
      <w:r>
        <w:rPr>
          <w:rFonts w:ascii="Arial" w:cs="Arial" w:eastAsia="Arial" w:hAnsi="Arial"/>
          <w:sz w:val="18"/>
          <w:szCs w:val="18"/>
          <w:b w:val="1"/>
          <w:bCs w:val="1"/>
          <w:color w:val="auto"/>
        </w:rPr>
        <w:t>As filed with the Securities and Exchange Commission on May 27, 2004</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333-45066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83820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jc w:val="center"/>
        <w:ind w:right="7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POST-EFFECTIVE</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TO</w:t>
      </w:r>
    </w:p>
    <w:p>
      <w:pPr>
        <w:spacing w:after="0" w:line="292"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FORM S-8</w:t>
      </w:r>
    </w:p>
    <w:p>
      <w:pPr>
        <w:spacing w:after="0" w:line="344"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142875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6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6"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660"/>
          </w:cols>
          <w:pgMar w:left="1000" w:top="634" w:right="239" w:bottom="1440" w:gutter="0" w:footer="0" w:header="0"/>
        </w:sectPr>
      </w:pPr>
    </w:p>
    <w:p>
      <w:pPr>
        <w:spacing w:after="0" w:line="22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6"/>
          <w:szCs w:val="16"/>
          <w:color w:val="auto"/>
        </w:rPr>
        <w:t>(I.R.S. Employer Identification Number)</w:t>
      </w:r>
    </w:p>
    <w:p>
      <w:pPr>
        <w:spacing w:after="0" w:line="189" w:lineRule="exact"/>
        <w:rPr>
          <w:sz w:val="20"/>
          <w:szCs w:val="20"/>
          <w:color w:val="auto"/>
        </w:rPr>
      </w:pPr>
    </w:p>
    <w:p>
      <w:pPr>
        <w:sectPr>
          <w:pgSz w:w="11900" w:h="16838" w:orient="portrait"/>
          <w:cols w:equalWidth="0" w:num="2">
            <w:col w:w="5540" w:space="720"/>
            <w:col w:w="4400"/>
          </w:cols>
          <w:pgMar w:left="1000" w:top="634" w:right="239" w:bottom="1440" w:gutter="0" w:footer="0" w:header="0"/>
          <w:type w:val="continuous"/>
        </w:sectPr>
      </w:pPr>
    </w:p>
    <w:p>
      <w:pPr>
        <w:jc w:val="center"/>
        <w:ind w:right="740"/>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157480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780" w:right="1520"/>
        <w:spacing w:after="0" w:line="275" w:lineRule="auto"/>
        <w:rPr>
          <w:sz w:val="20"/>
          <w:szCs w:val="20"/>
          <w:color w:val="auto"/>
        </w:rPr>
      </w:pPr>
      <w:r>
        <w:rPr>
          <w:rFonts w:ascii="Arial" w:cs="Arial" w:eastAsia="Arial" w:hAnsi="Arial"/>
          <w:sz w:val="18"/>
          <w:szCs w:val="18"/>
          <w:b w:val="1"/>
          <w:bCs w:val="1"/>
          <w:color w:val="auto"/>
        </w:rPr>
        <w:t xml:space="preserve">WASTE MANAGEMENT, INC. 2000 STOCK INCENTIVE PLAN WASTE MANAGEMENT, INC. 1996 STOCK OPTION PLAN FOR NON-EMPLOYEE DIRECTORS </w:t>
      </w:r>
      <w:r>
        <w:rPr>
          <w:rFonts w:ascii="Arial" w:cs="Arial" w:eastAsia="Arial" w:hAnsi="Arial"/>
          <w:sz w:val="18"/>
          <w:szCs w:val="18"/>
          <w:color w:val="auto"/>
        </w:rPr>
        <w:t>(Full titles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259080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114935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544195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1000" w:top="634" w:right="239" w:bottom="1440" w:gutter="0" w:footer="0" w:header="0"/>
          <w:type w:val="continuous"/>
        </w:sectPr>
      </w:pPr>
    </w:p>
    <w:bookmarkStart w:id="2" w:name="page3"/>
    <w:bookmarkEnd w:id="2"/>
    <w:p>
      <w:pPr>
        <w:jc w:val="both"/>
        <w:ind w:right="80" w:firstLine="222"/>
        <w:spacing w:after="0" w:line="312" w:lineRule="auto"/>
        <w:rPr>
          <w:sz w:val="20"/>
          <w:szCs w:val="20"/>
          <w:color w:val="auto"/>
        </w:rPr>
      </w:pPr>
      <w:r>
        <w:rPr>
          <w:rFonts w:ascii="Arial" w:cs="Arial" w:eastAsia="Arial" w:hAnsi="Arial"/>
          <w:sz w:val="16"/>
          <w:szCs w:val="16"/>
          <w:color w:val="auto"/>
        </w:rPr>
        <w:t>Waste Management, Inc., a Delaware corporation (the “Company”) registered, among other things, the issuance of up to 31,400,000 shares of its common stock, par value $0.01 per share (the “Common Stock”), on this Registration Statement on Form S-8 No. 333-45066 (the “Registration Statement”) pursuant to the Waste Management, Inc. 2000 Stock Incentive Plan and the Waste Management, Inc. 1996 Stock Option Plan for Non-Employee Directors.</w:t>
      </w:r>
    </w:p>
    <w:p>
      <w:pPr>
        <w:spacing w:after="0" w:line="12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On May 14, 2004, the Company’s stockholders approved the adoption by our Board of Directors of the Waste Management, Inc. 2004 Stock Incentive Plan, under which an aggregate of 34,000,000 shares of our common stock may be issued pursuant to awards granted under that plan. The terms of the 2004 Stock Incentive Plan provide that once the plan becomes effective, all shares available because they are not subject to outstanding awards under our 2000 Stock Incentive Plan and our 1996 Stock Option Plan for Non-Employee Directors will become available for issuance under the 2004 Stock Incentive Plan.</w:t>
      </w:r>
    </w:p>
    <w:p>
      <w:pPr>
        <w:spacing w:after="0" w:line="11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May 27, 2004, the Company filed a registration statement on Form S-8 No. 333-115932 (the “New Registration Statement”), under which, upon its effectiveness, there will be an aggregate of 34,000,000 shares registered for issuance, including 548,656 shares and 1,235,000 shares that are not subject to outstanding awards under the 2000 Stock Incentive Plan and the 1996 Stock Option Plan for Non-Employee Directors, respectively, and therefore, have been rolled into the 2004 Stock Incentive Plan.</w:t>
      </w:r>
    </w:p>
    <w:p>
      <w:pPr>
        <w:spacing w:after="0" w:line="1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Pursuant to the principles set forth in Interpretations 89 and 90 under Section G, “Securities Act Forms,” of the Manual of Publicly Available Telephone Interpretations of the Division of Corporation Finance of the Securities and Exchange Commission (July 1997) and Instruction E to Form S-8, we are hereby removing from registration the remaining 548,656 shares under the 2000 Stock Incentive Plan and 1,235,000 shares under the 1996 Non-Employee Directors’ Plan, previously registered under this Registration Statement, which, as explained, are now registered under the New Registration Statement for issuance under the 2004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27th day of May, 2004.</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w:t>
      </w:r>
    </w:p>
    <w:p>
      <w:pPr>
        <w:spacing w:after="0" w:line="386"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27th day of May, 2004.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ind w:left="24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6"/>
                <w:szCs w:val="16"/>
                <w:color w:val="auto"/>
              </w:rPr>
            </w:pPr>
          </w:p>
        </w:tc>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66"/>
        </w:trPr>
        <w:tc>
          <w:tcPr>
            <w:tcW w:w="54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54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5420" w:type="dxa"/>
            <w:vAlign w:val="bottom"/>
          </w:tcPr>
          <w:p>
            <w:pPr>
              <w:spacing w:after="0"/>
              <w:rPr>
                <w:sz w:val="20"/>
                <w:szCs w:val="20"/>
                <w:color w:val="auto"/>
              </w:rPr>
            </w:pPr>
            <w:r>
              <w:rPr>
                <w:rFonts w:ascii="Arial" w:cs="Arial" w:eastAsia="Arial" w:hAnsi="Arial"/>
                <w:sz w:val="18"/>
                <w:szCs w:val="18"/>
                <w:color w:val="auto"/>
              </w:rPr>
              <w:t>/s/ David P. Steiner</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109"/>
        </w:trPr>
        <w:tc>
          <w:tcPr>
            <w:tcW w:w="5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4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102"/>
        </w:trPr>
        <w:tc>
          <w:tcPr>
            <w:tcW w:w="5420" w:type="dxa"/>
            <w:vAlign w:val="bottom"/>
            <w:vMerge w:val="restart"/>
          </w:tcPr>
          <w:p>
            <w:pPr>
              <w:spacing w:after="0"/>
              <w:rPr>
                <w:sz w:val="20"/>
                <w:szCs w:val="20"/>
                <w:color w:val="auto"/>
              </w:rPr>
            </w:pPr>
            <w:r>
              <w:rPr>
                <w:rFonts w:ascii="Arial" w:cs="Arial" w:eastAsia="Arial" w:hAnsi="Arial"/>
                <w:sz w:val="18"/>
                <w:szCs w:val="18"/>
                <w:color w:val="auto"/>
              </w:rPr>
              <w:t>David P. Steiner</w:t>
            </w:r>
          </w:p>
        </w:tc>
        <w:tc>
          <w:tcPr>
            <w:tcW w:w="580" w:type="dxa"/>
            <w:vAlign w:val="bottom"/>
          </w:tcPr>
          <w:p>
            <w:pPr>
              <w:spacing w:after="0"/>
              <w:rPr>
                <w:sz w:val="8"/>
                <w:szCs w:val="8"/>
                <w:color w:val="auto"/>
              </w:rPr>
            </w:pPr>
          </w:p>
        </w:tc>
        <w:tc>
          <w:tcPr>
            <w:tcW w:w="5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420" w:type="dxa"/>
            <w:vAlign w:val="bottom"/>
          </w:tcPr>
          <w:p>
            <w:pPr>
              <w:spacing w:after="0"/>
              <w:rPr>
                <w:sz w:val="20"/>
                <w:szCs w:val="20"/>
                <w:color w:val="auto"/>
              </w:rPr>
            </w:pPr>
            <w:r>
              <w:rPr>
                <w:rFonts w:ascii="Arial" w:cs="Arial" w:eastAsia="Arial" w:hAnsi="Arial"/>
                <w:sz w:val="18"/>
                <w:szCs w:val="18"/>
                <w:color w:val="auto"/>
              </w:rPr>
              <w:t>/s/ Robert G. Simpson</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c>
          <w:tcPr>
            <w:tcW w:w="0" w:type="dxa"/>
            <w:vAlign w:val="bottom"/>
          </w:tcPr>
          <w:p>
            <w:pPr>
              <w:spacing w:after="0"/>
              <w:rPr>
                <w:sz w:val="1"/>
                <w:szCs w:val="1"/>
                <w:color w:val="auto"/>
              </w:rPr>
            </w:pPr>
          </w:p>
        </w:tc>
      </w:tr>
      <w:tr>
        <w:trPr>
          <w:trHeight w:val="109"/>
        </w:trPr>
        <w:tc>
          <w:tcPr>
            <w:tcW w:w="5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4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102"/>
        </w:trPr>
        <w:tc>
          <w:tcPr>
            <w:tcW w:w="5420" w:type="dxa"/>
            <w:vAlign w:val="bottom"/>
            <w:vMerge w:val="restart"/>
          </w:tcPr>
          <w:p>
            <w:pPr>
              <w:spacing w:after="0"/>
              <w:rPr>
                <w:sz w:val="20"/>
                <w:szCs w:val="20"/>
                <w:color w:val="auto"/>
              </w:rPr>
            </w:pPr>
            <w:r>
              <w:rPr>
                <w:rFonts w:ascii="Arial" w:cs="Arial" w:eastAsia="Arial" w:hAnsi="Arial"/>
                <w:sz w:val="18"/>
                <w:szCs w:val="18"/>
                <w:color w:val="auto"/>
              </w:rPr>
              <w:t>Robert G. Simpson</w:t>
            </w:r>
          </w:p>
        </w:tc>
        <w:tc>
          <w:tcPr>
            <w:tcW w:w="580" w:type="dxa"/>
            <w:vAlign w:val="bottom"/>
          </w:tcPr>
          <w:p>
            <w:pPr>
              <w:spacing w:after="0"/>
              <w:rPr>
                <w:sz w:val="8"/>
                <w:szCs w:val="8"/>
                <w:color w:val="auto"/>
              </w:rPr>
            </w:pPr>
          </w:p>
        </w:tc>
        <w:tc>
          <w:tcPr>
            <w:tcW w:w="5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420" w:type="dxa"/>
            <w:vAlign w:val="bottom"/>
          </w:tcPr>
          <w:p>
            <w:pPr>
              <w:spacing w:after="0"/>
              <w:rPr>
                <w:sz w:val="20"/>
                <w:szCs w:val="20"/>
                <w:color w:val="auto"/>
              </w:rPr>
            </w:pPr>
            <w:r>
              <w:rPr>
                <w:rFonts w:ascii="Arial" w:cs="Arial" w:eastAsia="Arial" w:hAnsi="Arial"/>
                <w:sz w:val="18"/>
                <w:szCs w:val="18"/>
                <w:color w:val="auto"/>
              </w:rPr>
              <w:t>/s/ Greg A. Robertson</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c>
          <w:tcPr>
            <w:tcW w:w="0" w:type="dxa"/>
            <w:vAlign w:val="bottom"/>
          </w:tcPr>
          <w:p>
            <w:pPr>
              <w:spacing w:after="0"/>
              <w:rPr>
                <w:sz w:val="1"/>
                <w:szCs w:val="1"/>
                <w:color w:val="auto"/>
              </w:rPr>
            </w:pPr>
          </w:p>
        </w:tc>
      </w:tr>
      <w:tr>
        <w:trPr>
          <w:trHeight w:val="109"/>
        </w:trPr>
        <w:tc>
          <w:tcPr>
            <w:tcW w:w="54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420" w:type="dxa"/>
            <w:vAlign w:val="bottom"/>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102"/>
        </w:trPr>
        <w:tc>
          <w:tcPr>
            <w:tcW w:w="5420" w:type="dxa"/>
            <w:vAlign w:val="bottom"/>
            <w:vMerge w:val="restart"/>
          </w:tcPr>
          <w:p>
            <w:pPr>
              <w:spacing w:after="0"/>
              <w:rPr>
                <w:sz w:val="20"/>
                <w:szCs w:val="20"/>
                <w:color w:val="auto"/>
              </w:rPr>
            </w:pPr>
            <w:r>
              <w:rPr>
                <w:rFonts w:ascii="Arial" w:cs="Arial" w:eastAsia="Arial" w:hAnsi="Arial"/>
                <w:sz w:val="18"/>
                <w:szCs w:val="18"/>
                <w:color w:val="auto"/>
              </w:rPr>
              <w:t>Greg A. Robertson</w:t>
            </w:r>
          </w:p>
        </w:tc>
        <w:tc>
          <w:tcPr>
            <w:tcW w:w="580" w:type="dxa"/>
            <w:vAlign w:val="bottom"/>
          </w:tcPr>
          <w:p>
            <w:pPr>
              <w:spacing w:after="0"/>
              <w:rPr>
                <w:sz w:val="8"/>
                <w:szCs w:val="8"/>
                <w:color w:val="auto"/>
              </w:rPr>
            </w:pPr>
          </w:p>
        </w:tc>
        <w:tc>
          <w:tcPr>
            <w:tcW w:w="5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Frank M. Clark, Jr.</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Robert S. Miller</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5420" w:type="dxa"/>
            <w:vAlign w:val="bottom"/>
          </w:tcPr>
          <w:p>
            <w:pPr>
              <w:ind w:left="24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6"/>
                <w:szCs w:val="16"/>
                <w:color w:val="auto"/>
              </w:rPr>
            </w:pPr>
          </w:p>
        </w:tc>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66"/>
        </w:trPr>
        <w:tc>
          <w:tcPr>
            <w:tcW w:w="54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5420" w:type="dxa"/>
            <w:vAlign w:val="bottom"/>
            <w:tcBorders>
              <w:bottom w:val="single" w:sz="8" w:color="808080"/>
            </w:tcBorders>
          </w:tcPr>
          <w:p>
            <w:pPr>
              <w:spacing w:after="0"/>
              <w:rPr>
                <w:sz w:val="5"/>
                <w:szCs w:val="5"/>
                <w:color w:val="auto"/>
              </w:rPr>
            </w:pPr>
          </w:p>
        </w:tc>
      </w:tr>
      <w:tr>
        <w:trPr>
          <w:trHeight w:val="493"/>
        </w:trPr>
        <w:tc>
          <w:tcPr>
            <w:tcW w:w="5420" w:type="dxa"/>
            <w:vAlign w:val="bottom"/>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A. Maurice Myers</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John C. Pope</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19"/>
        </w:trPr>
        <w:tc>
          <w:tcPr>
            <w:tcW w:w="5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W. Robert Reum</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8"/>
                <w:szCs w:val="18"/>
                <w:color w:val="auto"/>
              </w:rPr>
              <w:t>/s/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Steven G. Rothmeier</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19"/>
        </w:trPr>
        <w:tc>
          <w:tcPr>
            <w:tcW w:w="5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Carl W. Vogt</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8"/>
                <w:szCs w:val="18"/>
                <w:color w:val="auto"/>
              </w:rPr>
              <w:t>/s/ Lawrence O’Donnell, III</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Attorney-in-Fact</w:t>
            </w:r>
          </w:p>
        </w:tc>
      </w:tr>
      <w:tr>
        <w:trPr>
          <w:trHeight w:val="95"/>
        </w:trPr>
        <w:tc>
          <w:tcPr>
            <w:tcW w:w="54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8"/>
                <w:szCs w:val="18"/>
                <w:color w:val="auto"/>
              </w:rPr>
              <w:t>*Lawrence O’Donnell, III</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2019-12-20T04:04:49Z</dcterms:created>
  <dcterms:modified xsi:type="dcterms:W3CDTF">2019-12-20T04:04:49Z</dcterms:modified>
</cp:coreProperties>
</file>