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p>
      <w:pPr>
        <w:spacing w:after="0" w:line="313"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2">
            <w:col w:w="7520" w:space="720"/>
            <w:col w:w="3160"/>
          </w:cols>
          <w:pgMar w:left="240" w:top="368" w:right="259" w:bottom="144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400" w:space="720"/>
            <w:col w:w="3280"/>
          </w:cols>
          <w:pgMar w:left="240" w:top="368"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type w:val="continuous"/>
        </w:sectPr>
      </w:pPr>
    </w:p>
    <w:p>
      <w:pPr>
        <w:spacing w:after="0" w:line="287"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500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0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3" w:lineRule="exact"/>
        <w:rPr>
          <w:sz w:val="24"/>
          <w:szCs w:val="24"/>
          <w:color w:val="auto"/>
        </w:rPr>
      </w:pPr>
    </w:p>
    <w:p>
      <w:pPr>
        <w:ind w:right="20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line="207" w:lineRule="exact"/>
        <w:tabs>
          <w:tab w:leader="none" w:pos="8040" w:val="left"/>
          <w:tab w:leader="none" w:pos="87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3" w:lineRule="exact"/>
        <w:rPr>
          <w:sz w:val="24"/>
          <w:szCs w:val="24"/>
          <w:color w:val="auto"/>
        </w:rPr>
      </w:pPr>
    </w:p>
    <w:p>
      <w:pPr>
        <w:ind w:right="20" w:firstLine="456"/>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April 20, 2017 was 441,940,757 (excluding treasury shares of 188,341,704).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40" w:type="dxa"/>
            <w:vAlign w:val="bottom"/>
          </w:tcPr>
          <w:p>
            <w:pPr>
              <w:jc w:val="center"/>
              <w:ind w:left="1370"/>
              <w:spacing w:after="0"/>
              <w:rPr>
                <w:sz w:val="20"/>
                <w:szCs w:val="20"/>
                <w:color w:val="auto"/>
              </w:rPr>
            </w:pPr>
            <w:r>
              <w:rPr>
                <w:rFonts w:ascii="Arial" w:cs="Arial" w:eastAsia="Arial" w:hAnsi="Arial"/>
                <w:sz w:val="18"/>
                <w:szCs w:val="18"/>
                <w:b w:val="1"/>
                <w:bCs w:val="1"/>
                <w:color w:val="auto"/>
                <w:w w:val="96"/>
              </w:rPr>
              <w:t>PART I.</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40" w:type="dxa"/>
            <w:vAlign w:val="bottom"/>
          </w:tcPr>
          <w:p>
            <w:pPr>
              <w:jc w:val="center"/>
              <w:ind w:left="1390"/>
              <w:spacing w:after="0"/>
              <w:rPr>
                <w:sz w:val="20"/>
                <w:szCs w:val="20"/>
                <w:color w:val="auto"/>
              </w:rPr>
            </w:pPr>
            <w:r>
              <w:rPr>
                <w:rFonts w:ascii="Arial" w:cs="Arial" w:eastAsia="Arial" w:hAnsi="Arial"/>
                <w:sz w:val="18"/>
                <w:szCs w:val="18"/>
                <w:b w:val="1"/>
                <w:bCs w:val="1"/>
                <w:color w:val="auto"/>
              </w:rPr>
              <w:t>WASTE MANAGEMENT, INC.</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4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40" w:type="dxa"/>
            <w:vAlign w:val="bottom"/>
          </w:tcPr>
          <w:p>
            <w:pPr>
              <w:jc w:val="center"/>
              <w:ind w:left="1390"/>
              <w:spacing w:after="0"/>
              <w:rPr>
                <w:sz w:val="20"/>
                <w:szCs w:val="20"/>
                <w:color w:val="auto"/>
              </w:rPr>
            </w:pPr>
            <w:r>
              <w:rPr>
                <w:rFonts w:ascii="Arial" w:cs="Arial" w:eastAsia="Arial" w:hAnsi="Arial"/>
                <w:sz w:val="18"/>
                <w:szCs w:val="18"/>
                <w:b w:val="1"/>
                <w:bCs w:val="1"/>
                <w:color w:val="auto"/>
                <w:w w:val="91"/>
              </w:rPr>
              <w:t>(In Millions, Except Share and Par Value Amounts)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(Unaudited)</w:t>
            </w:r>
          </w:p>
        </w:tc>
        <w:tc>
          <w:tcPr>
            <w:tcW w:w="3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129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ind w:left="160"/>
              <w:spacing w:after="0"/>
              <w:rPr>
                <w:sz w:val="20"/>
                <w:szCs w:val="20"/>
                <w:color w:val="auto"/>
              </w:rPr>
            </w:pPr>
            <w:r>
              <w:rPr>
                <w:rFonts w:ascii="Arial" w:cs="Arial" w:eastAsia="Arial" w:hAnsi="Arial"/>
                <w:sz w:val="16"/>
                <w:szCs w:val="16"/>
                <w:color w:val="auto"/>
              </w:rPr>
              <w:t>Accounts receivable, net of allowance for doubtful accounts of $24 and $24, respectively</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1,634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Other receivables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ind w:left="160"/>
              <w:spacing w:after="0"/>
              <w:rPr>
                <w:sz w:val="20"/>
                <w:szCs w:val="20"/>
                <w:color w:val="auto"/>
              </w:rPr>
            </w:pPr>
            <w:r>
              <w:rPr>
                <w:rFonts w:ascii="Arial" w:cs="Arial" w:eastAsia="Arial" w:hAnsi="Arial"/>
                <w:sz w:val="16"/>
                <w:szCs w:val="16"/>
                <w:color w:val="auto"/>
              </w:rPr>
              <w:t>Parts and supplies</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95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080" w:type="dxa"/>
            <w:vAlign w:val="bottom"/>
            <w:gridSpan w:val="2"/>
          </w:tcPr>
          <w:p>
            <w:pPr>
              <w:ind w:left="3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2,223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 of accumulated depreciation and amortization of $17,284 and $17,152, respectively</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10,950</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Goodwill</w:t>
            </w:r>
          </w:p>
        </w:tc>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6,223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6,215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572</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Arial" w:cs="Arial" w:eastAsia="Arial" w:hAnsi="Arial"/>
                <w:sz w:val="16"/>
                <w:szCs w:val="16"/>
                <w:color w:val="auto"/>
              </w:rPr>
              <w:t>Investments in unconsolidated entities</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295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w w:val="90"/>
              </w:rPr>
              <w:t>Other assets</w:t>
            </w:r>
          </w:p>
        </w:tc>
        <w:tc>
          <w:tcPr>
            <w:tcW w:w="8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080" w:type="dxa"/>
            <w:vAlign w:val="bottom"/>
            <w:gridSpan w:val="2"/>
          </w:tcPr>
          <w:p>
            <w:pPr>
              <w:ind w:left="480"/>
              <w:spacing w:after="0"/>
              <w:rPr>
                <w:sz w:val="20"/>
                <w:szCs w:val="20"/>
                <w:color w:val="auto"/>
              </w:rPr>
            </w:pPr>
            <w:r>
              <w:rPr>
                <w:rFonts w:ascii="Arial" w:cs="Arial" w:eastAsia="Arial" w:hAnsi="Arial"/>
                <w:sz w:val="16"/>
                <w:szCs w:val="16"/>
                <w:color w:val="auto"/>
              </w:rPr>
              <w:t>Total assets</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20,650</w:t>
            </w:r>
          </w:p>
        </w:tc>
        <w:tc>
          <w:tcPr>
            <w:tcW w:w="320" w:type="dxa"/>
            <w:vAlign w:val="bottom"/>
          </w:tcPr>
          <w:p>
            <w:pPr>
              <w:spacing w:after="0"/>
              <w:rPr>
                <w:sz w:val="17"/>
                <w:szCs w:val="17"/>
                <w:color w:val="auto"/>
              </w:rPr>
            </w:pP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20,859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129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720</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ind w:left="16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963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Deferred revenues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080" w:type="dxa"/>
            <w:vAlign w:val="bottom"/>
            <w:gridSpan w:val="2"/>
          </w:tcPr>
          <w:p>
            <w:pPr>
              <w:ind w:left="16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2,558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8,646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8,893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Arial" w:cs="Arial" w:eastAsia="Arial" w:hAnsi="Arial"/>
                <w:sz w:val="16"/>
                <w:szCs w:val="16"/>
                <w:color w:val="auto"/>
              </w:rPr>
              <w:t>Landfill and environmental remediation liabilities</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1,692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9080" w:type="dxa"/>
            <w:vAlign w:val="bottom"/>
            <w:gridSpan w:val="2"/>
          </w:tcPr>
          <w:p>
            <w:pPr>
              <w:ind w:left="3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15,112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15,539</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Equity:</w:t>
            </w:r>
          </w:p>
        </w:tc>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Waste Management, Inc. stockholders’ equity:</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ind w:left="320"/>
              <w:spacing w:after="0"/>
              <w:rPr>
                <w:sz w:val="20"/>
                <w:szCs w:val="20"/>
                <w:color w:val="auto"/>
              </w:rPr>
            </w:pPr>
            <w:r>
              <w:rPr>
                <w:rFonts w:ascii="Arial" w:cs="Arial" w:eastAsia="Arial" w:hAnsi="Arial"/>
                <w:sz w:val="16"/>
                <w:szCs w:val="16"/>
                <w:color w:val="auto"/>
              </w:rPr>
              <w:t>Common stock, $0.01 par value; 1,500,000,000 shares authorized; 630,282,461 shares issued</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4,885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ind w:left="32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7,497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7,388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(66)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r>
      <w:tr>
        <w:trPr>
          <w:trHeight w:val="210"/>
        </w:trPr>
        <w:tc>
          <w:tcPr>
            <w:tcW w:w="20" w:type="dxa"/>
            <w:vAlign w:val="bottom"/>
          </w:tcPr>
          <w:p>
            <w:pPr>
              <w:spacing w:after="0"/>
              <w:rPr>
                <w:sz w:val="18"/>
                <w:szCs w:val="18"/>
                <w:color w:val="auto"/>
              </w:rPr>
            </w:pPr>
          </w:p>
        </w:tc>
        <w:tc>
          <w:tcPr>
            <w:tcW w:w="9080" w:type="dxa"/>
            <w:vAlign w:val="bottom"/>
            <w:gridSpan w:val="2"/>
          </w:tcPr>
          <w:p>
            <w:pPr>
              <w:ind w:left="320"/>
              <w:spacing w:after="0"/>
              <w:rPr>
                <w:sz w:val="20"/>
                <w:szCs w:val="20"/>
                <w:color w:val="auto"/>
              </w:rPr>
            </w:pPr>
            <w:r>
              <w:rPr>
                <w:rFonts w:ascii="Arial" w:cs="Arial" w:eastAsia="Arial" w:hAnsi="Arial"/>
                <w:sz w:val="16"/>
                <w:szCs w:val="16"/>
                <w:color w:val="auto"/>
              </w:rPr>
              <w:t>Treasury stock at cost, 188,376,546 and 190,966,584 shares, respectively</w:t>
            </w:r>
          </w:p>
        </w:tc>
        <w:tc>
          <w:tcPr>
            <w:tcW w:w="16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6"/>
                <w:szCs w:val="16"/>
                <w:color w:val="auto"/>
              </w:rPr>
              <w:t>(6,805)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(6,867)</w:t>
            </w: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Waste Management, Inc. stockholders’ equity</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5,297</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080" w:type="dxa"/>
            <w:vAlign w:val="bottom"/>
            <w:gridSpan w:val="2"/>
          </w:tcPr>
          <w:p>
            <w:pPr>
              <w:ind w:left="16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5,320</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080" w:type="dxa"/>
            <w:vAlign w:val="bottom"/>
            <w:gridSpan w:val="2"/>
          </w:tcPr>
          <w:p>
            <w:pPr>
              <w:ind w:left="480"/>
              <w:spacing w:after="0"/>
              <w:rPr>
                <w:sz w:val="20"/>
                <w:szCs w:val="20"/>
                <w:color w:val="auto"/>
              </w:rPr>
            </w:pPr>
            <w:r>
              <w:rPr>
                <w:rFonts w:ascii="Arial" w:cs="Arial" w:eastAsia="Arial" w:hAnsi="Arial"/>
                <w:sz w:val="16"/>
                <w:szCs w:val="16"/>
                <w:color w:val="auto"/>
              </w:rPr>
              <w:t>Total liabilities and equity</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20,650</w:t>
            </w:r>
          </w:p>
        </w:tc>
        <w:tc>
          <w:tcPr>
            <w:tcW w:w="320" w:type="dxa"/>
            <w:vAlign w:val="bottom"/>
          </w:tcPr>
          <w:p>
            <w:pPr>
              <w:spacing w:after="0"/>
              <w:rPr>
                <w:sz w:val="17"/>
                <w:szCs w:val="17"/>
                <w:color w:val="auto"/>
              </w:rPr>
            </w:pP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20,859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900"/>
        <w:spacing w:after="0"/>
        <w:rPr>
          <w:sz w:val="20"/>
          <w:szCs w:val="20"/>
          <w:color w:val="auto"/>
        </w:rPr>
      </w:pPr>
      <w:r>
        <w:rPr>
          <w:rFonts w:ascii="Arial" w:cs="Arial" w:eastAsia="Arial" w:hAnsi="Arial"/>
          <w:sz w:val="14"/>
          <w:szCs w:val="14"/>
          <w:b w:val="1"/>
          <w:bCs w:val="1"/>
          <w:color w:val="auto"/>
        </w:rPr>
        <w:t>Three Months</w:t>
      </w:r>
    </w:p>
    <w:p>
      <w:pPr>
        <w:jc w:val="center"/>
        <w:ind w:left="9900"/>
        <w:spacing w:after="0" w:line="226" w:lineRule="auto"/>
        <w:rPr>
          <w:sz w:val="20"/>
          <w:szCs w:val="20"/>
          <w:color w:val="auto"/>
        </w:rPr>
      </w:pPr>
      <w:r>
        <w:rPr>
          <w:rFonts w:ascii="Arial" w:cs="Arial" w:eastAsia="Arial" w:hAnsi="Arial"/>
          <w:sz w:val="14"/>
          <w:szCs w:val="14"/>
          <w:b w:val="1"/>
          <w:bCs w:val="1"/>
          <w:color w:val="auto"/>
        </w:rPr>
        <w:t>Ended</w:t>
      </w:r>
    </w:p>
    <w:p>
      <w:pPr>
        <w:jc w:val="center"/>
        <w:ind w:left="990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98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Operating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3,440</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3,176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000" w:type="dxa"/>
            <w:vAlign w:val="bottom"/>
            <w:gridSpan w:val="2"/>
          </w:tcPr>
          <w:p>
            <w:pPr>
              <w:spacing w:after="0"/>
              <w:rPr>
                <w:sz w:val="20"/>
                <w:szCs w:val="20"/>
                <w:color w:val="auto"/>
              </w:rPr>
            </w:pPr>
            <w:r>
              <w:rPr>
                <w:rFonts w:ascii="Arial" w:cs="Arial" w:eastAsia="Arial" w:hAnsi="Arial"/>
                <w:sz w:val="16"/>
                <w:szCs w:val="16"/>
                <w:color w:val="auto"/>
              </w:rPr>
              <w:t>Costs and expenses: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4"/>
              </w:rPr>
              <w:t>2,166</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1,993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390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tcPr>
          <w:p>
            <w:pPr>
              <w:ind w:left="160"/>
              <w:spacing w:after="0"/>
              <w:rPr>
                <w:sz w:val="20"/>
                <w:szCs w:val="20"/>
                <w:color w:val="auto"/>
              </w:rPr>
            </w:pPr>
            <w:r>
              <w:rPr>
                <w:rFonts w:ascii="Arial" w:cs="Arial" w:eastAsia="Arial" w:hAnsi="Arial"/>
                <w:sz w:val="16"/>
                <w:szCs w:val="16"/>
                <w:color w:val="auto"/>
              </w:rPr>
              <w:t>Restructuring</w:t>
            </w:r>
          </w:p>
        </w:tc>
        <w:tc>
          <w:tcPr>
            <w:tcW w:w="8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from divestitures</w:t>
            </w: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2,882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2,668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00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tcPr>
          <w:p>
            <w:pPr>
              <w:ind w:left="160"/>
              <w:spacing w:after="0"/>
              <w:rPr>
                <w:sz w:val="20"/>
                <w:szCs w:val="20"/>
                <w:color w:val="auto"/>
              </w:rPr>
            </w:pPr>
            <w:r>
              <w:rPr>
                <w:rFonts w:ascii="Arial" w:cs="Arial" w:eastAsia="Arial" w:hAnsi="Arial"/>
                <w:sz w:val="16"/>
                <w:szCs w:val="16"/>
                <w:color w:val="auto"/>
              </w:rPr>
              <w:t>Equity in net losses of unconsolidated entities</w:t>
            </w:r>
          </w:p>
        </w:tc>
        <w:tc>
          <w:tcPr>
            <w:tcW w:w="80" w:type="dxa"/>
            <w:vAlign w:val="bottom"/>
          </w:tcPr>
          <w:p>
            <w:pPr>
              <w:spacing w:after="0"/>
              <w:rPr>
                <w:sz w:val="17"/>
                <w:szCs w:val="17"/>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net</w:t>
            </w: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6"/>
                <w:szCs w:val="16"/>
                <w:color w:val="auto"/>
              </w:rPr>
              <w:t>Income tax expense</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Consolidated net income</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80" w:type="dxa"/>
            <w:vAlign w:val="bottom"/>
          </w:tcPr>
          <w:p>
            <w:pPr>
              <w:ind w:left="160"/>
              <w:spacing w:after="0"/>
              <w:rPr>
                <w:sz w:val="20"/>
                <w:szCs w:val="20"/>
                <w:color w:val="auto"/>
              </w:rPr>
            </w:pPr>
            <w:r>
              <w:rPr>
                <w:rFonts w:ascii="Arial" w:cs="Arial" w:eastAsia="Arial" w:hAnsi="Arial"/>
                <w:sz w:val="16"/>
                <w:szCs w:val="16"/>
                <w:color w:val="auto"/>
              </w:rPr>
              <w:t>Less: Net loss attributable to noncontrolling interests</w:t>
            </w:r>
          </w:p>
        </w:tc>
        <w:tc>
          <w:tcPr>
            <w:tcW w:w="8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Waste Management, Inc.</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0" w:type="dxa"/>
            <w:vAlign w:val="bottom"/>
            <w:gridSpan w:val="2"/>
            <w:vMerge w:val="restart"/>
          </w:tcPr>
          <w:p>
            <w:pPr>
              <w:spacing w:after="0"/>
              <w:rPr>
                <w:sz w:val="20"/>
                <w:szCs w:val="20"/>
                <w:color w:val="auto"/>
              </w:rPr>
            </w:pPr>
            <w:r>
              <w:rPr>
                <w:rFonts w:ascii="Arial" w:cs="Arial" w:eastAsia="Arial" w:hAnsi="Arial"/>
                <w:sz w:val="16"/>
                <w:szCs w:val="16"/>
                <w:color w:val="auto"/>
              </w:rPr>
              <w:t>Basic earnings per common share</w:t>
            </w: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000" w:type="dxa"/>
            <w:vAlign w:val="bottom"/>
            <w:gridSpan w:val="2"/>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0.68</w:t>
            </w:r>
          </w:p>
        </w:tc>
        <w:tc>
          <w:tcPr>
            <w:tcW w:w="4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0" w:type="dxa"/>
            <w:vAlign w:val="bottom"/>
            <w:gridSpan w:val="2"/>
            <w:vMerge w:val="restart"/>
          </w:tcPr>
          <w:p>
            <w:pPr>
              <w:spacing w:after="0"/>
              <w:rPr>
                <w:sz w:val="20"/>
                <w:szCs w:val="20"/>
                <w:color w:val="auto"/>
              </w:rPr>
            </w:pPr>
            <w:r>
              <w:rPr>
                <w:rFonts w:ascii="Arial" w:cs="Arial" w:eastAsia="Arial" w:hAnsi="Arial"/>
                <w:sz w:val="16"/>
                <w:szCs w:val="16"/>
                <w:color w:val="auto"/>
              </w:rPr>
              <w:t>Cash dividends declared per common share</w:t>
            </w: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000" w:type="dxa"/>
            <w:vAlign w:val="bottom"/>
            <w:gridSpan w:val="2"/>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4"/>
              </w:rPr>
              <w:t>0.425</w:t>
            </w:r>
          </w:p>
        </w:tc>
        <w:tc>
          <w:tcPr>
            <w:tcW w:w="4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900"/>
        <w:spacing w:after="0"/>
        <w:rPr>
          <w:sz w:val="20"/>
          <w:szCs w:val="20"/>
          <w:color w:val="auto"/>
        </w:rPr>
      </w:pPr>
      <w:r>
        <w:rPr>
          <w:rFonts w:ascii="Arial" w:cs="Arial" w:eastAsia="Arial" w:hAnsi="Arial"/>
          <w:sz w:val="14"/>
          <w:szCs w:val="14"/>
          <w:b w:val="1"/>
          <w:bCs w:val="1"/>
          <w:color w:val="auto"/>
        </w:rPr>
        <w:t>Three Months</w:t>
      </w:r>
    </w:p>
    <w:p>
      <w:pPr>
        <w:jc w:val="center"/>
        <w:ind w:left="9900"/>
        <w:spacing w:after="0" w:line="226" w:lineRule="auto"/>
        <w:rPr>
          <w:sz w:val="20"/>
          <w:szCs w:val="20"/>
          <w:color w:val="auto"/>
        </w:rPr>
      </w:pPr>
      <w:r>
        <w:rPr>
          <w:rFonts w:ascii="Arial" w:cs="Arial" w:eastAsia="Arial" w:hAnsi="Arial"/>
          <w:sz w:val="14"/>
          <w:szCs w:val="14"/>
          <w:b w:val="1"/>
          <w:bCs w:val="1"/>
          <w:color w:val="auto"/>
        </w:rPr>
        <w:t>Ended</w:t>
      </w:r>
    </w:p>
    <w:p>
      <w:pPr>
        <w:jc w:val="center"/>
        <w:ind w:left="990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98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Consolidated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7"/>
                <w:szCs w:val="17"/>
                <w:color w:val="auto"/>
              </w:rPr>
            </w:pPr>
          </w:p>
        </w:tc>
      </w:tr>
      <w:tr>
        <w:trPr>
          <w:trHeight w:val="207"/>
        </w:trPr>
        <w:tc>
          <w:tcPr>
            <w:tcW w:w="10000" w:type="dxa"/>
            <w:vAlign w:val="bottom"/>
            <w:gridSpan w:val="2"/>
          </w:tcPr>
          <w:p>
            <w:pPr>
              <w:spacing w:after="0"/>
              <w:rPr>
                <w:sz w:val="20"/>
                <w:szCs w:val="20"/>
                <w:color w:val="auto"/>
              </w:rPr>
            </w:pPr>
            <w:r>
              <w:rPr>
                <w:rFonts w:ascii="Arial" w:cs="Arial" w:eastAsia="Arial" w:hAnsi="Arial"/>
                <w:sz w:val="16"/>
                <w:szCs w:val="16"/>
                <w:color w:val="auto"/>
              </w:rPr>
              <w:t>Other comprehensive income, net of tax expense: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9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Derivative instruments, net</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980" w:type="dxa"/>
            <w:vAlign w:val="bottom"/>
          </w:tcPr>
          <w:p>
            <w:pPr>
              <w:ind w:left="160"/>
              <w:spacing w:after="0"/>
              <w:rPr>
                <w:sz w:val="20"/>
                <w:szCs w:val="20"/>
                <w:color w:val="auto"/>
              </w:rPr>
            </w:pPr>
            <w:r>
              <w:rPr>
                <w:rFonts w:ascii="Arial" w:cs="Arial" w:eastAsia="Arial" w:hAnsi="Arial"/>
                <w:sz w:val="16"/>
                <w:szCs w:val="16"/>
                <w:color w:val="auto"/>
              </w:rPr>
              <w:t>Available-for-sale securities, net</w:t>
            </w:r>
          </w:p>
        </w:tc>
        <w:tc>
          <w:tcPr>
            <w:tcW w:w="14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980" w:type="dxa"/>
            <w:vAlign w:val="bottom"/>
          </w:tcPr>
          <w:p>
            <w:pPr>
              <w:ind w:left="160"/>
              <w:spacing w:after="0"/>
              <w:rPr>
                <w:sz w:val="20"/>
                <w:szCs w:val="20"/>
                <w:color w:val="auto"/>
              </w:rPr>
            </w:pPr>
            <w:r>
              <w:rPr>
                <w:rFonts w:ascii="Arial" w:cs="Arial" w:eastAsia="Arial" w:hAnsi="Arial"/>
                <w:sz w:val="16"/>
                <w:szCs w:val="16"/>
                <w:color w:val="auto"/>
              </w:rPr>
              <w:t>Post-retirement benefit obligation, net</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net of tax expense</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7"/>
                <w:szCs w:val="17"/>
                <w:color w:val="auto"/>
              </w:rPr>
            </w:pPr>
          </w:p>
        </w:tc>
      </w:tr>
      <w:tr>
        <w:trPr>
          <w:trHeight w:val="204"/>
        </w:trPr>
        <w:tc>
          <w:tcPr>
            <w:tcW w:w="1000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311</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Less: Comprehensive loss attributable to noncontrolling interests</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r>
      <w:tr>
        <w:trPr>
          <w:trHeight w:val="207"/>
        </w:trPr>
        <w:tc>
          <w:tcPr>
            <w:tcW w:w="10000" w:type="dxa"/>
            <w:vAlign w:val="bottom"/>
            <w:gridSpan w:val="2"/>
          </w:tcPr>
          <w:p>
            <w:pPr>
              <w:spacing w:after="0"/>
              <w:rPr>
                <w:sz w:val="20"/>
                <w:szCs w:val="20"/>
                <w:color w:val="auto"/>
              </w:rPr>
            </w:pPr>
            <w:r>
              <w:rPr>
                <w:rFonts w:ascii="Arial" w:cs="Arial" w:eastAsia="Arial" w:hAnsi="Arial"/>
                <w:sz w:val="16"/>
                <w:szCs w:val="16"/>
                <w:color w:val="auto"/>
              </w:rPr>
              <w:t>Comprehensive income attributable to Waste Management,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980"/>
        <w:spacing w:after="0"/>
        <w:rPr>
          <w:sz w:val="20"/>
          <w:szCs w:val="20"/>
          <w:color w:val="auto"/>
        </w:rPr>
      </w:pPr>
      <w:r>
        <w:rPr>
          <w:rFonts w:ascii="Arial" w:cs="Arial" w:eastAsia="Arial" w:hAnsi="Arial"/>
          <w:sz w:val="14"/>
          <w:szCs w:val="14"/>
          <w:b w:val="1"/>
          <w:bCs w:val="1"/>
          <w:color w:val="auto"/>
        </w:rPr>
        <w:t>Three Months</w:t>
      </w:r>
    </w:p>
    <w:p>
      <w:pPr>
        <w:jc w:val="center"/>
        <w:ind w:left="9980"/>
        <w:spacing w:after="0" w:line="226" w:lineRule="auto"/>
        <w:rPr>
          <w:sz w:val="20"/>
          <w:szCs w:val="20"/>
          <w:color w:val="auto"/>
        </w:rPr>
      </w:pPr>
      <w:r>
        <w:rPr>
          <w:rFonts w:ascii="Arial" w:cs="Arial" w:eastAsia="Arial" w:hAnsi="Arial"/>
          <w:sz w:val="14"/>
          <w:szCs w:val="14"/>
          <w:b w:val="1"/>
          <w:bCs w:val="1"/>
          <w:color w:val="auto"/>
        </w:rPr>
        <w:t>Ended</w:t>
      </w:r>
    </w:p>
    <w:p>
      <w:pPr>
        <w:jc w:val="center"/>
        <w:ind w:left="998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7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w w:val="97"/>
              </w:rPr>
              <w:t>297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consolidated net income to net cash provided by operating activities: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w w:val="97"/>
              </w:rPr>
              <w:t>328</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income tax expense</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Interest accretion on landfill liabilities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accretion on and discount rate adjustments to environmental remediation liabilities and recovery assets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Provision for bad debts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Equity-based compensation expense</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Net gain from disposal of assets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expense from divestitures, asset impairments and other, net</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Equity in net losses of unconsolidated entities, net of dividends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operating assets and liabilities, net of effects of acquisitions and divestitures: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Receivables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w w:val="97"/>
              </w:rPr>
              <w:t>151</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assets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liabilities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5"/>
              </w:rPr>
              <w:t>(144)</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Deferred revenues and other liabilities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7"/>
              </w:rPr>
              <w:t>721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2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1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Acquisitions of businesses, net of cash acquired</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6"/>
                <w:szCs w:val="16"/>
                <w:color w:val="auto"/>
                <w:w w:val="85"/>
              </w:rPr>
              <w:t>(332)</w:t>
            </w: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Other, net</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5"/>
              </w:rPr>
              <w:t>(340)</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07"/>
        </w:trPr>
        <w:tc>
          <w:tcPr>
            <w:tcW w:w="87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borrowings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Debt repayments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6"/>
                <w:szCs w:val="16"/>
                <w:color w:val="auto"/>
                <w:w w:val="85"/>
              </w:rPr>
              <w:t>(541)</w:t>
            </w: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commercial paper borrowings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7"/>
              </w:rPr>
              <w:t>210</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Common stock repurchase program</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dividends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5"/>
              </w:rPr>
              <w:t>(194)</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Exercise of common stock options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160"/>
              <w:spacing w:after="0"/>
              <w:rPr>
                <w:sz w:val="20"/>
                <w:szCs w:val="20"/>
                <w:color w:val="auto"/>
              </w:rPr>
            </w:pPr>
            <w:r>
              <w:rPr>
                <w:rFonts w:ascii="Arial" w:cs="Arial" w:eastAsia="Arial" w:hAnsi="Arial"/>
                <w:sz w:val="16"/>
                <w:szCs w:val="16"/>
                <w:color w:val="auto"/>
              </w:rPr>
              <w:t>Other, net</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5"/>
              </w:rPr>
              <w:t>(383)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72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cash and cash equivalents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Waste Management, Inc. Stockholders’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4"/>
            <w:vMerge w:val="restart"/>
          </w:tcPr>
          <w:p>
            <w:pPr>
              <w:ind w:left="18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1380" w:type="dxa"/>
            <w:vAlign w:val="bottom"/>
            <w:tcBorders>
              <w:top w:val="single" w:sz="8" w:color="auto"/>
            </w:tcBorders>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1380" w:type="dxa"/>
            <w:vAlign w:val="bottom"/>
            <w:tcBorders>
              <w:bottom w:val="single" w:sz="8" w:color="auto"/>
            </w:tcBorders>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80" w:type="dxa"/>
            <w:vAlign w:val="bottom"/>
            <w:gridSpan w:val="3"/>
            <w:vMerge w:val="restart"/>
          </w:tcPr>
          <w:p>
            <w:pPr>
              <w:spacing w:after="0"/>
              <w:rPr>
                <w:sz w:val="20"/>
                <w:szCs w:val="20"/>
                <w:color w:val="auto"/>
              </w:rPr>
            </w:pPr>
            <w:r>
              <w:rPr>
                <w:rFonts w:ascii="Arial" w:cs="Arial" w:eastAsia="Arial" w:hAnsi="Arial"/>
                <w:sz w:val="15"/>
                <w:szCs w:val="15"/>
                <w:b w:val="1"/>
                <w:bCs w:val="1"/>
                <w:color w:val="auto"/>
                <w:w w:val="99"/>
              </w:rPr>
              <w:t>Noncontrolling</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660" w:type="dxa"/>
            <w:vAlign w:val="bottom"/>
            <w:gridSpan w:val="3"/>
            <w:vMerge w:val="restart"/>
          </w:tcPr>
          <w:p>
            <w:pPr>
              <w:jc w:val="right"/>
              <w:ind w:right="280"/>
              <w:spacing w:after="0"/>
              <w:rPr>
                <w:sz w:val="20"/>
                <w:szCs w:val="20"/>
                <w:color w:val="auto"/>
              </w:rPr>
            </w:pPr>
            <w:r>
              <w:rPr>
                <w:rFonts w:ascii="Arial" w:cs="Arial" w:eastAsia="Arial" w:hAnsi="Arial"/>
                <w:sz w:val="15"/>
                <w:szCs w:val="15"/>
                <w:b w:val="1"/>
                <w:bCs w:val="1"/>
                <w:color w:val="auto"/>
              </w:rPr>
              <w:t>Total</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line="115"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7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1220" w:type="dxa"/>
            <w:vAlign w:val="bottom"/>
            <w:gridSpan w:val="3"/>
          </w:tcPr>
          <w:p>
            <w:pPr>
              <w:jc w:val="center"/>
              <w:ind w:right="26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82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w w:val="98"/>
              </w:rPr>
              <w:t>Shares</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w:t>
            </w: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9"/>
              </w:rPr>
              <w:t>Interests</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2016</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$5,320</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(190,967)</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(6,867)</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297</w:t>
            </w: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 expense</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w:t>
            </w:r>
          </w:p>
        </w:tc>
        <w:tc>
          <w:tcPr>
            <w:tcW w:w="8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(194)</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transactions, net</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2,991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6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(402)</w:t>
            </w:r>
          </w:p>
        </w:tc>
        <w:tc>
          <w:tcPr>
            <w:tcW w:w="12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(45)</w:t>
            </w: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Balance, March 31, 2017</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5,538</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630,282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7,497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w:t>
            </w:r>
          </w:p>
        </w:tc>
        <w:tc>
          <w:tcPr>
            <w:tcW w:w="2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(188,377</w:t>
            </w:r>
          </w:p>
        </w:tc>
        <w:tc>
          <w:tcPr>
            <w:tcW w:w="260" w:type="dxa"/>
            <w:vAlign w:val="bottom"/>
          </w:tcPr>
          <w:p>
            <w:pPr>
              <w:jc w:val="right"/>
              <w:ind w:right="17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(6,805</w:t>
            </w:r>
          </w:p>
        </w:tc>
        <w:tc>
          <w:tcPr>
            <w:tcW w:w="26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7.</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March 31, 2017 and for the three months ended March 31, 2017 and 2016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2016.</w:t>
      </w:r>
    </w:p>
    <w:p>
      <w:pPr>
        <w:spacing w:after="0" w:line="1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Equity-Based Compensation — </w:t>
      </w:r>
      <w:r>
        <w:rPr>
          <w:rFonts w:ascii="Arial" w:cs="Arial" w:eastAsia="Arial" w:hAnsi="Arial"/>
          <w:sz w:val="16"/>
          <w:szCs w:val="16"/>
          <w:color w:val="auto"/>
        </w:rPr>
        <w:t>In March 2016, the Financial Accounting Standards Board (“FASB”) issued Accounting Standards Update (“ASU”)</w:t>
      </w:r>
      <w:r>
        <w:rPr>
          <w:rFonts w:ascii="Arial" w:cs="Arial" w:eastAsia="Arial" w:hAnsi="Arial"/>
          <w:sz w:val="16"/>
          <w:szCs w:val="16"/>
          <w:i w:val="1"/>
          <w:iCs w:val="1"/>
          <w:color w:val="auto"/>
        </w:rPr>
        <w:t xml:space="preserve"> </w:t>
      </w:r>
      <w:r>
        <w:rPr>
          <w:rFonts w:ascii="Arial" w:cs="Arial" w:eastAsia="Arial" w:hAnsi="Arial"/>
          <w:sz w:val="16"/>
          <w:szCs w:val="16"/>
          <w:color w:val="auto"/>
        </w:rPr>
        <w:t>2016-09 associated with equity-based compensation as part of its simplification initiative to reduce the cost and complexity of compliance with U.S. Generally Accepted Accounting Principles (“GAAP”), while maintaining or improving the usefulness of the information provided.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This amended guidance was effective for the Company on January 1, 2017 and required the following changes to the presentation of our financial statements:</w:t>
      </w:r>
    </w:p>
    <w:p>
      <w:pPr>
        <w:spacing w:after="0" w:line="113" w:lineRule="exact"/>
        <w:rPr>
          <w:sz w:val="20"/>
          <w:szCs w:val="20"/>
          <w:color w:val="auto"/>
        </w:rPr>
      </w:pPr>
    </w:p>
    <w:p>
      <w:pPr>
        <w:jc w:val="both"/>
        <w:ind w:left="90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Excess tax benefits or deficiencies for share-based payments are now recorded as a discrete item in the period shares vest or stock options are exercised as an adjustment to income tax expense or benefit rather than additional paid-in capital. This change was applied prospectively as of January 1, 2017. The Company did not have any excess tax benefits that were not previously recognized as of January 1, 2017. See Note 4 for discussion of the current year impact;</w:t>
      </w:r>
    </w:p>
    <w:p>
      <w:pPr>
        <w:spacing w:after="0" w:line="62"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January 1, 2017, the calculation of diluted weighted average shares outstanding was changed prospectively to no longer include excess tax benefits as assumed proceeds. This change did not have a material impact on our current year diluted earnings per share;</w:t>
      </w:r>
    </w:p>
    <w:p>
      <w:pPr>
        <w:spacing w:after="0" w:line="4" w:lineRule="exact"/>
        <w:rPr>
          <w:rFonts w:ascii="Arial" w:cs="Arial" w:eastAsia="Arial" w:hAnsi="Arial"/>
          <w:sz w:val="16"/>
          <w:szCs w:val="16"/>
          <w:color w:val="auto"/>
        </w:rPr>
      </w:pPr>
    </w:p>
    <w:p>
      <w:pPr>
        <w:jc w:val="both"/>
        <w:ind w:left="90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flows related to excess tax benefits or deficiencies are included in net cash provided by operating activities rather than as a financing activity. The Company adopted this change retrospectively, which resulted in an increase to net cash provided by operating activities and a corresponding decrease to net cash provided by financing activities of $7 million for the three months ended March 31, 2016;</w:t>
      </w:r>
    </w:p>
    <w:p>
      <w:pPr>
        <w:spacing w:after="0" w:line="25" w:lineRule="exact"/>
        <w:rPr>
          <w:rFonts w:ascii="Arial" w:cs="Arial" w:eastAsia="Arial" w:hAnsi="Arial"/>
          <w:sz w:val="16"/>
          <w:szCs w:val="16"/>
          <w:color w:val="auto"/>
        </w:rPr>
      </w:pPr>
    </w:p>
    <w:p>
      <w:pPr>
        <w:jc w:val="both"/>
        <w:ind w:left="90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paid to taxing authorities when withholding shares from an employee’s vesting or exercise of equity-based compensation awards for tax-withholding purposes is now considered a repurchase of the Company’s equity instruments and is classified as net cash used in financing activities rather than as an operating activity. The Company adopted this change retrospectively, which resulted in an increase to net cash provided by operating activities and a corresponding decrease to net cash provided by financing activities of $19 million for the three months ended March 31, 2016; and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elected to continue to estimate forfeitures rather than account for forfeitures as they occur.</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Goodwill Impairment Testing — </w:t>
      </w:r>
      <w:r>
        <w:rPr>
          <w:rFonts w:ascii="Arial" w:cs="Arial" w:eastAsia="Arial" w:hAnsi="Arial"/>
          <w:sz w:val="16"/>
          <w:szCs w:val="16"/>
          <w:color w:val="auto"/>
        </w:rPr>
        <w:t>In January 2017, the FASB issued ASU 2017-04 which simplifies the goodwill impairment test by eliminating Step 2 of</w:t>
      </w:r>
      <w:r>
        <w:rPr>
          <w:rFonts w:ascii="Arial" w:cs="Arial" w:eastAsia="Arial" w:hAnsi="Arial"/>
          <w:sz w:val="16"/>
          <w:szCs w:val="16"/>
          <w:i w:val="1"/>
          <w:iCs w:val="1"/>
          <w:color w:val="auto"/>
        </w:rPr>
        <w:t xml:space="preserve"> </w:t>
      </w:r>
      <w:r>
        <w:rPr>
          <w:rFonts w:ascii="Arial" w:cs="Arial" w:eastAsia="Arial" w:hAnsi="Arial"/>
          <w:sz w:val="16"/>
          <w:szCs w:val="16"/>
          <w:color w:val="auto"/>
        </w:rPr>
        <w:t>the quantitative assessment and should reduce the cost and complexity of evaluating goodwill for impairment. Under the amended guidance, when a quantitative assessment is required, an entity will perform a goodwill impairment test by comparing the fair value of a reporting unit with its carrying amount. An impairment charge will be measured as the amount by which the carrying amount exceeds the reporting unit’s fair value, not to exceed the total amount of recorded goodwill. This amended guidance, effective for the Company on January 1, 2020, permits early adoption. The Company’s early adoption on January 1, 2017 did not have an impact on our consolidated financial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w:t>
      </w:r>
    </w:p>
    <w:p>
      <w:pPr>
        <w:spacing w:after="0" w:line="28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left="102"/>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Environmental</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53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46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44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Remediation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1,475</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1,692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1,457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1,675</w:t>
            </w: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1,608</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1,851</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1,576</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1,822</w:t>
            </w: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to landfill and environmental remediation liabilities for the three months ended March 31, 2017 are reflected in the table below (in millions):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7220" w:type="dxa"/>
            <w:vAlign w:val="bottom"/>
          </w:tcPr>
          <w:p>
            <w:pPr>
              <w:spacing w:after="0"/>
              <w:rPr>
                <w:sz w:val="14"/>
                <w:szCs w:val="14"/>
                <w:color w:val="auto"/>
              </w:rPr>
            </w:pPr>
          </w:p>
        </w:tc>
        <w:tc>
          <w:tcPr>
            <w:tcW w:w="13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Landfill</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2016</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$1,576</w:t>
            </w: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ind w:left="22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7220" w:type="dxa"/>
            <w:vAlign w:val="bottom"/>
          </w:tcPr>
          <w:p>
            <w:pPr>
              <w:ind w:left="22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7220" w:type="dxa"/>
            <w:vAlign w:val="bottom"/>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1,608</w:t>
            </w:r>
          </w:p>
        </w:tc>
        <w:tc>
          <w:tcPr>
            <w:tcW w:w="8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March 31,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March 31,</w:t>
            </w:r>
          </w:p>
        </w:tc>
        <w:tc>
          <w:tcPr>
            <w:tcW w:w="5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9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2017</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$2.25 billion revolving credit facility, maturing July 2020 (weighted average interest rate of 1.9% as of December 31,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Commercial paper program (weighted average interest rate of 1.2% as of March 31, 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letter of credit facilities, maturing through December 2018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8"/>
        </w:trPr>
        <w:tc>
          <w:tcPr>
            <w:tcW w:w="9380" w:type="dxa"/>
            <w:vAlign w:val="bottom"/>
          </w:tcPr>
          <w:p>
            <w:pPr>
              <w:spacing w:after="0"/>
              <w:rPr>
                <w:sz w:val="20"/>
                <w:szCs w:val="20"/>
                <w:color w:val="auto"/>
              </w:rPr>
            </w:pPr>
            <w:r>
              <w:rPr>
                <w:rFonts w:ascii="Arial" w:cs="Arial" w:eastAsia="Arial" w:hAnsi="Arial"/>
                <w:sz w:val="18"/>
                <w:szCs w:val="18"/>
                <w:color w:val="auto"/>
                <w:w w:val="94"/>
              </w:rPr>
              <w:t>Canadian term loan and revolving credit facility, maturing March 2019 (weighted average effective interest rate of 2.1% as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380" w:type="dxa"/>
            <w:vAlign w:val="bottom"/>
          </w:tcPr>
          <w:p>
            <w:pPr>
              <w:ind w:left="220"/>
              <w:spacing w:after="0"/>
              <w:rPr>
                <w:sz w:val="20"/>
                <w:szCs w:val="20"/>
                <w:color w:val="auto"/>
              </w:rPr>
            </w:pPr>
            <w:r>
              <w:rPr>
                <w:rFonts w:ascii="Arial" w:cs="Arial" w:eastAsia="Arial" w:hAnsi="Arial"/>
                <w:sz w:val="18"/>
                <w:szCs w:val="18"/>
                <w:color w:val="auto"/>
              </w:rPr>
              <w:t>March 31, 2017 and December 31, 2016)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w w:val="94"/>
              </w:rPr>
              <w:t>Senior notes maturing through 2045, interest rates ranging from 2.4% to 7.75% (weighted average interest rate of 4.6% as of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 2017 and December 31, 2016)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6,033</w:t>
            </w:r>
          </w:p>
        </w:tc>
      </w:tr>
      <w:tr>
        <w:trPr>
          <w:trHeight w:val="208"/>
        </w:trPr>
        <w:tc>
          <w:tcPr>
            <w:tcW w:w="9380" w:type="dxa"/>
            <w:vAlign w:val="bottom"/>
          </w:tcPr>
          <w:p>
            <w:pPr>
              <w:spacing w:after="0"/>
              <w:rPr>
                <w:sz w:val="20"/>
                <w:szCs w:val="20"/>
                <w:color w:val="auto"/>
              </w:rPr>
            </w:pPr>
            <w:r>
              <w:rPr>
                <w:rFonts w:ascii="Arial" w:cs="Arial" w:eastAsia="Arial" w:hAnsi="Arial"/>
                <w:sz w:val="18"/>
                <w:szCs w:val="18"/>
                <w:color w:val="auto"/>
                <w:w w:val="96"/>
              </w:rPr>
              <w:t>Tax-exempt bonds, maturing through 2045, fixed and variable interest rates ranging from 0.9% to 5.7% (weighted 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380" w:type="dxa"/>
            <w:vAlign w:val="bottom"/>
          </w:tcPr>
          <w:p>
            <w:pPr>
              <w:ind w:left="220"/>
              <w:spacing w:after="0"/>
              <w:rPr>
                <w:sz w:val="20"/>
                <w:szCs w:val="20"/>
                <w:color w:val="auto"/>
              </w:rPr>
            </w:pPr>
            <w:r>
              <w:rPr>
                <w:rFonts w:ascii="Arial" w:cs="Arial" w:eastAsia="Arial" w:hAnsi="Arial"/>
                <w:sz w:val="18"/>
                <w:szCs w:val="18"/>
                <w:color w:val="auto"/>
              </w:rPr>
              <w:t>interest rate of 1.9% as of March 31, 2017 and 1.8% as of December 31, 2016)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2,304</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2,304</w:t>
            </w:r>
          </w:p>
        </w:tc>
      </w:tr>
      <w:tr>
        <w:trPr>
          <w:trHeight w:val="218"/>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9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9,042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9,310</w:t>
            </w:r>
          </w:p>
        </w:tc>
      </w:tr>
      <w:tr>
        <w:trPr>
          <w:trHeight w:val="218"/>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938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8,646</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8,893</w:t>
            </w:r>
          </w:p>
        </w:tc>
      </w:tr>
      <w:tr>
        <w:trPr>
          <w:trHeight w:val="20"/>
        </w:trPr>
        <w:tc>
          <w:tcPr>
            <w:tcW w:w="9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of March 31, 2017, the current portion of our long-term debt balance of $396 million includes (i) $210 million of short-term borrowings under our commercial paper program and (ii) $186 million of other debt with scheduled maturities within the next 12 months, including $126 million of tax-exempt bonds.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March 31, 2017, we have classified $590 million of 6.1% senior notes that mature in March 2018 as long-term because we have the intent and ability to refinance these senior notes on a long-term basis as supported by the forecasted available capacity under our long-term U.S. revolving credit facility (“$2.25 billion revolving credit facility”), as discussed below.</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addition, we have $490 million of tax-exempt bonds with term interest rate periods that expire within the next 12 months and an additional $471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refinance these bonds on a long-term basis as supported by the forecasted available capacity under our $2.25 billion revolving credit facility, as discussed below. Accordingly, we have also classified these borrowings as long-term in our Condensed Consolidated Balance Sheet as of March 31, 2017.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$2.25 Billion Revolving Credit Facility </w:t>
      </w:r>
      <w:r>
        <w:rPr>
          <w:rFonts w:ascii="Arial" w:cs="Arial" w:eastAsia="Arial" w:hAnsi="Arial"/>
          <w:sz w:val="16"/>
          <w:szCs w:val="16"/>
          <w:color w:val="auto"/>
        </w:rPr>
        <w:t>— Our $2.25 billion revolving credit facility maturing in July 2020 provides us with credit capacity to be used for</w:t>
      </w:r>
      <w:r>
        <w:rPr>
          <w:rFonts w:ascii="Arial" w:cs="Arial" w:eastAsia="Arial" w:hAnsi="Arial"/>
          <w:sz w:val="16"/>
          <w:szCs w:val="16"/>
          <w:i w:val="1"/>
          <w:iCs w:val="1"/>
          <w:color w:val="auto"/>
        </w:rPr>
        <w:t xml:space="preserve"> </w:t>
      </w:r>
      <w:r>
        <w:rPr>
          <w:rFonts w:ascii="Arial" w:cs="Arial" w:eastAsia="Arial" w:hAnsi="Arial"/>
          <w:sz w:val="16"/>
          <w:szCs w:val="16"/>
          <w:color w:val="auto"/>
        </w:rPr>
        <w:t>either cash borrowings or to support letters of credit or commercial paper. The rates we pay for outstanding loans are generally based on LIBOR plus a spread depending on the Company’s debt rating assigned by Moody’s Investors Service and Standard and Poor’s. As of March 31, 2017, we had no outstanding borrowings under this facility. We had $783 million of letters of credit issued and $210 million of outstanding borrowings under our commercial paper program, both supported by this facility, leaving unused and available credit capacity of $1,257 million as of March 31, 2017.</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In August 2016, we entered into a $1.5 billion commercial paper program that enables us to borrow funds for up to 397</w:t>
      </w:r>
      <w:r>
        <w:rPr>
          <w:rFonts w:ascii="Arial" w:cs="Arial" w:eastAsia="Arial" w:hAnsi="Arial"/>
          <w:sz w:val="18"/>
          <w:szCs w:val="18"/>
          <w:i w:val="1"/>
          <w:iCs w:val="1"/>
          <w:color w:val="auto"/>
        </w:rPr>
        <w:t xml:space="preserve"> </w:t>
      </w:r>
      <w:r>
        <w:rPr>
          <w:rFonts w:ascii="Arial" w:cs="Arial" w:eastAsia="Arial" w:hAnsi="Arial"/>
          <w:sz w:val="18"/>
          <w:szCs w:val="18"/>
          <w:color w:val="auto"/>
        </w:rPr>
        <w:t>days at competitive interest rates. The commercial paper program is fully supported by our $2.25 billion revolving credit facility. As of March 31, 2017, we had $210 million of net outstanding borrowings under our commercial paper program.</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Canadian Term Loan and Revolving Credit Facility </w:t>
      </w:r>
      <w:r>
        <w:rPr>
          <w:rFonts w:ascii="Arial" w:cs="Arial" w:eastAsia="Arial" w:hAnsi="Arial"/>
          <w:sz w:val="16"/>
          <w:szCs w:val="16"/>
          <w:color w:val="auto"/>
        </w:rPr>
        <w:t>— We have a Canadian credit agreement (which includes a term loan and revolving credit facility)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matures in March 2019. This agreement provides the Company (i) C$50 million of revolving credit capacity, which can be used for borrowings or letters of credit, and (ii) C$460 million of non-revolving term credit that is prepayable without penalty and principal amounts repaid may not be reborrowed. As of March 31, 2017, we had no borrowings or letters of credit outstanding under the Canadian revolving credit facility.</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Other Letter of Credit Facilities </w:t>
      </w:r>
      <w:r>
        <w:rPr>
          <w:rFonts w:ascii="Arial" w:cs="Arial" w:eastAsia="Arial" w:hAnsi="Arial"/>
          <w:sz w:val="18"/>
          <w:szCs w:val="18"/>
          <w:color w:val="auto"/>
        </w:rPr>
        <w:t>— As of March 31, 2017, we had utilized $457 million of other letter of credit facilities, which are both committed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uncommitted, with terms maturing through December 2018.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$2.25 Billion Revolving Credit Facility </w:t>
      </w:r>
      <w:r>
        <w:rPr>
          <w:rFonts w:ascii="Arial" w:cs="Arial" w:eastAsia="Arial" w:hAnsi="Arial"/>
          <w:sz w:val="16"/>
          <w:szCs w:val="16"/>
          <w:color w:val="auto"/>
        </w:rPr>
        <w:t>— During the three months ended March 31, 2017, we had net repayments of $426 million under our $2.25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facility, with $210 million replaced with net borrowings under our commercial paper program and the remainder paid with available cash.</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Canadian Term Loan </w:t>
      </w:r>
      <w:r>
        <w:rPr>
          <w:rFonts w:ascii="Arial" w:cs="Arial" w:eastAsia="Arial" w:hAnsi="Arial"/>
          <w:sz w:val="18"/>
          <w:szCs w:val="18"/>
          <w:color w:val="auto"/>
        </w:rPr>
        <w:t>— During the three months ended March 31, 2017, we repaid C$48 million, or $36 million, of net advances under our Canadian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with available cash.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Cross-Currency Swaps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March 2016, our Canadian subsidiaries repaid C$370 million of intercompany debt to WM Holdings with proceeds from our Canadian term loan. Concurrent with the repayment of the intercompany debt, we terminated the related cross-currency swaps and received $67 million in cash. The cash received from our termination of these swaps was classified as a change in other current assets and other assets within net cash provided by operating activities in the Condensed Consolidated Statement of Cash Flows. In addition, we recognized $8 million of expense associated with the termination of these swaps during the three months ended March 31, 2016, which was included in other, net in the Condensed Consolidated Statement of Operations.</w:t>
      </w:r>
    </w:p>
    <w:p>
      <w:pPr>
        <w:spacing w:after="0" w:line="2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effective income tax rate for the three months ended March 31, 2017 and 2016 was 31.7% and 35.4%, respectively. We evaluate our effective income tax rate at each interim period and adjust it as facts and circumstances warrant. The difference between federal income taxes computed at the federal statutory rate and reported income taxes for the three months ended March 31, 2017 was primarily due to the favorable impact of excess tax benefits related to equity-based compensation and federal tax credits offset, in part, by the unfavorable impact of state and local income taxes and the tax implications of impairments. The difference between federal income taxes computed at the federal statutory rate and reported income taxes for the three months ended March 31, 2016 was primarily due to the unfavorable impact of state and local income taxes offset by the favorable impact of federal tax credits.</w:t>
      </w:r>
    </w:p>
    <w:p>
      <w:pPr>
        <w:spacing w:after="0" w:line="12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Equity-Based Compensation </w:t>
      </w:r>
      <w:r>
        <w:rPr>
          <w:rFonts w:ascii="Arial" w:cs="Arial" w:eastAsia="Arial" w:hAnsi="Arial"/>
          <w:sz w:val="16"/>
          <w:szCs w:val="16"/>
          <w:color w:val="auto"/>
        </w:rPr>
        <w:t>— During the three months ended March 31, 2017, we recognized a reduction in our income tax expense of $32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excess tax benefits related to the vesting or exercise of equity-based compensation awards. See Note 1 for discussion of our adoption of ASU 2016-09.</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We have significant financial interests in entities established to invest in and manage low-income</w:t>
      </w:r>
      <w:r>
        <w:rPr>
          <w:rFonts w:ascii="Arial" w:cs="Arial" w:eastAsia="Arial" w:hAnsi="Arial"/>
          <w:sz w:val="18"/>
          <w:szCs w:val="18"/>
          <w:i w:val="1"/>
          <w:iCs w:val="1"/>
          <w:color w:val="auto"/>
        </w:rPr>
        <w:t xml:space="preserve"> </w:t>
      </w:r>
      <w:r>
        <w:rPr>
          <w:rFonts w:ascii="Arial" w:cs="Arial" w:eastAsia="Arial" w:hAnsi="Arial"/>
          <w:sz w:val="18"/>
          <w:szCs w:val="18"/>
          <w:color w:val="auto"/>
        </w:rPr>
        <w:t>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2020 under Section 42 and through 2019 under Section 45, respectively, of the Internal Revenue Code.</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both the three months ended March 31, 2017 and 2016, we recognized $6 million of net losses and a reduction in our income tax expense of $11 million, primarily because of tax credits realized from these investments. In addition, during both the three months ended March 31, 2017 and 2016, we recognized interest expense of $1 million associated with our investment in low-income housing properties. See Note 13 for additional information related to these unconsolidated variable interest entities.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40" w:type="dxa"/>
            <w:vAlign w:val="bottom"/>
          </w:tcPr>
          <w:p>
            <w:pPr>
              <w:ind w:left="4200"/>
              <w:spacing w:after="0"/>
              <w:rPr>
                <w:sz w:val="20"/>
                <w:szCs w:val="20"/>
                <w:color w:val="auto"/>
              </w:rPr>
            </w:pPr>
            <w:r>
              <w:rPr>
                <w:rFonts w:ascii="Arial" w:cs="Arial" w:eastAsia="Arial" w:hAnsi="Arial"/>
                <w:sz w:val="18"/>
                <w:szCs w:val="18"/>
                <w:b w:val="1"/>
                <w:bCs w:val="1"/>
                <w:color w:val="auto"/>
              </w:rPr>
              <w:t>WASTE MANAGEMENT, INC.</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40" w:type="dxa"/>
            <w:vAlign w:val="bottom"/>
          </w:tcPr>
          <w:p>
            <w:pPr>
              <w:ind w:left="1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944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16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4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40" w:type="dxa"/>
            <w:vAlign w:val="bottom"/>
          </w:tcPr>
          <w:p>
            <w:pPr>
              <w:ind w:left="140"/>
              <w:spacing w:after="0"/>
              <w:rPr>
                <w:sz w:val="20"/>
                <w:szCs w:val="20"/>
                <w:color w:val="auto"/>
              </w:rPr>
            </w:pPr>
            <w:r>
              <w:rPr>
                <w:rFonts w:ascii="Arial" w:cs="Arial" w:eastAsia="Arial" w:hAnsi="Arial"/>
                <w:sz w:val="18"/>
                <w:szCs w:val="18"/>
                <w:color w:val="auto"/>
              </w:rPr>
              <w:t>Effect of using weighted average common shares outstanding</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40" w:type="dxa"/>
            <w:vAlign w:val="bottom"/>
          </w:tcPr>
          <w:p>
            <w:pPr>
              <w:ind w:left="140"/>
              <w:spacing w:after="0"/>
              <w:rPr>
                <w:sz w:val="20"/>
                <w:szCs w:val="20"/>
                <w:color w:val="auto"/>
              </w:rPr>
            </w:pPr>
            <w:r>
              <w:rPr>
                <w:rFonts w:ascii="Arial" w:cs="Arial" w:eastAsia="Arial" w:hAnsi="Arial"/>
                <w:sz w:val="18"/>
                <w:szCs w:val="18"/>
                <w:color w:val="auto"/>
              </w:rPr>
              <w:t>Dilutive effect of equity-based compensation awards and other contingently issuable shares(a)</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448.6</w:t>
            </w:r>
          </w:p>
        </w:tc>
        <w:tc>
          <w:tcPr>
            <w:tcW w:w="0" w:type="dxa"/>
            <w:vAlign w:val="bottom"/>
          </w:tcPr>
          <w:p>
            <w:pPr>
              <w:spacing w:after="0"/>
              <w:rPr>
                <w:sz w:val="1"/>
                <w:szCs w:val="1"/>
                <w:color w:val="auto"/>
              </w:rPr>
            </w:pPr>
          </w:p>
        </w:tc>
      </w:tr>
      <w:tr>
        <w:trPr>
          <w:trHeight w:val="20"/>
        </w:trPr>
        <w:tc>
          <w:tcPr>
            <w:tcW w:w="9740" w:type="dxa"/>
            <w:vAlign w:val="bottom"/>
            <w:gridSpan w:val="3"/>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740" w:type="dxa"/>
            <w:vAlign w:val="bottom"/>
            <w:gridSpan w:val="3"/>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January 1, 2017, we adopted ASU 2016-09 prospectively and no longer include excess tax benefits as assumed proceeds. See Note 1 for further discussion.</w:t>
      </w:r>
    </w:p>
    <w:p>
      <w:pPr>
        <w:spacing w:after="0" w:line="24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general liability, automobile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retentions, the exposure for unpaid claims and associated expenses, including incurred but not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reported losses, is based on an actuarial valuation or internal estimates. The accruals for these liabilities could be revised if future occurrences or loss development significantly differ from such valuations and estimates. We do not expect the impact of any known casualty, property, environmental or other contingency to have a material impact on our financial condition, results of operations or cash flows.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In the ordinary course of our business, WM and WM Holdings enter into guarantee agreements associated with their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14 for further information.</w:t>
      </w:r>
    </w:p>
    <w:p>
      <w:pPr>
        <w:spacing w:after="0" w:line="14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have also guaranteed the obligations and certain performance requirements of, and provided indemnification to, third parties as of March 31, 2017 in connection with both consolidated and unconsolidated entities, including agreements guaranteeing certain market value losses for approximately 850 homeowners’ properties adjacent to or near 22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financial condition, results of operations or cash flows.</w:t>
      </w:r>
    </w:p>
    <w:p>
      <w:pPr>
        <w:spacing w:after="0" w:line="11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December 2014, we sold our Wheelabrator business, which provides waste-to-energy services and manages waste-to-energy facilities and independent power production plants. Before the divestiture of our Wheelabrator business,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When possible, Wheelabrator seeks to have the applicable third-party beneficiaries release WM from these guarantees, but until such efforts are successful or the underlying financial commitments are restructured, WM has agreed to retain the guarantees and, in exchange, receive a credit support fee or other financial assurances guaranteed by a third-party financial institution to protect WM in the event of non-compliance by Wheelabrator. The most significant of these guarantees specifically define WM’s maximum financial obligation over the course of the relevant agreements. As of March 31, 2017 and December 31, 2016, WM’s maximum future payments under these guarantees was $96 million. WM’s exposure under certain of the performance guarantees is variable and a maximum exposure is not defined. We have recorded the fair value of the operational and financial performance guarantees, some of which could extend through 2038 if not terminated, in our Condensed Consolidated Balance Sheets. The estimated fair value of WM’s potential obligation associated with guarantees of Wheelabrator obligations (net of credit support fee or indemnification asset) as of March 31, 2017 and December 31, 2016 was $10 million and $11 million, respectively. We currently do not expect the financial impact of such operational and financial performance guarantees to materially exceed the recorded fair value.</w:t>
      </w:r>
    </w:p>
    <w:p>
      <w:pPr>
        <w:spacing w:after="0" w:line="12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A significant portion of our operating costs and capital expenditures could be characterized as costs of environmental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$118 million higher than the $243 million recorded in the Condensed Consolidated Balance Sheet as of March 31, 2017.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or income from operations. These adjustments could be material in any given period.</w:t>
      </w:r>
    </w:p>
    <w:p>
      <w:pPr>
        <w:spacing w:after="0" w:line="12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March 31, 2017, we had been notified by the government that we are a PRP in connection with 76 locations listed on the Environmental Protection Agency’s (“EPA’s”) Superfund National Priorities List (“NPL”). Of the 76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September 2016, the EPA announced a proposed remediation plan for the San Jacinto waste pits in Harris County, Texas, naming McGinnes Industrial Maintenance Corporation (“MIMC”), a subsidiary of WM, as a PRP. MIMC operated the waste pits from 1965 to 1966. In 1998, WM acquired the stock of the parent entity of MIMC. The remedy and remedial design plan for the site are not yet final. A notice and comment period with respect to the remedy closed on January 12, 2017. MIMC filed comments, detailing its disagreement with the proposed remedy put forth by the EPA and is continuing to focus on a solution that it believes best protects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environment and public health. MIMC’s ultimate liability could be materially different from current estimates. We remain an active participant in the EPA’s process established to evaluate and determine the appropriate remedy and remedial design plan for this site. As of March 31, 2017 and December 31, 2016, our recorded liability for MIMC’s estimated share of the EPA’s proposed remedy was $45 million and $46 million, respectively.</w:t>
      </w:r>
    </w:p>
    <w:p>
      <w:pPr>
        <w:spacing w:after="0" w:line="10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62" w:lineRule="exact"/>
        <w:rPr>
          <w:sz w:val="20"/>
          <w:szCs w:val="20"/>
          <w:color w:val="auto"/>
        </w:rPr>
      </w:pPr>
    </w:p>
    <w:p>
      <w:pPr>
        <w:jc w:val="both"/>
        <w:ind w:left="460" w:firstLine="438"/>
        <w:spacing w:after="0" w:line="255" w:lineRule="auto"/>
        <w:rPr>
          <w:sz w:val="20"/>
          <w:szCs w:val="20"/>
          <w:color w:val="auto"/>
        </w:rPr>
      </w:pPr>
      <w:r>
        <w:rPr>
          <w:rFonts w:ascii="Arial" w:cs="Arial" w:eastAsia="Arial" w:hAnsi="Arial"/>
          <w:sz w:val="18"/>
          <w:szCs w:val="18"/>
          <w:color w:val="auto"/>
        </w:rPr>
        <w:t>On January 10, 2017, the Pennsylvania Department of Environmental Protection (“DEP”) solid waste program advised us that it intends to seek civil penalties against the Grows North and Tullytown Landfills (“Grows/Tullytown”), located in southeast Pennsylvania and owned by indirect wholly-owned subsidiaries of WM, related to operational issues, including litter and leachate discharges. Additionally, we received notice on March 15, 2017 that the DEP clean water program also intends to seek civil penalties related to similar underlying events and operational issues at Grows/Tullytown. Our internal review of these matters is in process.</w:t>
      </w:r>
    </w:p>
    <w:p>
      <w:pPr>
        <w:spacing w:after="0" w:line="62"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Waste Management of Hawaii, Inc. (“WMHI”), an indirect wholly-owned subsidiary of WM, may face civil claims from the Hawaii Department of Health and/or the EPA based upon water discharges at the Waimanalo Gulch Sanitary Landfill, which WMHI operates for the city and county of Honolulu, following three major rainstorms in December 2010 and January 2011.</w:t>
      </w:r>
    </w:p>
    <w:p>
      <w:pPr>
        <w:spacing w:after="0" w:line="59"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0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2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As a large company with operations across the United States and Canada, we are subject to various proceedings, lawsuits, disputes and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the ordinary course of our business. Many of these actions raise complex factual and legal issues and are subject to uncertainties. Actions that have been filed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our President and Chief Executive Officer, our Chief Operating Officer, our Chief Financial Officer and certain other senior vice presidents.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1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local unions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liabilities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participate in the IRS’s Compliance Assurance Process, which means we work with the IRS throughout the year towards resolving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issues prior to the filing of our annual tax return. Any unresolved issues as of the tax return filing date are subject to routine examination procedures. We are currently in the examination phase of IRS audits for the tax years 2014, 2015, 2016 and 2017 and expect these audits to be completed within the next nine, 12, 18 and 30 months, respectively. We are also currently undergoing audits by various state and local jurisdictions for tax years that date back to 2009, with the exception of affirmative claims in a limited number of jurisdictions that date back to 2000. We maintain a liability for uncertain tax positions,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balance of which management believes is adequate. Results of audit assessments by taxing authorities are not currently expected to have a material adverse effect on our financial condition, results of operations or cash flows.</w:t>
      </w:r>
    </w:p>
    <w:p>
      <w:pPr>
        <w:spacing w:after="0" w:line="2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evaluate, oversee and manage the financial performance of our Solid Waste subsidiaries through our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Tier 1 is comprised of our operations across the Southern United States, with the exception of Southern California and the Florida peninsula and also includes the New England states, the tri-state area of Michigan, Indiana and Ohio and Western Canada. Tier 2 includes Southern California, Eastern Canada, Wisconsin, Minnesota and a portion of the lower Mid-Atlantic region of the United States. Tier 3 encompasses all the remaining operations including the Pacific Northwest and Northern California, the majority of the Mid-Atlantic region of the United States, the Florida peninsula, Illinois and Missouri.</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Summarized financial information concerning our reportable segments for the three months ended March 31 is shown in the following table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13"/>
              <w:spacing w:after="0"/>
              <w:rPr>
                <w:sz w:val="20"/>
                <w:szCs w:val="20"/>
                <w:color w:val="auto"/>
              </w:rPr>
            </w:pPr>
            <w:r>
              <w:rPr>
                <w:rFonts w:ascii="Arial" w:cs="Arial" w:eastAsia="Arial" w:hAnsi="Arial"/>
                <w:sz w:val="14"/>
                <w:szCs w:val="14"/>
                <w:b w:val="1"/>
                <w:bCs w:val="1"/>
                <w:color w:val="auto"/>
              </w:rPr>
              <w:t>Net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Operating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Operating</w:t>
            </w:r>
          </w:p>
        </w:tc>
        <w:tc>
          <w:tcPr>
            <w:tcW w:w="3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Revenues</w:t>
            </w:r>
          </w:p>
        </w:tc>
        <w:tc>
          <w:tcPr>
            <w:tcW w:w="3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7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44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3,509</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(624)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2,885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4,112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(672)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3,440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4,112</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(672)</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3,440</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1,029</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44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(566)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2,716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(606)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3,176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3,782</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(606)</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3,176</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In addition, our revenues and income from operations typically reflect seasonal patterns. 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United States, can increase our revenues in the Areas affected. While weather conditions and other event driven special projects can boost revenues through additional work for a limited time, as a result of significant start-up costs and other factors, such revenue can generate earnings at comparatively lower margins.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Southern Waste Systems/Sun Recyclin</w:t>
      </w:r>
      <w:r>
        <w:rPr>
          <w:rFonts w:ascii="Arial" w:cs="Arial" w:eastAsia="Arial" w:hAnsi="Arial"/>
          <w:sz w:val="18"/>
          <w:szCs w:val="18"/>
          <w:color w:val="auto"/>
        </w:rPr>
        <w:t>g</w:t>
      </w:r>
      <w:r>
        <w:rPr>
          <w:rFonts w:ascii="Arial" w:cs="Arial" w:eastAsia="Arial" w:hAnsi="Arial"/>
          <w:sz w:val="18"/>
          <w:szCs w:val="18"/>
          <w:i w:val="1"/>
          <w:iCs w:val="1"/>
          <w:color w:val="auto"/>
        </w:rPr>
        <w:t xml:space="preserve"> (“SWS”) </w:t>
      </w:r>
      <w:r>
        <w:rPr>
          <w:rFonts w:ascii="Arial" w:cs="Arial" w:eastAsia="Arial" w:hAnsi="Arial"/>
          <w:sz w:val="18"/>
          <w:szCs w:val="18"/>
          <w:color w:val="auto"/>
        </w:rPr>
        <w:t>— On January 8, 2016, Waste Management Inc. of Florida, an indirect wholly-owned subsidiary of WM,</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consideration for SWS was allocated as follows: $93 million of property and equipment, $182 million of other intangible assets and $250 million of goodwill. The acquisition accounting for this transaction was finalized in the third quarter of 2016. There were no significant measurement period adjustments recorded in 2016. The goodwill has been assigned to our Florida Area, in Tier 3, and is tax deductible.</w:t>
      </w:r>
    </w:p>
    <w:p>
      <w:pPr>
        <w:spacing w:after="0" w:line="256" w:lineRule="exact"/>
        <w:rPr>
          <w:sz w:val="20"/>
          <w:szCs w:val="20"/>
          <w:color w:val="auto"/>
        </w:rPr>
      </w:pPr>
    </w:p>
    <w:p>
      <w:pPr>
        <w:jc w:val="center"/>
        <w:ind w:left="240" w:right="7880" w:hanging="232"/>
        <w:spacing w:after="0" w:line="447" w:lineRule="auto"/>
        <w:tabs>
          <w:tab w:leader="none" w:pos="458"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Asset Impairments and Unusual Items </w:t>
      </w:r>
      <w:r>
        <w:rPr>
          <w:rFonts w:ascii="Arial" w:cs="Arial" w:eastAsia="Arial" w:hAnsi="Arial"/>
          <w:sz w:val="14"/>
          <w:szCs w:val="14"/>
          <w:b w:val="1"/>
          <w:bCs w:val="1"/>
          <w:i w:val="1"/>
          <w:iCs w:val="1"/>
          <w:color w:val="auto"/>
        </w:rPr>
        <w:t>Equity in net losses of unconsolidated entities</w:t>
      </w:r>
    </w:p>
    <w:p>
      <w:pPr>
        <w:spacing w:after="0" w:line="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three months ended March 31, 2017, we recognized a $25 million charge to write down an equity method investment in a waste diversion technology company to its fair value.</w:t>
      </w:r>
    </w:p>
    <w:p>
      <w:pPr>
        <w:spacing w:after="0" w:line="24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7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The changes in the balances of each component of accumulated other comprehensive loss, net of tax benefit, which is included as a component of Waste Management, Inc. stockholders’ equity, are as follows (in millions, with amounts in parentheses representing increases to accumulated other comprehensive loss):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2016</w:t>
      </w:r>
    </w:p>
    <w:p>
      <w:pPr>
        <w:spacing w:after="0" w:line="23" w:lineRule="exact"/>
        <w:rPr>
          <w:sz w:val="20"/>
          <w:szCs w:val="20"/>
          <w:color w:val="auto"/>
        </w:rPr>
      </w:pPr>
    </w:p>
    <w:p>
      <w:pPr>
        <w:ind w:left="440" w:right="460" w:hanging="215"/>
        <w:spacing w:after="0" w:line="254" w:lineRule="auto"/>
        <w:rPr>
          <w:sz w:val="20"/>
          <w:szCs w:val="20"/>
          <w:color w:val="auto"/>
        </w:rPr>
      </w:pPr>
      <w:r>
        <w:rPr>
          <w:rFonts w:ascii="Arial" w:cs="Arial" w:eastAsia="Arial" w:hAnsi="Arial"/>
          <w:sz w:val="18"/>
          <w:szCs w:val="18"/>
          <w:color w:val="auto"/>
        </w:rPr>
        <w:t>Other comprehensive income before reclassifications, net of tax expense of $0, $1, $0 and $0, respectively</w:t>
      </w:r>
    </w:p>
    <w:p>
      <w:pPr>
        <w:ind w:left="440" w:hanging="215"/>
        <w:spacing w:after="0" w:line="261" w:lineRule="auto"/>
        <w:rPr>
          <w:sz w:val="20"/>
          <w:szCs w:val="20"/>
          <w:color w:val="auto"/>
        </w:rPr>
      </w:pPr>
      <w:r>
        <w:rPr>
          <w:rFonts w:ascii="Arial" w:cs="Arial" w:eastAsia="Arial" w:hAnsi="Arial"/>
          <w:sz w:val="18"/>
          <w:szCs w:val="18"/>
          <w:color w:val="auto"/>
        </w:rPr>
        <w:t>Amounts reclassified from accumulated other comprehensive loss, net of tax benefit of $1, $0, $0 and $0, respectively</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Post-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13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Benefit</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Instruments</w:t>
            </w:r>
          </w:p>
        </w:tc>
        <w:tc>
          <w:tcPr>
            <w:tcW w:w="62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Securities</w:t>
            </w:r>
          </w:p>
        </w:tc>
        <w:tc>
          <w:tcPr>
            <w:tcW w:w="5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6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Obligation</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$(80)</w:t>
            </w:r>
          </w:p>
        </w:tc>
        <w:tc>
          <w:tcPr>
            <w:tcW w:w="60" w:type="dxa"/>
            <w:vAlign w:val="bottom"/>
          </w:tcPr>
          <w:p>
            <w:pPr>
              <w:spacing w:after="0"/>
              <w:rPr>
                <w:sz w:val="18"/>
                <w:szCs w:val="18"/>
                <w:color w:val="auto"/>
              </w:rPr>
            </w:pPr>
          </w:p>
        </w:tc>
      </w:tr>
      <w:tr>
        <w:trPr>
          <w:trHeight w:val="424"/>
        </w:trPr>
        <w:tc>
          <w:tcPr>
            <w:tcW w:w="280" w:type="dxa"/>
            <w:vAlign w:val="bottom"/>
          </w:tcPr>
          <w:p>
            <w:pPr>
              <w:spacing w:after="0"/>
              <w:rPr>
                <w:sz w:val="24"/>
                <w:szCs w:val="2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r>
      <w:tr>
        <w:trPr>
          <w:trHeight w:val="432"/>
        </w:trPr>
        <w:tc>
          <w:tcPr>
            <w:tcW w:w="280" w:type="dxa"/>
            <w:vAlign w:val="bottom"/>
          </w:tcPr>
          <w:p>
            <w:pPr>
              <w:spacing w:after="0"/>
              <w:rPr>
                <w:sz w:val="24"/>
                <w:szCs w:val="2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-692785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-272415</wp:posOffset>
            </wp:positionV>
            <wp:extent cx="72466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160" w:space="620"/>
            <w:col w:w="56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7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w:t>
            </w:r>
          </w:p>
        </w:tc>
        <w:tc>
          <w:tcPr>
            <w:tcW w:w="2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2017</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There were no derivatives outstanding as of March 31, 2017. The amounts of other comprehensive loss before reclassifications associated with the effective portion of derivatives designated as cash flow hedges for the three months ended March 31, 2016 were as follows (in millions):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1"/>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Tax benefit</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4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20" w:type="dxa"/>
            <w:vAlign w:val="bottom"/>
            <w:vMerge w:val="restart"/>
          </w:tcPr>
          <w:p>
            <w:pPr>
              <w:jc w:val="right"/>
              <w:ind w:right="327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significant amounts reclassified out of each component of accumulated other comprehensive loss associated with our cash flow hedges for the three months ended March 31 are as follows (in millions, with amounts in parentheses representing debits to the statement of operations classification):</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ind w:left="460"/>
              <w:spacing w:after="0"/>
              <w:rPr>
                <w:sz w:val="20"/>
                <w:szCs w:val="20"/>
                <w:color w:val="auto"/>
              </w:rPr>
            </w:pPr>
            <w:r>
              <w:rPr>
                <w:rFonts w:ascii="Arial" w:cs="Arial" w:eastAsia="Arial" w:hAnsi="Arial"/>
                <w:sz w:val="14"/>
                <w:szCs w:val="14"/>
                <w:b w:val="1"/>
                <w:bCs w:val="1"/>
                <w:color w:val="auto"/>
              </w:rPr>
              <w:t>Statement of</w:t>
            </w:r>
          </w:p>
        </w:tc>
      </w:tr>
      <w:tr>
        <w:trPr>
          <w:trHeight w:val="161"/>
        </w:trPr>
        <w:tc>
          <w:tcPr>
            <w:tcW w:w="444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2017</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1"/>
              </w:rPr>
              <w:t>Operations Classification</w:t>
            </w:r>
          </w:p>
        </w:tc>
      </w:tr>
      <w:tr>
        <w:trPr>
          <w:trHeight w:val="210"/>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Forward-starting interest rate swaps</w:t>
            </w:r>
          </w:p>
        </w:tc>
        <w:tc>
          <w:tcPr>
            <w:tcW w:w="1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 (3)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expense, net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68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(20)</w:t>
            </w:r>
          </w:p>
        </w:tc>
        <w:tc>
          <w:tcPr>
            <w:tcW w:w="1640" w:type="dxa"/>
            <w:vAlign w:val="bottom"/>
          </w:tcPr>
          <w:p>
            <w:pPr>
              <w:spacing w:after="0"/>
              <w:rPr>
                <w:sz w:val="20"/>
                <w:szCs w:val="20"/>
                <w:color w:val="auto"/>
              </w:rPr>
            </w:pPr>
            <w:r>
              <w:rPr>
                <w:rFonts w:ascii="Arial" w:cs="Arial" w:eastAsia="Arial" w:hAnsi="Arial"/>
                <w:sz w:val="18"/>
                <w:szCs w:val="18"/>
                <w:color w:val="auto"/>
              </w:rPr>
              <w:t>Other, net</w:t>
            </w:r>
          </w:p>
        </w:tc>
      </w:tr>
      <w:tr>
        <w:trPr>
          <w:trHeight w:val="27"/>
        </w:trPr>
        <w:tc>
          <w:tcPr>
            <w:tcW w:w="4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(23)</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 before tax</w:t>
            </w:r>
          </w:p>
        </w:tc>
      </w:tr>
      <w:tr>
        <w:trPr>
          <w:trHeight w:val="223"/>
        </w:trPr>
        <w:tc>
          <w:tcPr>
            <w:tcW w:w="4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Tax benefit</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reclassifications for the period</w:t>
            </w:r>
          </w:p>
        </w:tc>
        <w:tc>
          <w:tcPr>
            <w:tcW w:w="2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(14)</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r>
      <w:tr>
        <w:trPr>
          <w:trHeight w:val="20"/>
        </w:trPr>
        <w:tc>
          <w:tcPr>
            <w:tcW w:w="4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 Program</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share repurchases have been authorized by our Board of Directors. The Company entered into an accelerated share repurchase (“ASR”) agreement in November 2016 to repurchase $225 million of our common stock. At the beginning of the repurchase period, we delivered $225 million in cash and received 2.8 million shares based on a stock price of $63.41. The ASR agreement completed in February 2017, at which time we received 0.4 million additional shares based on a final weighted average per share purchase price during the repurchase period of $69.43.</w:t>
      </w:r>
    </w:p>
    <w:p>
      <w:pPr>
        <w:spacing w:after="0" w:line="11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account for ASR agreements as two separate transactions: (i) as shares of reacquired common stock for the shares delivered to us upon effectiveness of the ASR agreement and (ii) as a forward contract indexed to our own common stock for the undelivered shares. The initial delivery of shares is included in treasury stock at cost, and results in an immediate reduction of the outstanding shares used to calculate the weighted average common shares outstanding for basic and diluted earnings per share. The forward contracts indexed to our own common stock meet the criteria for equity classification, and these amounts are initially recorded in additional paid-in capital and reclassified to treasury stock upon completion of the ASR agreement.</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authorization for $750 million of future share repurchases. Any future share repurchases pursuant to the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center"/>
              <w:ind w:left="226"/>
              <w:spacing w:after="0"/>
              <w:rPr>
                <w:sz w:val="20"/>
                <w:szCs w:val="20"/>
                <w:color w:val="auto"/>
              </w:rPr>
            </w:pPr>
            <w:r>
              <w:rPr>
                <w:rFonts w:ascii="Arial" w:cs="Arial" w:eastAsia="Arial" w:hAnsi="Arial"/>
                <w:sz w:val="14"/>
                <w:szCs w:val="14"/>
                <w:b w:val="1"/>
                <w:bCs w:val="1"/>
                <w:color w:val="auto"/>
                <w:w w:val="87"/>
              </w:rPr>
              <w:t>Fair Value Measurements as of</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06"/>
              <w:spacing w:after="0"/>
              <w:rPr>
                <w:sz w:val="20"/>
                <w:szCs w:val="20"/>
                <w:color w:val="auto"/>
              </w:rPr>
            </w:pPr>
            <w:r>
              <w:rPr>
                <w:rFonts w:ascii="Arial" w:cs="Arial" w:eastAsia="Arial" w:hAnsi="Arial"/>
                <w:sz w:val="14"/>
                <w:szCs w:val="14"/>
                <w:b w:val="1"/>
                <w:bCs w:val="1"/>
                <w:color w:val="auto"/>
                <w:w w:val="88"/>
              </w:rPr>
              <w:t>March 31, 2017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4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Prices in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7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Markets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(Level 1)</w:t>
            </w:r>
          </w:p>
        </w:tc>
        <w:tc>
          <w:tcPr>
            <w:tcW w:w="740" w:type="dxa"/>
            <w:vAlign w:val="bottom"/>
          </w:tcPr>
          <w:p>
            <w:pPr>
              <w:spacing w:after="0"/>
              <w:rPr>
                <w:sz w:val="14"/>
                <w:szCs w:val="14"/>
                <w:color w:val="auto"/>
              </w:rPr>
            </w:pPr>
          </w:p>
        </w:tc>
        <w:tc>
          <w:tcPr>
            <w:tcW w:w="14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(Level 2)</w:t>
            </w: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$ 36</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Redeemable preferred stock</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80" w:type="dxa"/>
            <w:vAlign w:val="bottom"/>
            <w:gridSpan w:val="2"/>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179</w:t>
            </w:r>
          </w:p>
        </w:tc>
        <w:tc>
          <w:tcPr>
            <w:tcW w:w="7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89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4"/>
          </w:tcPr>
          <w:p>
            <w:pPr>
              <w:jc w:val="center"/>
              <w:ind w:left="226"/>
              <w:spacing w:after="0"/>
              <w:rPr>
                <w:sz w:val="20"/>
                <w:szCs w:val="20"/>
                <w:color w:val="auto"/>
              </w:rPr>
            </w:pPr>
            <w:r>
              <w:rPr>
                <w:rFonts w:ascii="Arial" w:cs="Arial" w:eastAsia="Arial" w:hAnsi="Arial"/>
                <w:sz w:val="14"/>
                <w:szCs w:val="14"/>
                <w:b w:val="1"/>
                <w:bCs w:val="1"/>
                <w:color w:val="auto"/>
                <w:w w:val="87"/>
              </w:rPr>
              <w:t>Fair Value Measurements as of</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26"/>
              <w:spacing w:after="0"/>
              <w:rPr>
                <w:sz w:val="20"/>
                <w:szCs w:val="20"/>
                <w:color w:val="auto"/>
              </w:rPr>
            </w:pPr>
            <w:r>
              <w:rPr>
                <w:rFonts w:ascii="Arial" w:cs="Arial" w:eastAsia="Arial" w:hAnsi="Arial"/>
                <w:sz w:val="14"/>
                <w:szCs w:val="14"/>
                <w:b w:val="1"/>
                <w:bCs w:val="1"/>
                <w:color w:val="auto"/>
                <w:w w:val="85"/>
              </w:rPr>
              <w:t>December 31, 2016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4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Prices in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7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Markets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(Level 1)</w:t>
            </w:r>
          </w:p>
        </w:tc>
        <w:tc>
          <w:tcPr>
            <w:tcW w:w="740" w:type="dxa"/>
            <w:vAlign w:val="bottom"/>
          </w:tcPr>
          <w:p>
            <w:pPr>
              <w:spacing w:after="0"/>
              <w:rPr>
                <w:sz w:val="14"/>
                <w:szCs w:val="14"/>
                <w:color w:val="auto"/>
              </w:rPr>
            </w:pPr>
          </w:p>
        </w:tc>
        <w:tc>
          <w:tcPr>
            <w:tcW w:w="14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(Level 2)</w:t>
            </w: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$ 35</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Redeemable preferred stock</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80" w:type="dxa"/>
            <w:vAlign w:val="bottom"/>
            <w:gridSpan w:val="2"/>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174</w:t>
            </w:r>
          </w:p>
        </w:tc>
        <w:tc>
          <w:tcPr>
            <w:tcW w:w="7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85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analysis, third-party appraisals or industry multiples and public comparables. There has not been any significant change in the fair value of the redeemable preferred stock since our assessment as of December 31, 2016.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March 31, 2017 and December 31, 2016, the carrying value of our debt was approximately $9.0 billion and $9.3 billion, respectively. The estimated fair value of our debt was approximately $9.5 billion and $9.7 billion as of March 31, 2017 and December 31, 2016, respectively. The fair value of our fixed-rate debt is estimated by using a discounted cash flow approach and current market rates for similar types of instruments. The carrying value of our variable-rate debt approximates fair value due to the short-term nature of the interest rates. The decrease in the fair value of our debt when comparing March 31, 2017 with December 31, 2016 is primarily related to net repayments of $277 million during 2017.</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March 31, 2017 and December 31, 2016. These amounts have not been revalued since those dates, and current estimates of fair value could differ significantly from the amounts presented.</w:t>
      </w:r>
    </w:p>
    <w:p>
      <w:pPr>
        <w:spacing w:after="0" w:line="26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Following is a description of our financial interests in both unconsolidated and consolidated variable interest entities that we consider significant: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Unconsolidated Variable Interest Entities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Low-Income Housing Properties and Refined Coal Facility Investments </w:t>
      </w:r>
      <w:r>
        <w:rPr>
          <w:rFonts w:ascii="Arial" w:cs="Arial" w:eastAsia="Arial" w:hAnsi="Arial"/>
          <w:sz w:val="16"/>
          <w:szCs w:val="16"/>
          <w:color w:val="auto"/>
        </w:rPr>
        <w:t>— We have significant financial interests in entities established to invest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low-income housing properties and a refined coal facility. We support the operations of these entities in exchange for a pro-rata share of the tax credits they generate. We do not consolidate these entities as we have determined we are not the primary beneficiary of these entities as we do not have the power to individually direct the activities of these entities. Accordingly, we account for these investments under the equity method of accounting. As of March 31, 2017 and December 31, 2016, our aggregate investment balance in these two entities was $81 million and $84 million, respectively. The debt balance related to our investment in low-income housing properties was $51 million and $57 million as of March 31, 2017 and December 31, 2016, respectively. Additional information related to these investments is discussed in Note 4.</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Trust Funds for Final Capping, Closure, Post-Closure or Environmental Remediation Obligations — </w:t>
      </w:r>
      <w:r>
        <w:rPr>
          <w:rFonts w:ascii="Arial" w:cs="Arial" w:eastAsia="Arial" w:hAnsi="Arial"/>
          <w:sz w:val="16"/>
          <w:szCs w:val="16"/>
          <w:color w:val="auto"/>
        </w:rPr>
        <w:t>We have significant financial interests in trust funds</w:t>
      </w:r>
      <w:r>
        <w:rPr>
          <w:rFonts w:ascii="Arial" w:cs="Arial" w:eastAsia="Arial" w:hAnsi="Arial"/>
          <w:sz w:val="16"/>
          <w:szCs w:val="16"/>
          <w:i w:val="1"/>
          <w:iCs w:val="1"/>
          <w:color w:val="auto"/>
        </w:rPr>
        <w:t xml:space="preserve"> </w:t>
      </w:r>
      <w:r>
        <w:rPr>
          <w:rFonts w:ascii="Arial" w:cs="Arial" w:eastAsia="Arial" w:hAnsi="Arial"/>
          <w:sz w:val="16"/>
          <w:szCs w:val="16"/>
          <w:color w:val="auto"/>
        </w:rPr>
        <w:t>that were created to settle certain of our final capping, closure, post-closure or environmental remediation obligations. Certain of the funds have been established for the benefit of both the Company and the host community in which we operate. We have determined that these trust funds are variable interest entities; however, we do not consolidate these trust funds as we are not the primary beneficiary of these entities because either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Our investments and receivables related to these trusts had an aggregate carrying value of $95 million and $93 million as of March 31, 2017 and December 31, 2016, respectively.</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the party with primary responsibility to fund the related final capping, closure, post-closure or environmental remediation activities for these trust funds, we are exposed to risk of loss if there are declines in the fair value of the assets of the trust. We currently expect the trust funds to continue to meet the statutory requirements for which they were established.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Trust Funds for Final Capping, Closure, Post-Closure or Environmental Remediation Obligations — </w:t>
      </w:r>
      <w:r>
        <w:rPr>
          <w:rFonts w:ascii="Arial" w:cs="Arial" w:eastAsia="Arial" w:hAnsi="Arial"/>
          <w:sz w:val="18"/>
          <w:szCs w:val="18"/>
          <w:color w:val="auto"/>
        </w:rPr>
        <w:t>We also have significant financial interests in trust</w:t>
      </w:r>
      <w:r>
        <w:rPr>
          <w:rFonts w:ascii="Arial" w:cs="Arial" w:eastAsia="Arial" w:hAnsi="Arial"/>
          <w:sz w:val="18"/>
          <w:szCs w:val="18"/>
          <w:i w:val="1"/>
          <w:iCs w:val="1"/>
          <w:color w:val="auto"/>
        </w:rPr>
        <w:t xml:space="preserve"> </w:t>
      </w:r>
      <w:r>
        <w:rPr>
          <w:rFonts w:ascii="Arial" w:cs="Arial" w:eastAsia="Arial" w:hAnsi="Arial"/>
          <w:sz w:val="18"/>
          <w:szCs w:val="18"/>
          <w:color w:val="auto"/>
        </w:rPr>
        <w:t>funds, for which we are the sole beneficiary, that were created to settle certain of our final capping, closure, post-closure or environmental remediation obligations. We have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determined that these trust funds are variable interest entities, and we consolidate these trust funds because we are the primary beneficiary. We account for these trust funds as long-term other assets in our Condensed Consolidated Balance Sheets. We reflect our interests in the unrealized gains and losses on available-for-sale securities held by these trusts as a component of accumulated other comprehensive loss. These trusts had a fair value of $97 million and $95 million as of March 31, 2017 and December 31, 2016, respectively.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also have primary responsibility to fund the related final capping, closure, post-closure or environmental remediation activities for these trust funds, and we are exposed to risk of loss if there are declines in the fair value of the assets of the trust. We currently expect the trust funds to continue to meet the statutory requirements for which they were established.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WM</w:t>
            </w:r>
          </w:p>
        </w:tc>
        <w:tc>
          <w:tcPr>
            <w:tcW w:w="4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Subsidiaries</w:t>
            </w:r>
          </w:p>
        </w:tc>
        <w:tc>
          <w:tcPr>
            <w:tcW w:w="5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jc w:val="right"/>
              <w:ind w:right="253"/>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2,184</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10,929</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20,267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20,686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(40,953)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Advances to affiliates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13,389</w:t>
            </w: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(13,389)</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7,448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20,285</w:t>
            </w:r>
          </w:p>
        </w:tc>
        <w:tc>
          <w:tcPr>
            <w:tcW w:w="4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20,727</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33,980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(54,342)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20,650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2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2,097</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2,238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6,027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2,315</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13,712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5,299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(19,164)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20,067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13,748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(19,164)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Equity:</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20,687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(40,953)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Advances to affiliates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(5,299)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5,775</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20,266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20,232</w:t>
            </w: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(35,178)</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20,285</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20,727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33,980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(54,342)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WM</w:t>
            </w:r>
          </w:p>
        </w:tc>
        <w:tc>
          <w:tcPr>
            <w:tcW w:w="4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Subsidiaries</w:t>
            </w:r>
          </w:p>
        </w:tc>
        <w:tc>
          <w:tcPr>
            <w:tcW w:w="5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jc w:val="right"/>
              <w:ind w:right="253"/>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2,334</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2,366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10,950</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19,924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(40,255)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Investments to affiliates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(13,000)</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7,489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19,943</w:t>
            </w:r>
          </w:p>
        </w:tc>
        <w:tc>
          <w:tcPr>
            <w:tcW w:w="4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20,366</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33,805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(53,255)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2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2,287</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6,229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2,360</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13,350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5,299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(18,777)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3,836</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19,945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13,930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(18,777)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Equity:</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19,925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20,330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(40,255)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Advances to affiliates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(5,299)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5,777</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19,925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19,875</w:t>
            </w: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(34,478)</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19,943</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20,366</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33,805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(53,255)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WM</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2,882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w w:val="92"/>
              </w:rPr>
              <w:t>Equity in earnings of subsidiaries, net of tax expense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343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269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Less: Net loss attributable to noncontrolling interests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Waste Management, Inc.</w:t>
            </w:r>
          </w:p>
        </w:tc>
        <w:tc>
          <w:tcPr>
            <w:tcW w:w="1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36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5"/>
              </w:rPr>
              <w:t>Three Months Ended March 31, 2016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5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WM</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2,668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w w:val="92"/>
              </w:rPr>
              <w:t>Equity in earnings of subsidiaries, net of tax expense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229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Less: Net loss attributable to noncontrolling interests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Waste Management, Inc.</w:t>
            </w:r>
          </w:p>
        </w:tc>
        <w:tc>
          <w:tcPr>
            <w:tcW w:w="1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WM</w:t>
            </w:r>
          </w:p>
        </w:tc>
        <w:tc>
          <w:tcPr>
            <w:tcW w:w="22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Holdings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Three Months Ended March 31, 2017</w:t>
            </w:r>
          </w:p>
        </w:tc>
        <w:tc>
          <w:tcPr>
            <w:tcW w:w="19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343</w:t>
            </w:r>
          </w:p>
        </w:tc>
        <w:tc>
          <w:tcPr>
            <w:tcW w:w="3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5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Less: Comprehensive loss attributable to noncontrolling interests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w w:val="92"/>
              </w:rPr>
              <w:t>Comprehensive income attributable to Waste Management, Inc.</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343</w:t>
            </w:r>
          </w:p>
        </w:tc>
        <w:tc>
          <w:tcPr>
            <w:tcW w:w="380" w:type="dxa"/>
            <w:vAlign w:val="bottom"/>
          </w:tcPr>
          <w:p>
            <w:pPr>
              <w:spacing w:after="0"/>
              <w:rPr>
                <w:sz w:val="19"/>
                <w:szCs w:val="19"/>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560" w:type="dxa"/>
            <w:vAlign w:val="bottom"/>
          </w:tcPr>
          <w:p>
            <w:pPr>
              <w:spacing w:after="0"/>
              <w:rPr>
                <w:sz w:val="19"/>
                <w:szCs w:val="19"/>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Three Months Ended March 31, 2016</w:t>
            </w:r>
          </w:p>
        </w:tc>
        <w:tc>
          <w:tcPr>
            <w:tcW w:w="1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304</w:t>
            </w:r>
          </w:p>
        </w:tc>
        <w:tc>
          <w:tcPr>
            <w:tcW w:w="3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5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Less: Comprehensive loss attributable to noncontrolling interests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w w:val="92"/>
              </w:rPr>
              <w:t>Comprehensive income attributable to Waste Management, Inc.</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304</w:t>
            </w:r>
          </w:p>
        </w:tc>
        <w:tc>
          <w:tcPr>
            <w:tcW w:w="380" w:type="dxa"/>
            <w:vAlign w:val="bottom"/>
          </w:tcPr>
          <w:p>
            <w:pPr>
              <w:spacing w:after="0"/>
              <w:rPr>
                <w:sz w:val="19"/>
                <w:szCs w:val="19"/>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560" w:type="dxa"/>
            <w:vAlign w:val="bottom"/>
          </w:tcPr>
          <w:p>
            <w:pPr>
              <w:spacing w:after="0"/>
              <w:rPr>
                <w:sz w:val="19"/>
                <w:szCs w:val="19"/>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60" w:type="dxa"/>
            <w:vAlign w:val="bottom"/>
            <w:gridSpan w:val="19"/>
          </w:tcPr>
          <w:p>
            <w:pPr>
              <w:jc w:val="center"/>
              <w:ind w:right="460"/>
              <w:spacing w:after="0"/>
              <w:rPr>
                <w:sz w:val="20"/>
                <w:szCs w:val="20"/>
                <w:color w:val="auto"/>
              </w:rPr>
            </w:pPr>
            <w:r>
              <w:rPr>
                <w:rFonts w:ascii="Arial" w:cs="Arial" w:eastAsia="Arial" w:hAnsi="Arial"/>
                <w:sz w:val="18"/>
                <w:szCs w:val="18"/>
                <w:b w:val="1"/>
                <w:bCs w:val="1"/>
                <w:color w:val="auto"/>
                <w:w w:val="96"/>
              </w:rPr>
              <w:t>CONDENSED CONSOLIDATING STATEMENTS OF CASH FLOWS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80" w:type="dxa"/>
            <w:vAlign w:val="bottom"/>
            <w:gridSpan w:val="14"/>
          </w:tcPr>
          <w:p>
            <w:pPr>
              <w:jc w:val="center"/>
              <w:ind w:left="1132"/>
              <w:spacing w:after="0"/>
              <w:rPr>
                <w:sz w:val="20"/>
                <w:szCs w:val="20"/>
                <w:color w:val="auto"/>
              </w:rPr>
            </w:pPr>
            <w:r>
              <w:rPr>
                <w:rFonts w:ascii="Arial" w:cs="Arial" w:eastAsia="Arial" w:hAnsi="Arial"/>
                <w:sz w:val="18"/>
                <w:szCs w:val="18"/>
                <w:b w:val="1"/>
                <w:bCs w:val="1"/>
                <w:color w:val="auto"/>
                <w:w w:val="89"/>
              </w:rPr>
              <w:t>Three Months Ended March 31, 2017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7"/>
          </w:tcPr>
          <w:p>
            <w:pPr>
              <w:jc w:val="center"/>
              <w:ind w:left="72"/>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5"/>
              </w:rPr>
              <w:t>WM(a)</w:t>
            </w: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Holdings(a)</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Subsidiaries(a)</w:t>
            </w:r>
          </w:p>
        </w:tc>
        <w:tc>
          <w:tcPr>
            <w:tcW w:w="14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(used in):</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Operating activities</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5"/>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(383)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Effect of exchange rate changes on cash and cash</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equivalents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Intercompany activity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800" w:hanging="5612"/>
        <w:spacing w:after="0" w:line="440" w:lineRule="auto"/>
        <w:tabs>
          <w:tab w:leader="none" w:pos="4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26</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WM</w:t>
            </w:r>
          </w:p>
        </w:tc>
        <w:tc>
          <w:tcPr>
            <w:tcW w:w="70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WM(b)</w:t>
            </w:r>
          </w:p>
        </w:tc>
        <w:tc>
          <w:tcPr>
            <w:tcW w:w="3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Holdings(b)</w:t>
            </w:r>
          </w:p>
        </w:tc>
        <w:tc>
          <w:tcPr>
            <w:tcW w:w="700" w:type="dxa"/>
            <w:vAlign w:val="bottom"/>
          </w:tcPr>
          <w:p>
            <w:pPr>
              <w:spacing w:after="0"/>
              <w:rPr>
                <w:sz w:val="14"/>
                <w:szCs w:val="14"/>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Subsidiaries(b)</w:t>
            </w:r>
          </w:p>
        </w:tc>
        <w:tc>
          <w:tcPr>
            <w:tcW w:w="14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(used in):</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200"/>
              <w:spacing w:after="0"/>
              <w:rPr>
                <w:sz w:val="20"/>
                <w:szCs w:val="20"/>
                <w:color w:val="auto"/>
              </w:rPr>
            </w:pPr>
            <w:r>
              <w:rPr>
                <w:rFonts w:ascii="Arial" w:cs="Arial" w:eastAsia="Arial" w:hAnsi="Arial"/>
                <w:sz w:val="18"/>
                <w:szCs w:val="18"/>
                <w:color w:val="auto"/>
              </w:rPr>
              <w:t>Operating activities</w:t>
            </w:r>
          </w:p>
        </w:tc>
        <w:tc>
          <w:tcPr>
            <w:tcW w:w="7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732</w:t>
            </w:r>
          </w:p>
        </w:tc>
        <w:tc>
          <w:tcPr>
            <w:tcW w:w="7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200"/>
              <w:spacing w:after="0"/>
              <w:rPr>
                <w:sz w:val="20"/>
                <w:szCs w:val="20"/>
                <w:color w:val="auto"/>
              </w:rPr>
            </w:pPr>
            <w:r>
              <w:rPr>
                <w:rFonts w:ascii="Arial" w:cs="Arial" w:eastAsia="Arial" w:hAnsi="Arial"/>
                <w:sz w:val="18"/>
                <w:szCs w:val="18"/>
                <w:color w:val="auto"/>
              </w:rPr>
              <w:t>Financing activities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Effect of exchange rate changes on cash and cash</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equivalents</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200"/>
              <w:spacing w:after="0"/>
              <w:rPr>
                <w:sz w:val="20"/>
                <w:szCs w:val="20"/>
                <w:color w:val="auto"/>
              </w:rPr>
            </w:pPr>
            <w:r>
              <w:rPr>
                <w:rFonts w:ascii="Arial" w:cs="Arial" w:eastAsia="Arial" w:hAnsi="Arial"/>
                <w:sz w:val="18"/>
                <w:szCs w:val="18"/>
                <w:color w:val="auto"/>
              </w:rPr>
              <w:t>Intercompany activity</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We have revised the prior year presentation to reflect all relevant cash flow activities in the Non-Guarantor Subsidiaries column.</w:t>
      </w:r>
    </w:p>
    <w:p>
      <w:pPr>
        <w:spacing w:after="0" w:line="24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 Pending Adoption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October 2016, the FASB issued ASU 2016-16 associated with the timing of recognition of income taxes for intra-entity transfers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other than inventory. The amended guidance requires the recognition of income taxes when the transfer of the asset occurs, which replaces current GAAP that defers the recognition of income taxes until the transferred asset is sold to a third party or otherwise recovered through use.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ASU 2016-15 associated with the classification of certain cash receipts and cash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statement of cash flows. In November 2016, the FASB issued ASU 2016-18 associated with the presentation of restricted cash and cash equivalents in the statement of cash flows. The objective of both amendments was to reduce existing diversity in practice. The amended guidance is effective for the Company on January 1, 2018. We are in the process of assessing the provisions of this amended guidance; however, we currently do not expect that the adoption of this amended guidance will have a material impact on our consolidated financial statements.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2016-13 associated with the measurement of credit losses on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the amended guidance and evaluating the impact on our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In February 2016, the FASB issued ASU 2016-02 associated with lease accounting. The amended guidance requires the recognition of lease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assessing the provisions of the amended guidance, have formed an implementation work team and begun training the various organizations that will be affected by the new standard. We are still evaluating the impact of this amended guidance on our consolidated financial statements.</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In January 2016, the FASB issued ASU 2016-01 associated with the recognition and measurement of financial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We are assessing the provisions of the amended guidance and evaluating the timing and impact on our consolidated financial statements.</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issued ASU 2014-09 associated with revenue recognition. The amended guidance requires companies to</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w:t>
      </w:r>
    </w:p>
    <w:p>
      <w:pPr>
        <w:spacing w:after="0" w:line="12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To assess the impact of the standard, we utilized internal resources to lead the implementation effort and supplemented them with external resources. Our internal resources read the amended guidance, attended trainings and consulted with other accounting professionals to assist with interpretation of the amended guidance. Surveys were sent to and returned by all operating segments to assess the potential impact of the amended guidance and to tailor specific procedures to evaluate 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 to corroborate the survey results. We have completed our preliminary review and analysis of all contracts selected for testing and we are in the process of performing additional analysis on certain contractual provisions, including provisions that could impact the classification of certain revenue streams and costs that are currently reported on a gross basis.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Based on our work to date, we believe we have identified all material contract types and costs that may be impacted by this amended guidance. We expect to quantify and disclose the expected impact, if any, of adopting this amended guidance in the Quarterly Report on Form 10-Q for the third quarter of 2017. While we are still evaluating the impact of the amended guidance, we currently do not expect it to have a material impact on operating revenues.</w:t>
      </w:r>
    </w:p>
    <w:p>
      <w:pPr>
        <w:spacing w:after="0" w:line="10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Upon adoption of the amended guidance, we anticipate recognizing an asset from the capitalization of sales incentives as contract acquisitions costs. Under the amended guidance, sales incentives will be capitalized and amortized over the expected life of the customer relationship. Currently, the Company expenses approximately $65 million in sales incentives annually. As noted above, we are still evaluating the possible impacts on our consolidated financial statements, including potential changes in the classification of certain revenue streams and costs currently reported on a gross basis, the amount of sales incentives that will be capitalized and on our disclosures. The Company is currently planning to adopt the amended guidance using the modified retrospective method as of January 1, 2018.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8" w:name="page29"/>
    <w:bookmarkEnd w:id="2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2016.</w:t>
      </w:r>
    </w:p>
    <w:p>
      <w:pPr>
        <w:spacing w:after="0" w:line="18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188"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Some of the risks that we believe could affect our business and financial statements for 2017 and beyond and that could cause actual results to be materially different from those that may be set forth in forward-looking statements made by the Company include the following:</w:t>
      </w:r>
    </w:p>
    <w:p>
      <w:pPr>
        <w:spacing w:after="0" w:line="52" w:lineRule="exact"/>
        <w:rPr>
          <w:sz w:val="20"/>
          <w:szCs w:val="20"/>
          <w:color w:val="auto"/>
        </w:rPr>
      </w:pPr>
    </w:p>
    <w:p>
      <w:pPr>
        <w:ind w:left="900" w:right="20" w:hanging="446"/>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29"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92"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86"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compliance with existing or increased future regulations may impact our business by, among other things, restricting our operations, increasing operating costs or requiring additional capital expenditures, and a decrease in regulation may lower barriers to entry for our competitors;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0" w:right="279" w:bottom="1440" w:gutter="0" w:footer="0" w:header="0"/>
        </w:sectPr>
      </w:pPr>
    </w:p>
    <w:bookmarkStart w:id="29" w:name="page30"/>
    <w:bookmarkEnd w:id="29"/>
    <w:p>
      <w:pPr>
        <w:ind w:left="446" w:right="140" w:hanging="446"/>
        <w:spacing w:after="0" w:line="277"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possible changes in our estimates of costs for site remediation requirements, final capping, closure and post-closure obligations, compliance and regulatory developments may increase our expenses and future cash outflows;</w:t>
      </w:r>
    </w:p>
    <w:p>
      <w:pPr>
        <w:spacing w:after="0" w:line="75" w:lineRule="exact"/>
        <w:rPr>
          <w:rFonts w:ascii="Arial" w:cs="Arial" w:eastAsia="Arial" w:hAnsi="Arial"/>
          <w:sz w:val="18"/>
          <w:szCs w:val="18"/>
          <w:color w:val="auto"/>
        </w:rPr>
      </w:pPr>
    </w:p>
    <w:p>
      <w:pPr>
        <w:ind w:left="446" w:right="20" w:hanging="446"/>
        <w:spacing w:after="0" w:line="264"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86"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portion of the recycled fiber we market is shipped to export markets across the globe, particularly China; changes in international or domestic regulations, restrictions or tariffs on exports could increase operating expense;</w:t>
      </w:r>
    </w:p>
    <w:p>
      <w:pPr>
        <w:spacing w:after="0" w:line="75" w:lineRule="exact"/>
        <w:rPr>
          <w:rFonts w:ascii="Arial" w:cs="Arial" w:eastAsia="Arial" w:hAnsi="Arial"/>
          <w:sz w:val="18"/>
          <w:szCs w:val="18"/>
          <w:color w:val="auto"/>
        </w:rPr>
      </w:pPr>
    </w:p>
    <w:p>
      <w:pPr>
        <w:ind w:left="446" w:right="280" w:hanging="446"/>
        <w:spacing w:after="0" w:line="277"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organization;</w:t>
      </w:r>
    </w:p>
    <w:p>
      <w:pPr>
        <w:spacing w:after="0" w:line="75" w:lineRule="exact"/>
        <w:rPr>
          <w:rFonts w:ascii="Arial" w:cs="Arial" w:eastAsia="Arial" w:hAnsi="Arial"/>
          <w:sz w:val="18"/>
          <w:szCs w:val="18"/>
          <w:color w:val="auto"/>
        </w:rPr>
      </w:pPr>
    </w:p>
    <w:p>
      <w:pPr>
        <w:ind w:left="446" w:right="280" w:hanging="446"/>
        <w:spacing w:after="0" w:line="264"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86" w:lineRule="exact"/>
        <w:rPr>
          <w:rFonts w:ascii="Arial" w:cs="Arial" w:eastAsia="Arial" w:hAnsi="Arial"/>
          <w:sz w:val="18"/>
          <w:szCs w:val="18"/>
          <w:color w:val="auto"/>
        </w:rPr>
      </w:pPr>
    </w:p>
    <w:p>
      <w:pPr>
        <w:ind w:left="446" w:right="40" w:hanging="446"/>
        <w:spacing w:after="0" w:line="277"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75" w:lineRule="exact"/>
        <w:rPr>
          <w:rFonts w:ascii="Arial" w:cs="Arial" w:eastAsia="Arial" w:hAnsi="Arial"/>
          <w:sz w:val="18"/>
          <w:szCs w:val="18"/>
          <w:color w:val="auto"/>
        </w:rPr>
      </w:pPr>
    </w:p>
    <w:p>
      <w:pPr>
        <w:ind w:left="446" w:right="100" w:hanging="446"/>
        <w:spacing w:after="0" w:line="308" w:lineRule="auto"/>
        <w:tabs>
          <w:tab w:leader="none" w:pos="44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1" w:lineRule="exact"/>
        <w:rPr>
          <w:rFonts w:ascii="Arial" w:cs="Arial" w:eastAsia="Arial" w:hAnsi="Arial"/>
          <w:sz w:val="17"/>
          <w:szCs w:val="17"/>
          <w:color w:val="auto"/>
        </w:rPr>
      </w:pPr>
    </w:p>
    <w:p>
      <w:pPr>
        <w:ind w:left="446" w:right="600" w:hanging="446"/>
        <w:spacing w:after="0" w:line="308" w:lineRule="auto"/>
        <w:tabs>
          <w:tab w:leader="none" w:pos="446"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are investing in technologies to provide enhanced customer service and/or disposal alternatives; such technologies may not perform as intended or may experience other difficulties or delays that prevent us from realizing a return on our investment;</w:t>
      </w:r>
    </w:p>
    <w:p>
      <w:pPr>
        <w:spacing w:after="0" w:line="51" w:lineRule="exact"/>
        <w:rPr>
          <w:rFonts w:ascii="Arial" w:cs="Arial" w:eastAsia="Arial" w:hAnsi="Arial"/>
          <w:sz w:val="17"/>
          <w:szCs w:val="17"/>
          <w:color w:val="auto"/>
        </w:rPr>
      </w:pPr>
    </w:p>
    <w:p>
      <w:pPr>
        <w:ind w:left="446" w:right="100" w:hanging="446"/>
        <w:spacing w:after="0" w:line="264"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86" w:lineRule="exact"/>
        <w:rPr>
          <w:rFonts w:ascii="Arial" w:cs="Arial" w:eastAsia="Arial" w:hAnsi="Arial"/>
          <w:sz w:val="18"/>
          <w:szCs w:val="18"/>
          <w:color w:val="auto"/>
        </w:rPr>
      </w:pPr>
    </w:p>
    <w:p>
      <w:pPr>
        <w:ind w:left="446" w:right="640" w:hanging="446"/>
        <w:spacing w:after="0" w:line="342" w:lineRule="auto"/>
        <w:tabs>
          <w:tab w:leader="none" w:pos="4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29" w:lineRule="exact"/>
        <w:rPr>
          <w:rFonts w:ascii="Arial" w:cs="Arial" w:eastAsia="Arial" w:hAnsi="Arial"/>
          <w:sz w:val="16"/>
          <w:szCs w:val="16"/>
          <w:color w:val="auto"/>
        </w:rPr>
      </w:pPr>
    </w:p>
    <w:p>
      <w:pPr>
        <w:ind w:left="446" w:right="220" w:hanging="446"/>
        <w:spacing w:after="0" w:line="277"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75" w:lineRule="exact"/>
        <w:rPr>
          <w:rFonts w:ascii="Arial" w:cs="Arial" w:eastAsia="Arial" w:hAnsi="Arial"/>
          <w:sz w:val="18"/>
          <w:szCs w:val="18"/>
          <w:color w:val="auto"/>
        </w:rPr>
      </w:pPr>
    </w:p>
    <w:p>
      <w:pPr>
        <w:ind w:left="446" w:right="220" w:hanging="446"/>
        <w:spacing w:after="0" w:line="277"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130"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10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6"/>
          </w:cols>
          <w:pgMar w:left="694" w:top="274" w:right="239" w:bottom="1440" w:gutter="0" w:footer="0" w:header="0"/>
        </w:sectPr>
      </w:pPr>
    </w:p>
    <w:bookmarkStart w:id="30" w:name="page31"/>
    <w:bookmarkEnd w:id="30"/>
    <w:p>
      <w:pPr>
        <w:ind w:left="446" w:right="20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problems with the operation of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 and expose us to litigation risk;</w:t>
      </w:r>
    </w:p>
    <w:p>
      <w:pPr>
        <w:spacing w:after="0" w:line="130"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face significant liability for our past and current participation in multiemployer pension plans;</w:t>
      </w:r>
    </w:p>
    <w:p>
      <w:pPr>
        <w:spacing w:after="0" w:line="130" w:lineRule="exact"/>
        <w:rPr>
          <w:rFonts w:ascii="Arial" w:cs="Arial" w:eastAsia="Arial" w:hAnsi="Arial"/>
          <w:sz w:val="18"/>
          <w:szCs w:val="18"/>
          <w:color w:val="auto"/>
        </w:rPr>
      </w:pPr>
    </w:p>
    <w:p>
      <w:pPr>
        <w:ind w:left="446" w:right="20" w:hanging="446"/>
        <w:spacing w:after="0" w:line="25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operational and safety risks; we closely monitor and manage landfills to minimize the risk of waste mass instability and releases of hazardous materials and odors, as well as risks presented by the potential for subsurface heat reactions causing elevated temperatures and increased production of leachate.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93" w:lineRule="exact"/>
        <w:rPr>
          <w:rFonts w:ascii="Arial" w:cs="Arial" w:eastAsia="Arial" w:hAnsi="Arial"/>
          <w:sz w:val="18"/>
          <w:szCs w:val="18"/>
          <w:color w:val="auto"/>
        </w:rPr>
      </w:pPr>
    </w:p>
    <w:p>
      <w:pPr>
        <w:ind w:left="446" w:right="56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75" w:lineRule="exact"/>
        <w:rPr>
          <w:rFonts w:ascii="Arial" w:cs="Arial" w:eastAsia="Arial" w:hAnsi="Arial"/>
          <w:sz w:val="18"/>
          <w:szCs w:val="18"/>
          <w:color w:val="auto"/>
        </w:rPr>
      </w:pPr>
    </w:p>
    <w:p>
      <w:pPr>
        <w:ind w:left="446" w:right="46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color w:val="auto"/>
        </w:rPr>
      </w:pPr>
    </w:p>
    <w:p>
      <w:pPr>
        <w:ind w:left="446" w:right="70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446" w:right="80" w:hanging="446"/>
        <w:spacing w:after="0" w:line="342" w:lineRule="auto"/>
        <w:tabs>
          <w:tab w:leader="none" w:pos="44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29" w:lineRule="exact"/>
        <w:rPr>
          <w:rFonts w:ascii="Arial" w:cs="Arial" w:eastAsia="Arial" w:hAnsi="Arial"/>
          <w:sz w:val="16"/>
          <w:szCs w:val="16"/>
          <w:color w:val="auto"/>
        </w:rPr>
      </w:pPr>
    </w:p>
    <w:p>
      <w:pPr>
        <w:ind w:left="446" w:right="72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75" w:lineRule="exact"/>
        <w:rPr>
          <w:rFonts w:ascii="Arial" w:cs="Arial" w:eastAsia="Arial" w:hAnsi="Arial"/>
          <w:sz w:val="18"/>
          <w:szCs w:val="18"/>
          <w:color w:val="auto"/>
        </w:rPr>
      </w:pPr>
    </w:p>
    <w:p>
      <w:pPr>
        <w:ind w:left="446" w:right="220" w:hanging="446"/>
        <w:spacing w:after="0" w:line="308" w:lineRule="auto"/>
        <w:tabs>
          <w:tab w:leader="none" w:pos="4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weather conditions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51" w:lineRule="exact"/>
        <w:rPr>
          <w:rFonts w:ascii="Arial" w:cs="Arial" w:eastAsia="Arial" w:hAnsi="Arial"/>
          <w:sz w:val="17"/>
          <w:szCs w:val="17"/>
          <w:color w:val="auto"/>
        </w:rPr>
      </w:pPr>
    </w:p>
    <w:p>
      <w:pPr>
        <w:ind w:left="446" w:right="12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75" w:lineRule="exact"/>
        <w:rPr>
          <w:rFonts w:ascii="Arial" w:cs="Arial" w:eastAsia="Arial" w:hAnsi="Arial"/>
          <w:sz w:val="18"/>
          <w:szCs w:val="18"/>
          <w:color w:val="auto"/>
        </w:rPr>
      </w:pPr>
    </w:p>
    <w:p>
      <w:pPr>
        <w:ind w:left="446" w:right="120" w:hanging="446"/>
        <w:spacing w:after="0" w:line="25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various lawsuits, proceedings and disputes; claims asserted against us include property damage, commercial, customer and employment-related matters, including purported class action lawsuits related to alleged environmental contamination, sales and marketing practices, customer service agreements, prices and fees and federal and state wage and hour laws. Such lawsuits and proceedings may increase our costs, limit our ability to conduct or expand our operations, limit our ability to execute our business plans and strategies and adversely affect our liquidity; and</w:t>
      </w:r>
    </w:p>
    <w:p>
      <w:pPr>
        <w:spacing w:after="0" w:line="93" w:lineRule="exact"/>
        <w:rPr>
          <w:rFonts w:ascii="Arial" w:cs="Arial" w:eastAsia="Arial" w:hAnsi="Arial"/>
          <w:sz w:val="18"/>
          <w:szCs w:val="18"/>
          <w:color w:val="auto"/>
        </w:rPr>
      </w:pPr>
    </w:p>
    <w:p>
      <w:pPr>
        <w:ind w:left="446" w:right="4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0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6"/>
          </w:cols>
          <w:pgMar w:left="694" w:top="27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Our “Traditional Solid Waste” business excludes our recycling and resource recovery services. Through our subsidiaries, we are also a leading developer, operator and owner of landfill gas-to-energy facilities in the United States.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Company’s goals are targeted at serving our customers, our employees, the environment, the communities in which we work and our stockholders. Increasingly, customers want more of their waste materials recovered, while waste streams are becoming more complex, and our aim is to address the current needs, while anticipating the expanding and evolving needs, of our customers. 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18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with the current state of our strategy taking into account economic conditions, the regulatory environment, asset and resource availability and current technology. We believe that focused differentiation in our industry, driven by capitalizing on our extensive, well-placed network of assets, will deliver profitable growth and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items of our financial results for the current quarter include:</w:t>
      </w:r>
    </w:p>
    <w:p>
      <w:pPr>
        <w:spacing w:after="0" w:line="131" w:lineRule="exact"/>
        <w:rPr>
          <w:sz w:val="20"/>
          <w:szCs w:val="20"/>
          <w:color w:val="auto"/>
        </w:rPr>
      </w:pPr>
    </w:p>
    <w:p>
      <w:pPr>
        <w:ind w:left="900" w:right="40" w:hanging="446"/>
        <w:spacing w:after="0" w:line="28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Revenues of $3,440 million compared with $3,176 million in the prior year period, an increase of $264 million, or 8.3%. This increase is primarily attributable to the combined impact of (i) yield and volume growth in our collection and disposal lines of business, which increased our revenues by $113 million and (ii) significantly higher recycling commodity prices, which contributed $111 million of revenue growth;</w:t>
      </w:r>
    </w:p>
    <w:p>
      <w:pPr>
        <w:spacing w:after="0" w:line="70" w:lineRule="exact"/>
        <w:rPr>
          <w:rFonts w:ascii="Arial" w:cs="Arial" w:eastAsia="Arial" w:hAnsi="Arial"/>
          <w:sz w:val="17"/>
          <w:szCs w:val="17"/>
          <w:color w:val="auto"/>
        </w:rPr>
      </w:pPr>
    </w:p>
    <w:p>
      <w:pPr>
        <w:ind w:left="900" w:right="120" w:hanging="446"/>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Operating expenses of $2,166 million, or 63.0% of revenues, compared with $1,993 million, or 62.8% of revenues, in the prior year period. This increase of $173 million is primarily attributable to (i) increased cost of goods sold related to higher recycling commodity prices; (ii) increased fuel costs due to higher fuel prices and the expiration of certain natural gas fuel excise tax credits; (iii) higher volumes; (iv) merit increases, higher incentive compensation costs and headcount increases and (v) increased maintenance and repair costs;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2" w:name="page33"/>
    <w:bookmarkEnd w:id="32"/>
    <w:p>
      <w:pPr>
        <w:jc w:val="both"/>
        <w:ind w:left="900" w:right="28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 expenses of $390 million, or 11.3% of revenues, compared with $362 million, or 11.4% of revenues, in the prior year period. This increase of $28 million is primarily due to (i) severance costs for former executives; (ii) higher incentive compensation costs and (iii) merit increases;</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from operations was $558 million, or 16.2% of revenues, compared with $508 million, or 16.0% of revenues, in the prior year period;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attributable to Waste Management, Inc. was $298 million, or $0.67 per diluted share, as compared with $258 million, or $0.58 per diluted share, in the prior year period.</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first quarter 2017 results included (i) a reduction in our income tax expense of $32 million for excess tax benefits related to the vesting or exercise of equity-based compensation awards and (ii) a $25 million charge to write down an equity method investment in a waste diversion technology company to its fair value. These items had a combined favorable impact of $0.01 on our diluted earnings per share.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calculation of free cash flow and reconciliation to net cash provided by operating activities for the three months ended March 31 is shown in the table below (in millions), and may not be calculated the same as similarly-titled measures presented by other companies: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CCEEFF"/>
            </w:tcBorders>
          </w:tcPr>
          <w:p>
            <w:pPr>
              <w:spacing w:after="0"/>
              <w:rPr>
                <w:sz w:val="14"/>
                <w:szCs w:val="14"/>
                <w:color w:val="auto"/>
              </w:rPr>
            </w:pPr>
          </w:p>
        </w:tc>
        <w:tc>
          <w:tcPr>
            <w:tcW w:w="88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$ 732</w:t>
            </w:r>
          </w:p>
        </w:tc>
        <w:tc>
          <w:tcPr>
            <w:tcW w:w="100" w:type="dxa"/>
            <w:vAlign w:val="bottom"/>
            <w:shd w:val="clear" w:color="auto" w:fill="CCEEFF"/>
          </w:tcPr>
          <w:p>
            <w:pPr>
              <w:spacing w:after="0"/>
              <w:rPr>
                <w:sz w:val="18"/>
                <w:szCs w:val="18"/>
                <w:color w:val="auto"/>
              </w:rPr>
            </w:pPr>
          </w:p>
        </w:tc>
      </w:tr>
      <w:tr>
        <w:trPr>
          <w:trHeight w:val="216"/>
        </w:trPr>
        <w:tc>
          <w:tcPr>
            <w:tcW w:w="100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(332)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r>
      <w:tr>
        <w:trPr>
          <w:trHeight w:val="216"/>
        </w:trPr>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3"/>
        </w:trPr>
        <w:tc>
          <w:tcPr>
            <w:tcW w:w="10000" w:type="dxa"/>
            <w:vAlign w:val="bottom"/>
            <w:gridSpan w:val="2"/>
          </w:tcPr>
          <w:p>
            <w:pPr>
              <w:spacing w:after="0"/>
              <w:rPr>
                <w:sz w:val="20"/>
                <w:szCs w:val="20"/>
                <w:color w:val="auto"/>
              </w:rPr>
            </w:pPr>
            <w:r>
              <w:rPr>
                <w:rFonts w:ascii="Arial" w:cs="Arial" w:eastAsia="Arial" w:hAnsi="Arial"/>
                <w:sz w:val="18"/>
                <w:szCs w:val="18"/>
                <w:color w:val="auto"/>
              </w:rPr>
              <w:t>Free cash flow (a)</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$ 396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$ 428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8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60" w:hanging="452"/>
        <w:spacing w:after="0" w:line="34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Prior year information has been revised to reflect the adoption of Accounting Standards Update (“ASU”) 2016-09, which is discussed below in </w:t>
      </w:r>
      <w:r>
        <w:rPr>
          <w:rFonts w:ascii="Arial" w:cs="Arial" w:eastAsia="Arial" w:hAnsi="Arial"/>
          <w:sz w:val="16"/>
          <w:szCs w:val="16"/>
          <w:i w:val="1"/>
          <w:iCs w:val="1"/>
          <w:color w:val="auto"/>
        </w:rPr>
        <w:t>Adoption of New Accounting Standards</w:t>
      </w:r>
      <w:r>
        <w:rPr>
          <w:rFonts w:ascii="Arial" w:cs="Arial" w:eastAsia="Arial" w:hAnsi="Arial"/>
          <w:sz w:val="16"/>
          <w:szCs w:val="16"/>
          <w:color w:val="auto"/>
        </w:rPr>
        <w:t>, and conform to our current year presentation. See Note 1 to the Condensed Consolidated Financial Statements.</w:t>
      </w:r>
    </w:p>
    <w:p>
      <w:pPr>
        <w:spacing w:after="0" w:line="124"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Our net cash flows provided by operating activities decreased by $11 million for the three months ended March 31, 2017 as compared with the prior year period. This decrease was primarily related to (i) cash proceeds of $67 million from the termination of our cross-currency swaps in the first quarter of 2016 and (ii) higher annual incentive plan cash payments of $41 million in the first quarter of 2017 when compared to the prior year period. These decreases were partially offset by (i) higher earnings from our recycling and Traditional Solid Waste businesses and (ii) net favorable changes in our assets and liabilities, net of effects from business acquisitions and divestitures, exclusive of the items noted above.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ind w:right="4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expenditures were $15 million higher for the three months ended March 31, 2017 as compared with the prior year period. The Company continues to maintain a disciplined focus on capital management, and fluctuations in our capital expenditures are a result of new business opportunities, growth in our existing business and the timing of replacement of aging assets.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Southern Waste Systems/Sun Recyclin</w:t>
      </w:r>
      <w:r>
        <w:rPr>
          <w:rFonts w:ascii="Arial" w:cs="Arial" w:eastAsia="Arial" w:hAnsi="Arial"/>
          <w:sz w:val="18"/>
          <w:szCs w:val="18"/>
          <w:color w:val="auto"/>
        </w:rPr>
        <w:t>g</w:t>
      </w:r>
      <w:r>
        <w:rPr>
          <w:rFonts w:ascii="Arial" w:cs="Arial" w:eastAsia="Arial" w:hAnsi="Arial"/>
          <w:sz w:val="18"/>
          <w:szCs w:val="18"/>
          <w:i w:val="1"/>
          <w:iCs w:val="1"/>
          <w:color w:val="auto"/>
        </w:rPr>
        <w:t xml:space="preserve"> (“SWS”) </w:t>
      </w:r>
      <w:r>
        <w:rPr>
          <w:rFonts w:ascii="Arial" w:cs="Arial" w:eastAsia="Arial" w:hAnsi="Arial"/>
          <w:sz w:val="18"/>
          <w:szCs w:val="18"/>
          <w:color w:val="auto"/>
        </w:rPr>
        <w:t>— On January 8, 2016, Waste Management Inc. of Florida, an indirect wholly-owned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WM, 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Equity-Based Compensation — </w:t>
      </w:r>
      <w:r>
        <w:rPr>
          <w:rFonts w:ascii="Arial" w:cs="Arial" w:eastAsia="Arial" w:hAnsi="Arial"/>
          <w:sz w:val="18"/>
          <w:szCs w:val="18"/>
          <w:color w:val="auto"/>
        </w:rPr>
        <w:t>In March 2016, the Financial Accounting Standards Board (“FASB”) issued ASU 2016-09 associated with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 part of its simplification initiative to reduce the cost and complexity of compliance with U.S. Generally Accepted Accounting Principles (“GAAP”), while maintaining or improving the usefulness of the information provided. This amended guidance was effective for the Company on January 1, 2017 and required the following changes to the presentation of our financial statements:</w:t>
      </w:r>
    </w:p>
    <w:p>
      <w:pPr>
        <w:spacing w:after="0" w:line="92" w:lineRule="exact"/>
        <w:rPr>
          <w:sz w:val="20"/>
          <w:szCs w:val="20"/>
          <w:color w:val="auto"/>
        </w:rPr>
      </w:pPr>
    </w:p>
    <w:p>
      <w:pPr>
        <w:ind w:left="900" w:right="80" w:hanging="325"/>
        <w:spacing w:after="0" w:line="27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Excess tax benefits or deficiencies for share-based payments are now recorded as a discrete item in the period shares vest or stock options are exercised as an adjustment to income tax expense or benefit rather than additional paid-in capital. This change was applied prospectively as of January 1, 2017. The Company did not have any excess tax benefits that were not previously recognized as of January 1, 2017. See Note 4 to the Condensed Consolidated Financial Statements for discussion of the current year impact;</w:t>
      </w:r>
    </w:p>
    <w:p>
      <w:pPr>
        <w:spacing w:after="0" w:line="76" w:lineRule="exact"/>
        <w:rPr>
          <w:rFonts w:ascii="Arial" w:cs="Arial" w:eastAsia="Arial" w:hAnsi="Arial"/>
          <w:sz w:val="17"/>
          <w:szCs w:val="17"/>
          <w:color w:val="auto"/>
        </w:rPr>
      </w:pPr>
    </w:p>
    <w:p>
      <w:pPr>
        <w:ind w:left="900" w:right="80" w:hanging="325"/>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of January 1, 2017, the calculation of diluted weighted average shares outstanding was changed prospectively to no longer include excess tax benefits as assumed proceeds. This change did not have a material impact on our current year diluted earnings per share;</w:t>
      </w:r>
    </w:p>
    <w:p>
      <w:pPr>
        <w:spacing w:after="0" w:line="51" w:lineRule="exact"/>
        <w:rPr>
          <w:rFonts w:ascii="Arial" w:cs="Arial" w:eastAsia="Arial" w:hAnsi="Arial"/>
          <w:sz w:val="17"/>
          <w:szCs w:val="17"/>
          <w:color w:val="auto"/>
        </w:rPr>
      </w:pPr>
    </w:p>
    <w:p>
      <w:pPr>
        <w:jc w:val="both"/>
        <w:ind w:left="900" w:right="520" w:hanging="325"/>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flows related to excess tax benefits or deficiencies are included in net cash provided by operating activities rather than as a financing activity. The Company adopted this change retrospectively, which resulted in an increase to net cash provided by operating activities and a corresponding decrease to net cash provided by financing activities of $7 million for the three months ended March 31, 2016;</w:t>
      </w:r>
    </w:p>
    <w:p>
      <w:pPr>
        <w:spacing w:after="0" w:line="52" w:lineRule="exact"/>
        <w:rPr>
          <w:rFonts w:ascii="Arial" w:cs="Arial" w:eastAsia="Arial" w:hAnsi="Arial"/>
          <w:sz w:val="16"/>
          <w:szCs w:val="16"/>
          <w:color w:val="auto"/>
        </w:rPr>
      </w:pPr>
    </w:p>
    <w:p>
      <w:pPr>
        <w:ind w:left="900" w:right="320" w:hanging="325"/>
        <w:spacing w:after="0" w:line="25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paid to taxing authorities when withholding shares from an employee’s vesting or exercise of equity-based compensation awards for tax-withholding purposes is now considered a repurchase of the Company’s equity instruments and is classified as net cash used in financing activities rather than as an operating activity. The Company adopted this change retrospectively, which resulted in an increase to net cash provided by operating activities and a corresponding decrease to net cash provided by financing activities of $19 million for the three months ended March 31, 2016; and</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elected to continue to estimate forfeitures rather than account for forfeitures as they occur.</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Goodwill Impairment Testing — </w:t>
      </w:r>
      <w:r>
        <w:rPr>
          <w:rFonts w:ascii="Arial" w:cs="Arial" w:eastAsia="Arial" w:hAnsi="Arial"/>
          <w:sz w:val="17"/>
          <w:szCs w:val="17"/>
          <w:color w:val="auto"/>
        </w:rPr>
        <w:t>In January 2017, the FASB issued ASU 2017-04 which simplifies the goodwill impairment test by eliminating Step 2</w:t>
      </w:r>
      <w:r>
        <w:rPr>
          <w:rFonts w:ascii="Arial" w:cs="Arial" w:eastAsia="Arial" w:hAnsi="Arial"/>
          <w:sz w:val="17"/>
          <w:szCs w:val="17"/>
          <w:i w:val="1"/>
          <w:iCs w:val="1"/>
          <w:color w:val="auto"/>
        </w:rPr>
        <w:t xml:space="preserve"> </w:t>
      </w:r>
      <w:r>
        <w:rPr>
          <w:rFonts w:ascii="Arial" w:cs="Arial" w:eastAsia="Arial" w:hAnsi="Arial"/>
          <w:sz w:val="17"/>
          <w:szCs w:val="17"/>
          <w:color w:val="auto"/>
        </w:rPr>
        <w:t>of the quantitative assessment and should reduce the cost and complexity of evaluating goodwill for impairment. Under the amended guidance, when a quantitative assessment is required, an entity will perform a goodwill impairment test by comparing the fair value of a reporting unit with its carrying amount. An impairment charge will be measured as the amount by which the carrying amount exceeds the reporting unit’s fair value, not to exceed the total amount of recorded goodwill. This amended guidance, effective for the Company on January 1, 2020, permits early adoption. The Company’s early adoption on January 1, 2017 did not have an impact on our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4" w:name="page35"/>
    <w:bookmarkEnd w:id="3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Estimates and Assumptions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10-K for the year ended December 31, 2016. Actual results could differ materially from the estimates and assumptions that we use in the preparation of our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including both our Strategic Business Solutions (“WMSBS”) and Energy and Environmental Services organizations, recycling brokerage services, landfill gas-to-energy services, and expanded service offerings and solutions. Our expanded service offerings and solutions include (i) portable self-storage and long distance moving services; (ii) fluorescent bulb and universal waste mail-back through our LampTracker</w:t>
      </w:r>
      <w:r>
        <w:rPr>
          <w:rFonts w:ascii="Arial" w:cs="Arial" w:eastAsia="Arial" w:hAnsi="Arial"/>
          <w:sz w:val="14"/>
          <w:szCs w:val="14"/>
          <w:color w:val="auto"/>
        </w:rPr>
        <w:t>®</w:t>
      </w:r>
      <w:r>
        <w:rPr>
          <w:rFonts w:ascii="Arial" w:cs="Arial" w:eastAsia="Arial" w:hAnsi="Arial"/>
          <w:sz w:val="17"/>
          <w:szCs w:val="17"/>
          <w:color w:val="auto"/>
        </w:rPr>
        <w:t xml:space="preserve"> program; (iii) portable restroom servicing under the name Port-o-Let</w:t>
      </w:r>
      <w:r>
        <w:rPr>
          <w:rFonts w:ascii="Arial" w:cs="Arial" w:eastAsia="Arial" w:hAnsi="Arial"/>
          <w:sz w:val="14"/>
          <w:szCs w:val="14"/>
          <w:color w:val="auto"/>
        </w:rPr>
        <w:t>®</w:t>
      </w:r>
      <w:r>
        <w:rPr>
          <w:rFonts w:ascii="Arial" w:cs="Arial" w:eastAsia="Arial" w:hAnsi="Arial"/>
          <w:sz w:val="17"/>
          <w:szCs w:val="17"/>
          <w:color w:val="auto"/>
        </w:rPr>
        <w:t xml:space="preserve"> and (iv) street and parking lot sweeping services. In addition, we hold interests in oil and gas producing properties. These operations are presented in our “Other” segment in the table below. The following table summarizes revenues for the three months ended March 31 (in millions):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$3,509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$3,282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(606)</w:t>
            </w:r>
          </w:p>
        </w:tc>
      </w:tr>
      <w:tr>
        <w:trPr>
          <w:trHeight w:val="223"/>
        </w:trPr>
        <w:tc>
          <w:tcPr>
            <w:tcW w:w="702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3,440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3,176</w:t>
            </w:r>
          </w:p>
        </w:tc>
        <w:tc>
          <w:tcPr>
            <w:tcW w:w="1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mix of operating revenues from our major lines of business is reflected in the table below for the three months ended March 31 (in millions):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780" w:type="dxa"/>
            <w:vAlign w:val="bottom"/>
            <w:tcBorders>
              <w:bottom w:val="single" w:sz="8" w:color="CCEEFF"/>
            </w:tcBorders>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Residential</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4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collection</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Landfill</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Recycling</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Intercompany</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240" w:type="dxa"/>
            <w:vAlign w:val="bottom"/>
            <w:vMerge w:val="restart"/>
          </w:tcPr>
          <w:p>
            <w:pPr>
              <w:jc w:val="right"/>
              <w:ind w:right="25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860" w:type="dxa"/>
            <w:vAlign w:val="bottom"/>
            <w:gridSpan w:val="3"/>
          </w:tcPr>
          <w:p>
            <w:pPr>
              <w:jc w:val="center"/>
              <w:ind w:left="583"/>
              <w:spacing w:after="0"/>
              <w:rPr>
                <w:sz w:val="20"/>
                <w:szCs w:val="20"/>
                <w:color w:val="auto"/>
              </w:rPr>
            </w:pPr>
            <w:r>
              <w:rPr>
                <w:rFonts w:ascii="Arial" w:cs="Arial" w:eastAsia="Arial" w:hAnsi="Arial"/>
                <w:sz w:val="14"/>
                <w:szCs w:val="14"/>
                <w:b w:val="1"/>
                <w:bCs w:val="1"/>
                <w:color w:val="auto"/>
                <w:w w:val="93"/>
              </w:rPr>
              <w:t>Company(a)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Average yield (b)</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8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Volume</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80" w:type="dxa"/>
            <w:vAlign w:val="bottom"/>
          </w:tcPr>
          <w:p>
            <w:pPr>
              <w:spacing w:after="0"/>
              <w:rPr>
                <w:sz w:val="19"/>
                <w:szCs w:val="19"/>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7"/>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87"/>
              </w:rPr>
              <w:t>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660" w:type="dxa"/>
            <w:vAlign w:val="bottom"/>
            <w:gridSpan w:val="2"/>
          </w:tcPr>
          <w:p>
            <w:pPr>
              <w:ind w:left="1420"/>
              <w:spacing w:after="0"/>
              <w:rPr>
                <w:sz w:val="20"/>
                <w:szCs w:val="20"/>
                <w:color w:val="auto"/>
              </w:rPr>
            </w:pPr>
            <w:r>
              <w:rPr>
                <w:rFonts w:ascii="Arial" w:cs="Arial" w:eastAsia="Arial" w:hAnsi="Arial"/>
                <w:sz w:val="18"/>
                <w:szCs w:val="18"/>
                <w:color w:val="auto"/>
                <w:w w:val="87"/>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7"/>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264</w:t>
            </w:r>
          </w:p>
        </w:tc>
        <w:tc>
          <w:tcPr>
            <w:tcW w:w="88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40" w:hanging="452"/>
        <w:spacing w:after="0" w:line="25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($3,176 million).</w:t>
      </w:r>
    </w:p>
    <w:p>
      <w:pPr>
        <w:spacing w:after="0" w:line="1"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 business revenues to differentiate the changes in yield attributable to our pricing strategies from the changes that are caused by market-driven price changes in commodities. The following table summarizes changes in revenues from average yield on a related business basis (dollars in millions):</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9"/>
              </w:rPr>
              <w:t>2017 vs. 2016</w:t>
            </w: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540" w:type="dxa"/>
            <w:vAlign w:val="bottom"/>
            <w:gridSpan w:val="3"/>
            <w:vMerge w:val="restart"/>
          </w:tcPr>
          <w:p>
            <w:pPr>
              <w:ind w:left="202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70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87"/>
              </w:rPr>
              <w:t>Business(i)</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2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218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Fuel surcharge and mandated fees</w:t>
            </w:r>
          </w:p>
        </w:tc>
        <w:tc>
          <w:tcPr>
            <w:tcW w:w="2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720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period by the prior period’s related business revenue adjusted to exclude the impacts of divestitures for the current period.</w:t>
      </w:r>
    </w:p>
    <w:p>
      <w:pPr>
        <w:spacing w:after="0" w:line="17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Our revenues increased $264 million, or 8.3%, for the three months ended March 31, 2017, compared to the prior year period, driven by (i) higher market prices of the recycling commodities we sell; (ii) higher volume; (iii) revenue growth from yield on our collection and disposal lines of business;</w:t>
      </w:r>
    </w:p>
    <w:p>
      <w:pPr>
        <w:ind w:right="240" w:firstLine="8"/>
        <w:spacing w:after="0" w:line="261" w:lineRule="auto"/>
        <w:tabs>
          <w:tab w:leader="none" w:pos="3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revenues from our fuel surcharge program due to higher diesel fuel prices; (v) acquisitions and (vi) foreign currency translation, which affects revenues from our Canadian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Average Yield</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lines of business, exclusive of volume changes. Revenue growth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40" w:top="274" w:right="379" w:bottom="1440" w:gutter="0" w:footer="0" w:header="0"/>
        </w:sectPr>
      </w:pPr>
    </w:p>
    <w:bookmarkStart w:id="36" w:name="page37"/>
    <w:bookmarkEnd w:id="36"/>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18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Revenue growth from collection and disposal average yield was $57 million, or 2.0%, for the three months ended March 31, 2017. We experienced growth in all of our collection and disposal lines of business in the current period. The details are as follows (dollars in millions):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Commercial</w:t>
            </w:r>
          </w:p>
        </w:tc>
        <w:tc>
          <w:tcPr>
            <w:tcW w:w="2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shd w:val="clear" w:color="auto" w:fill="CCEEFF"/>
          </w:tcPr>
          <w:p>
            <w:pPr>
              <w:spacing w:after="0"/>
              <w:rPr>
                <w:sz w:val="18"/>
                <w:szCs w:val="18"/>
                <w:color w:val="auto"/>
              </w:rPr>
            </w:pPr>
          </w:p>
        </w:tc>
        <w:tc>
          <w:tcPr>
            <w:tcW w:w="2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Industrial</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w w:val="87"/>
              </w:rPr>
              <w:t>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87"/>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180"/>
              <w:spacing w:after="0"/>
              <w:rPr>
                <w:sz w:val="20"/>
                <w:szCs w:val="20"/>
                <w:color w:val="auto"/>
              </w:rPr>
            </w:pPr>
            <w:r>
              <w:rPr>
                <w:rFonts w:ascii="Arial" w:cs="Arial" w:eastAsia="Arial" w:hAnsi="Arial"/>
                <w:sz w:val="18"/>
                <w:szCs w:val="18"/>
                <w:color w:val="auto"/>
              </w:rPr>
              <w:t>Total collection</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w w:val="87"/>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87"/>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Transfer</w:t>
            </w:r>
          </w:p>
        </w:tc>
        <w:tc>
          <w:tcPr>
            <w:tcW w:w="2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w w:val="87"/>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collection and disposal</w:t>
            </w:r>
          </w:p>
        </w:tc>
        <w:tc>
          <w:tcPr>
            <w:tcW w:w="2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74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Revenues from our environmental fee contributed $17 million and $16 million for the three months ended March 31, 2017 and 2016, respectively, to our collection and disposal average yield.</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i w:val="1"/>
          <w:iCs w:val="1"/>
          <w:color w:val="auto"/>
        </w:rPr>
        <w:t xml:space="preserve">Recycling Commodities </w:t>
      </w:r>
      <w:r>
        <w:rPr>
          <w:rFonts w:ascii="Arial" w:cs="Arial" w:eastAsia="Arial" w:hAnsi="Arial"/>
          <w:sz w:val="16"/>
          <w:szCs w:val="16"/>
          <w:color w:val="auto"/>
        </w:rPr>
        <w:t>— Our revenues increased $111 million for the three months ended March 31, 2017, compared with the prior year period, due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year-over-year increase of 56% in the market prices of the recycling commodities we sell at our recycling facilities and through our brokerage business.</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Fuel Surcharge and Mandated Fees — </w:t>
      </w:r>
      <w:r>
        <w:rPr>
          <w:rFonts w:ascii="Arial" w:cs="Arial" w:eastAsia="Arial" w:hAnsi="Arial"/>
          <w:sz w:val="18"/>
          <w:szCs w:val="18"/>
          <w:color w:val="auto"/>
        </w:rPr>
        <w:t>These revenues, which are predominantly generated by our fuel surcharge program, increased $19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2017 as compared with the prior year period. These revenues fluctuate in response to changes in the national average prices for diesel fuel on which our surcharge is based. Our fuel surcharge revenues increased for the three months ended March 31, 2017, compared to the prior year period, due to a 24% increase in market prices for diesel fuel. The mandated fees included in this line item are primarily related to pass-through fees and taxes assessed by various state, county and municipal government agencies at our landfills and transfer stations. These fees did not have a significant impact on the comparability of the periods.</w:t>
      </w:r>
    </w:p>
    <w:p>
      <w:pPr>
        <w:spacing w:after="0" w:line="19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 Our revenues increased $59 million, or 1.9%, for the three months ended March 31, 2017, compared with the prior year period,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volumes. The year-over-year comparison does not include volumes from acquisitions.</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experienced higher volumes in all of our lines of business, except for our residential line of business, due to (i) reduced customer churn and improved sales performance supported by our focus on disciplined growth; (ii) improving market conditions and (iii) an additional workday for the three months ended March 31, 2017. The most significant contributors to our current quarter volume growth were commercial and industrial collection; municipal solid waste, construction and demolition, and special waste landfills; transfer stations and our WMSBS organization. Our residential line of business experienced volume declines in the current quarter because of our continued focus on renegotiating existing contracts and winning new contracts with reasonable rates of returns.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7" w:name="page38"/>
    <w:bookmarkEnd w:id="3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major components of our operating expenses for the three months ended March 31 (dollars in millions):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2017</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Subcontractor costs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32.0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Fuel</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43.8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2,166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173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Our operating expenses increased by $173 million, or 8.7%, for the three months ended March 31, 2017 as compared with the prior year period. Our operating expenses as a percentage of revenues increased slightly to 63.0% in the current year period from 62.8% in the prior year period.</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experienced higher current year operating costs for the three months ended March 31, 2017, when compared to the prior year period, primarily related to:</w:t>
      </w:r>
    </w:p>
    <w:p>
      <w:pPr>
        <w:spacing w:after="0" w:line="7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market prices for recycling commodities as compared to the prior year period, which increased cost of goods sold; and</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Higher volumes in the current year period, as discussed above in </w:t>
      </w:r>
      <w:r>
        <w:rPr>
          <w:rFonts w:ascii="Arial" w:cs="Arial" w:eastAsia="Arial" w:hAnsi="Arial"/>
          <w:sz w:val="18"/>
          <w:szCs w:val="18"/>
          <w:i w:val="1"/>
          <w:iCs w:val="1"/>
          <w:color w:val="auto"/>
        </w:rPr>
        <w:t>Operating Revenues</w:t>
      </w:r>
      <w:r>
        <w:rPr>
          <w:rFonts w:ascii="Arial" w:cs="Arial" w:eastAsia="Arial" w:hAnsi="Arial"/>
          <w:sz w:val="18"/>
          <w:szCs w:val="18"/>
          <w:color w:val="auto"/>
        </w:rPr>
        <w:t>. The additional volumes increased costs in all of our cost categories, of which the most significant cost increases were in (i) subcontractor; (ii) disposal and franchise fees and taxes and (iii) labor and related benefits.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items affecting the comparability of operating expenses for the periods presented include: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was due to (i) merit increases; (ii) higher incentive compensation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(iii) increased headcount.</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was primarily due to (i) higher labor costs due to increased headcount, merit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and retention and training efforts and (ii) higher third-party repairs and parts costs.</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i w:val="1"/>
          <w:iCs w:val="1"/>
          <w:color w:val="auto"/>
        </w:rPr>
        <w:t xml:space="preserve">Fuel — </w:t>
      </w:r>
      <w:r>
        <w:rPr>
          <w:rFonts w:ascii="Arial" w:cs="Arial" w:eastAsia="Arial" w:hAnsi="Arial"/>
          <w:sz w:val="17"/>
          <w:szCs w:val="17"/>
          <w:color w:val="auto"/>
        </w:rPr>
        <w:t>The increase in fuel expense was primarily due to (i) higher fuel prices and (ii) the expiration of certain natural gas fuel excise tax credits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These cost increases were offset, in part, by lower costs resulting from the conversion of our fleet to natural gas vehicles.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274" w:right="359" w:bottom="1440" w:gutter="0" w:footer="0" w:header="0"/>
        </w:sectPr>
      </w:pPr>
    </w:p>
    <w:bookmarkStart w:id="38" w:name="page39"/>
    <w:bookmarkEnd w:id="3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Selling, General and Administrative Expenses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 months ended March 31 (dollars in millions):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74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Change</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1"/>
              </w:rPr>
              <w:t>$ 33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Professional fees</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20" w:type="dxa"/>
            <w:vAlign w:val="bottom"/>
            <w:gridSpan w:val="3"/>
          </w:tcPr>
          <w:p>
            <w:pPr>
              <w:jc w:val="right"/>
              <w:ind w:right="428"/>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2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120" w:type="dxa"/>
            <w:vAlign w:val="bottom"/>
            <w:gridSpan w:val="3"/>
          </w:tcPr>
          <w:p>
            <w:pPr>
              <w:jc w:val="right"/>
              <w:ind w:right="428"/>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390</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362</w:t>
            </w:r>
          </w:p>
        </w:tc>
        <w:tc>
          <w:tcPr>
            <w:tcW w:w="11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$ 28</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selling, general and administrative expenses increased $28 million, or 7.7%, for the three months ended March 31, 2017 as compared with the prior year period. As a percentage of revenues, our selling, general and administrative expenses decreased from 11.4% for the first quarter of 2016 to 11.3% for the first quarter of 2017.</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Labor and related benefits costs increased primarily due to (i) severance costs for former executives; (ii) higher incentive compensation costs and (iii) merit increases.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for the three months ended March 31 (dollars in millions):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20" w:type="dxa"/>
            <w:vAlign w:val="bottom"/>
            <w:vMerge w:val="restart"/>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312</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increase in amortization of landfill airspace during the three months ended March 31, 2017, compared to the prior year period, was primarily due to increased volumes at our landfills and changes in our landfill estimates.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income from operations for our reportable segments for the three months ended March 31 (dollars in millions):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4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3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Tier 1</w:t>
            </w:r>
          </w:p>
        </w:tc>
        <w:tc>
          <w:tcPr>
            <w:tcW w:w="4700" w:type="dxa"/>
            <w:vAlign w:val="bottom"/>
            <w:gridSpan w:val="3"/>
          </w:tcPr>
          <w:p>
            <w:pPr>
              <w:jc w:val="right"/>
              <w:ind w:right="500"/>
              <w:spacing w:after="0"/>
              <w:rPr>
                <w:sz w:val="20"/>
                <w:szCs w:val="20"/>
                <w:color w:val="auto"/>
              </w:rPr>
            </w:pPr>
            <w:r>
              <w:rPr>
                <w:rFonts w:ascii="Arial" w:cs="Arial" w:eastAsia="Arial" w:hAnsi="Arial"/>
                <w:sz w:val="18"/>
                <w:szCs w:val="18"/>
                <w:color w:val="auto"/>
              </w:rPr>
              <w:t>$ 366</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$ 334</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2</w:t>
            </w:r>
          </w:p>
        </w:tc>
        <w:tc>
          <w:tcPr>
            <w:tcW w:w="4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157</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Tier 3</w:t>
            </w:r>
          </w:p>
        </w:tc>
        <w:tc>
          <w:tcPr>
            <w:tcW w:w="37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227</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208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Solid Waste</w:t>
            </w:r>
          </w:p>
        </w:tc>
        <w:tc>
          <w:tcPr>
            <w:tcW w:w="37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750</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4700" w:type="dxa"/>
            <w:vAlign w:val="bottom"/>
            <w:gridSpan w:val="3"/>
          </w:tcPr>
          <w:p>
            <w:pPr>
              <w:jc w:val="right"/>
              <w:ind w:right="440"/>
              <w:spacing w:after="0"/>
              <w:rPr>
                <w:sz w:val="20"/>
                <w:szCs w:val="20"/>
                <w:color w:val="auto"/>
              </w:rPr>
            </w:pPr>
            <w:r>
              <w:rPr>
                <w:rFonts w:ascii="Arial" w:cs="Arial" w:eastAsia="Arial" w:hAnsi="Arial"/>
                <w:sz w:val="18"/>
                <w:szCs w:val="18"/>
                <w:color w:val="auto"/>
              </w:rPr>
              <w:t>(32)</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(160)</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180"/>
              <w:spacing w:after="0"/>
              <w:rPr>
                <w:sz w:val="20"/>
                <w:szCs w:val="20"/>
                <w:color w:val="auto"/>
              </w:rPr>
            </w:pPr>
            <w:r>
              <w:rPr>
                <w:rFonts w:ascii="Arial" w:cs="Arial" w:eastAsia="Arial" w:hAnsi="Arial"/>
                <w:sz w:val="18"/>
                <w:szCs w:val="18"/>
                <w:color w:val="auto"/>
              </w:rPr>
              <w:t>Total</w:t>
            </w:r>
          </w:p>
        </w:tc>
        <w:tc>
          <w:tcPr>
            <w:tcW w:w="37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$ 558</w:t>
            </w:r>
          </w:p>
        </w:tc>
        <w:tc>
          <w:tcPr>
            <w:tcW w:w="5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$ 508</w:t>
            </w: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$ 50</w:t>
            </w:r>
          </w:p>
        </w:tc>
        <w:tc>
          <w:tcPr>
            <w:tcW w:w="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780" w:type="dxa"/>
            <w:vAlign w:val="bottom"/>
            <w:vMerge w:val="restart"/>
          </w:tcPr>
          <w:p>
            <w:pPr>
              <w:jc w:val="right"/>
              <w:ind w:right="1673"/>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reportable segments are discussed further in Note 7 to the Condensed Consolidated Financial Statements.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The most significant items affecting the results of operations of our Solid Waste business during the three months ended March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with the prior year period are summarized below:</w:t>
      </w:r>
    </w:p>
    <w:p>
      <w:pPr>
        <w:spacing w:after="0" w:line="7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Traditional Solid Waste business benefited from internal revenue growth;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recycling line of business was favorable compared to the prior year period principally due to higher market prices for recycling commodities;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labor and related benefits costs in the current period due to merit increases and higher incentive compensation costs;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landfill amortization expense related to increased volumes at our landfills and changes in our landfill estimates, primarily in Tiers 1 and 3;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maintenance and repair costs.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most significant items affecting the comparison of the remaining components of our results of operations for the three months ended March 31, 2017 with the comparable prior year period are summarized below:</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Higher labor and related benefits costs in the current period primarily related to severance costs for former executives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incentive compensation costs, partially offset by lower risk management costs.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We recognized equity in net losses of unconsolidated entities of $32 million and $7 million for the three months ended March 31, 2017 and 2016, respectively. During the three months ended March 31, 2017, we recognized a $25 million charge to write down an equity method investment in a waste diversion technology company to its fair value. The remaining losses for each period are primarily related to our noncontrolling interests in entities established to invest in and manage low-income housing properties and a refined coal facility. The tax impacts realized as a result of these investments are discussed below 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Refer to Notes 4 and 13 to the Condensed Consolidated Financial Statements for more information related to these investments.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We recognized other, net expense of $10 million for the three months ended March 31, 2016 primarily related to $8 million of expense associated with the termination of our cross-currency swaps, which is discussed further in Note 3 to the Condensed Consolidated Financial Statements.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recorded income tax expense of $137 million during the first quarter of 2017, representing an effective income tax rate of 31.7%, compared with $140 million during the first quarter of 2016, representing an effective income tax rate of 35.4%.</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income tax expense for the three months ended March 31, 2017 was favorably impacted by excess tax benefits related to equity-based compensation and federal tax credits offset, in part, by the unfavorable impact of state and local income taxes and the tax implications of impairments. Our income tax expense for the three months ended March 31, 2016 was unfavorably impacted by state and local income taxes offset by the favorable impact of federal tax credits.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0" w:name="page41"/>
    <w:bookmarkEnd w:id="40"/>
    <w:p>
      <w:pPr>
        <w:ind w:right="1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excess tax benefits related to the vesting or exercise of equity-based compensation awards reduced our income tax expense by $32 million for the three months ended March 31, 2017. See Note 1 to the Condensed Consolidated Financial Statements for discussion of our adoption of ASU 2016-09.</w:t>
      </w:r>
    </w:p>
    <w:p>
      <w:pPr>
        <w:spacing w:after="0" w:line="124"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Our investments in low-income housing properties and the refined coal facility reduced our income tax expense by $11 million for both the three months ended March 31, 2017 and 2016. Refer to Note 4 to the Condensed Consolidated Financial Statements for more information related to these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9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920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restricted trust and escrow accounts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9200" w:type="dxa"/>
            <w:vAlign w:val="bottom"/>
          </w:tcPr>
          <w:p>
            <w:pPr>
              <w:ind w:left="180"/>
              <w:spacing w:after="0"/>
              <w:rPr>
                <w:sz w:val="20"/>
                <w:szCs w:val="20"/>
                <w:color w:val="auto"/>
              </w:rPr>
            </w:pPr>
            <w:r>
              <w:rPr>
                <w:rFonts w:ascii="Arial" w:cs="Arial" w:eastAsia="Arial" w:hAnsi="Arial"/>
                <w:sz w:val="18"/>
                <w:szCs w:val="18"/>
                <w:color w:val="auto"/>
              </w:rPr>
              <w:t>Long-term portion</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8,646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9,310</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of March 31, 2017, the current portion of our long-term debt balance of $396 million includes (i) $210 million of short-term borrowings under our commercial paper program and (ii) $186 million of other debt with scheduled maturities within the next 12 months, including $126 million of tax-exempt bonds.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March 31, 2017, we have classified $590 million of 6.1% senior notes that mature in March 2018 as long-term because we have the intent and ability to refinance these senior notes on a long-term basis as supported by the forecasted available capacity under our long-term U.S. revolving credit facility (“$2.25 billion revolving credit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we have $490 million of tax-exempt bonds with term interest rate periods that expire within the next 12 months and an additional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$471 million of variable-rate tax-exempt bonds that are supported by letters of credit. The interest rates on our variable-rate tax-exempt bonds are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reset on either a daily or weekly basis through a remarketing process. All recent tax-exempt bond remarketings have successfully placed Company bonds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investors at market-driven rates and we currently expect future remarketings to be successful. However, if the remarketing agent is unable to remarket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bonds, the remarketing agent can put the bonds to us. In the event of a failed remarketing, we have the intent and ability to refinance these bonds on a long-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basis as supported by the forecasted available capacity under our $2.25 billion revolving credit facility. Accordingly, we have also classified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borrowings as long-term in our Condensed Consolidated Balance Sheet as of March 31,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Cash Flow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three months ended March 31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1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$ 721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(847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(a)</w:t>
            </w:r>
          </w:p>
        </w:tc>
        <w:tc>
          <w:tcPr>
            <w:tcW w:w="2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62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ASU 2016-09 and conform to our current year presentation. See Note 1 to the Condensed Consolidated Financial Statements for further discussion.</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The most significant items affecting the comparison of our operating cash flows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2017, compared with the prior year period, are summarized below:</w:t>
      </w:r>
    </w:p>
    <w:p>
      <w:pPr>
        <w:spacing w:after="0" w:line="76" w:lineRule="exact"/>
        <w:rPr>
          <w:sz w:val="20"/>
          <w:szCs w:val="20"/>
          <w:color w:val="auto"/>
        </w:rPr>
      </w:pPr>
    </w:p>
    <w:p>
      <w:pPr>
        <w:ind w:left="900" w:right="1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w:t>
      </w:r>
      <w:r>
        <w:rPr>
          <w:rFonts w:ascii="Arial" w:cs="Arial" w:eastAsia="Arial" w:hAnsi="Arial"/>
          <w:sz w:val="18"/>
          <w:szCs w:val="18"/>
          <w:color w:val="auto"/>
        </w:rPr>
        <w:t>— Our income from operations, excluding depreciation and amortization, increased $66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driven by earnings from our recycling and Traditional Solid Waste businesses.</w:t>
      </w:r>
    </w:p>
    <w:p>
      <w:pPr>
        <w:spacing w:after="0" w:line="75"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Cross-Currency Swaps </w:t>
      </w:r>
      <w:r>
        <w:rPr>
          <w:rFonts w:ascii="Arial" w:cs="Arial" w:eastAsia="Arial" w:hAnsi="Arial"/>
          <w:sz w:val="18"/>
          <w:szCs w:val="18"/>
          <w:color w:val="auto"/>
        </w:rPr>
        <w:t>— During the first quarter of 2016, we terminated our cross-currency swaps associated with the anticipated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loans between WM Holdings and its wholly-owned Canadian subsidiaries, as discussed further in Note 3 to the Condensed Consolidated Financial Statements. In connection with the termination, we received cash proceeds of $67 million, which were classified as a change in other current assets and other assets.</w:t>
      </w:r>
    </w:p>
    <w:p>
      <w:pPr>
        <w:spacing w:after="0" w:line="92" w:lineRule="exact"/>
        <w:rPr>
          <w:rFonts w:ascii="Arial" w:cs="Arial" w:eastAsia="Arial" w:hAnsi="Arial"/>
          <w:sz w:val="18"/>
          <w:szCs w:val="18"/>
          <w:color w:val="auto"/>
        </w:rPr>
      </w:pPr>
    </w:p>
    <w:p>
      <w:pPr>
        <w:ind w:left="900" w:right="80" w:hanging="446"/>
        <w:spacing w:after="0" w:line="31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Increase in Annual Incentive Plan Cash Payments — </w:t>
      </w:r>
      <w:r>
        <w:rPr>
          <w:rFonts w:ascii="Arial" w:cs="Arial" w:eastAsia="Arial" w:hAnsi="Arial"/>
          <w:sz w:val="16"/>
          <w:szCs w:val="16"/>
          <w:color w:val="auto"/>
        </w:rPr>
        <w:t>Payments for our annual incentive plans are typically made in the first quarter of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prior year performance. Our cash flow from operating activities was unfavorably impacted by $41 million on a year-over-year basis, as the annual incentive cash payments made in the first quarter of 2017 were higher than the cash payments made in the first quarter of 2016.</w:t>
      </w:r>
    </w:p>
    <w:p>
      <w:pPr>
        <w:spacing w:after="0" w:line="52" w:lineRule="exact"/>
        <w:rPr>
          <w:rFonts w:ascii="Arial" w:cs="Arial" w:eastAsia="Arial" w:hAnsi="Arial"/>
          <w:sz w:val="16"/>
          <w:szCs w:val="16"/>
          <w:color w:val="auto"/>
        </w:rPr>
      </w:pPr>
    </w:p>
    <w:p>
      <w:pPr>
        <w:ind w:left="900" w:right="260" w:hanging="446"/>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Changes in Assets and Liabilities, Net of Effects from Business Acquisitions and Divestitures — </w:t>
      </w:r>
      <w:r>
        <w:rPr>
          <w:rFonts w:ascii="Arial" w:cs="Arial" w:eastAsia="Arial" w:hAnsi="Arial"/>
          <w:sz w:val="17"/>
          <w:szCs w:val="17"/>
          <w:color w:val="auto"/>
        </w:rPr>
        <w:t>Our cash flows from operating activities were</w:t>
      </w:r>
      <w:r>
        <w:rPr>
          <w:rFonts w:ascii="Arial" w:cs="Arial" w:eastAsia="Arial" w:hAnsi="Arial"/>
          <w:sz w:val="17"/>
          <w:szCs w:val="17"/>
          <w:i w:val="1"/>
          <w:iCs w:val="1"/>
          <w:color w:val="auto"/>
        </w:rPr>
        <w:t xml:space="preserve"> </w:t>
      </w:r>
      <w:r>
        <w:rPr>
          <w:rFonts w:ascii="Arial" w:cs="Arial" w:eastAsia="Arial" w:hAnsi="Arial"/>
          <w:sz w:val="17"/>
          <w:szCs w:val="17"/>
          <w:color w:val="auto"/>
        </w:rPr>
        <w:t>favorably impacted on a year-over-year basis due to net changes in our assets and liabilities, exclusive of the items noted above.</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three months ended March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2016 are summarized below:</w:t>
      </w:r>
    </w:p>
    <w:p>
      <w:pPr>
        <w:spacing w:after="0" w:line="76" w:lineRule="exact"/>
        <w:rPr>
          <w:sz w:val="20"/>
          <w:szCs w:val="20"/>
          <w:color w:val="auto"/>
        </w:rPr>
      </w:pPr>
    </w:p>
    <w:p>
      <w:pPr>
        <w:ind w:left="900" w:right="12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$10 million and $537 million for the three months ended March 31,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 2016, our acquisitions consisted primarily of certain operations and business assets of SWS as discussed further in Note 8 to the Condensed Consolidated Financial Statements</w:t>
      </w:r>
      <w:r>
        <w:rPr>
          <w:rFonts w:ascii="Arial" w:cs="Arial" w:eastAsia="Arial" w:hAnsi="Arial"/>
          <w:sz w:val="18"/>
          <w:szCs w:val="18"/>
          <w:i w:val="1"/>
          <w:iCs w:val="1"/>
          <w:color w:val="auto"/>
        </w:rPr>
        <w:t>.</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$332 million and $317 million during the three months ended March 31, 2017 and 2016, respectively,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 increase of $15 million. The Company continues to maintain a disciplined focus on capital management, and fluctuations in our capital expenditures are a result of new business opportunities, growth in our existing business, and the timing of replacement of aging assets.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42" w:name="page43"/>
    <w:bookmarkEnd w:id="42"/>
    <w:p>
      <w:pPr>
        <w:ind w:right="160" w:firstLine="456"/>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Provided by (Used in) Financing Activities — </w:t>
      </w:r>
      <w:r>
        <w:rPr>
          <w:rFonts w:ascii="Arial" w:cs="Arial" w:eastAsia="Arial" w:hAnsi="Arial"/>
          <w:sz w:val="18"/>
          <w:szCs w:val="18"/>
          <w:color w:val="auto"/>
        </w:rPr>
        <w:t>The most significant items affecting the comparison of our financing cash flows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2017 and 2016 are summarized below:</w:t>
      </w:r>
    </w:p>
    <w:p>
      <w:pPr>
        <w:spacing w:after="0" w:line="76" w:lineRule="exact"/>
        <w:rPr>
          <w:sz w:val="20"/>
          <w:szCs w:val="20"/>
          <w:color w:val="auto"/>
        </w:rPr>
      </w:pPr>
    </w:p>
    <w:p>
      <w:pPr>
        <w:ind w:left="900" w:right="5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(Repayments) </w:t>
      </w:r>
      <w:r>
        <w:rPr>
          <w:rFonts w:ascii="Arial" w:cs="Arial" w:eastAsia="Arial" w:hAnsi="Arial"/>
          <w:sz w:val="18"/>
          <w:szCs w:val="18"/>
          <w:color w:val="auto"/>
        </w:rPr>
        <w:t>— The following summarizes our cash borrowings and debt repayments (excluding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discussed below) for the three months ended March 31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$2.25 billion revolving credit facility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term loan and revolving credit facility</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Capital leases and other debt</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1,301</w:t>
            </w:r>
          </w:p>
        </w:tc>
        <w:tc>
          <w:tcPr>
            <w:tcW w:w="120" w:type="dxa"/>
            <w:vAlign w:val="bottom"/>
            <w:shd w:val="clear" w:color="auto" w:fill="CCEEFF"/>
          </w:tcPr>
          <w:p>
            <w:pPr>
              <w:spacing w:after="0"/>
              <w:rPr>
                <w:sz w:val="18"/>
                <w:szCs w:val="18"/>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$2.25 billion revolving credit facility</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Canadian term loan and revolving credit facility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notes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Tax-exempt bonds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leases and other debt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(541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borrowings (repayments)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54" w:lineRule="exact"/>
        <w:rPr>
          <w:sz w:val="20"/>
          <w:szCs w:val="20"/>
          <w:color w:val="auto"/>
        </w:rPr>
      </w:pPr>
    </w:p>
    <w:p>
      <w:pPr>
        <w:ind w:left="900" w:right="10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three months ended March 31, 2017, we had net borrowings of $210 million under our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paper program. Refer to Note 3 to the Condensed Consolidated Financial Statements for additional information related to our commercial paper program.</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 We did not make any cash payments for share repurchases in the first quarter of 2017. We paid</w:t>
      </w:r>
    </w:p>
    <w:p>
      <w:pPr>
        <w:spacing w:after="0" w:line="34" w:lineRule="exact"/>
        <w:rPr>
          <w:rFonts w:ascii="Arial" w:cs="Arial" w:eastAsia="Arial" w:hAnsi="Arial"/>
          <w:sz w:val="17"/>
          <w:szCs w:val="17"/>
          <w:color w:val="auto"/>
        </w:rPr>
      </w:pPr>
    </w:p>
    <w:p>
      <w:pPr>
        <w:ind w:left="900" w:right="200"/>
        <w:spacing w:after="0" w:line="261" w:lineRule="auto"/>
        <w:rPr>
          <w:rFonts w:ascii="Arial" w:cs="Arial" w:eastAsia="Arial" w:hAnsi="Arial"/>
          <w:sz w:val="17"/>
          <w:szCs w:val="17"/>
          <w:color w:val="auto"/>
        </w:rPr>
      </w:pPr>
      <w:r>
        <w:rPr>
          <w:rFonts w:ascii="Arial" w:cs="Arial" w:eastAsia="Arial" w:hAnsi="Arial"/>
          <w:sz w:val="18"/>
          <w:szCs w:val="18"/>
          <w:color w:val="auto"/>
        </w:rPr>
        <w:t>$250 million for share repurchases in the first quarter of 2016. See Note 11 to the Condensed Consolidated Financial Statements for additional information.</w:t>
      </w:r>
    </w:p>
    <w:p>
      <w:pPr>
        <w:spacing w:after="0" w:line="89"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Cash Dividends — </w:t>
      </w:r>
      <w:r>
        <w:rPr>
          <w:rFonts w:ascii="Arial" w:cs="Arial" w:eastAsia="Arial" w:hAnsi="Arial"/>
          <w:sz w:val="18"/>
          <w:szCs w:val="18"/>
          <w:color w:val="auto"/>
        </w:rPr>
        <w:t>We paid cash dividends of $194 million and $183 million in the first quarter of 2017 and 2016, respectively.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payments is due to our quarterly dividend declared increasing from $0.41 in 2016 to $0.425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6 to the Condensed Consolidated Financial Statements. These arrangements have not materially affected our financial position, results of operations or liquidity during the three months ended March 31, 2017, nor are they expected to have a material impact on our future financial position, results of operations or liquidity.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October 2016, the FASB issued ASU 2016-16 associated with the timing of recognition of income taxes for intra-entity transfers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other than inventory. The amended guidance requires the recognition of income taxes when the transfer of the asset occurs, which replaces current GAAP that defers the recognition of income taxes until the transferred asset is sold to a third party or otherwise recovered through use.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4" w:right="299" w:bottom="1440" w:gutter="0" w:footer="0" w:header="0"/>
        </w:sectPr>
      </w:pPr>
    </w:p>
    <w:bookmarkStart w:id="43" w:name="page44"/>
    <w:bookmarkEnd w:id="43"/>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14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i w:val="1"/>
          <w:iCs w:val="1"/>
          <w:color w:val="auto"/>
        </w:rPr>
        <w:t xml:space="preserve">Statement of Cash Flows — </w:t>
      </w:r>
      <w:r>
        <w:rPr>
          <w:rFonts w:ascii="Arial" w:cs="Arial" w:eastAsia="Arial" w:hAnsi="Arial"/>
          <w:sz w:val="17"/>
          <w:szCs w:val="17"/>
          <w:color w:val="auto"/>
        </w:rPr>
        <w:t>In August 2016, the FASB issued ASU 2016-15 associated with the classification of certain cash receipts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in the statement of cash flows. In November 2016, the FASB issued ASU 2016-18 associated with the presentation of restricted cash and cash equivalents in the statement of cash flows. The objective of both amendments was to reduce existing diversity in practice. The amended guidance is effective for the Company on January 1, 2018. We are in the process of assessing the provisions of this amended guidance; however, we currently do not expect that the adoption of this amended guidance will have a material impact on our consolidated financial statements.</w:t>
      </w:r>
    </w:p>
    <w:p>
      <w:pPr>
        <w:spacing w:after="0" w:line="173"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2016-13 associated with the measurement of credit losses on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the amended guidance and evaluating the impact on our consolidated financial statements.</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In February 2016, the FASB issued ASU 2016-02 associated with lease accounting. The amended guidance requires the recognition of lease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assessing the provisions of the amended guidance, have formed an implementation work team and begun training the various organizations that will be affected by the new standard. We are still evaluating the impact of this amended guidance on our consolidated financial statements.</w:t>
      </w:r>
    </w:p>
    <w:p>
      <w:pPr>
        <w:spacing w:after="0" w:line="15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In January 2016, the FASB issued ASU 2016-01 associated with the recognition and measurement of financial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We are assessing the provisions of the amended guidance and evaluating the timing and impact on our consolidated financial statements.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In May 2014, the FASB issued ASU 2014-09 associated with revenue recognition. The amended guidance requires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assess the impact of the standard, we utilized internal resources to lead the implementation effort and supplemented them with external resources. Our internal resources read the amended guidance, attended trainings and consulted with other accounting professionals to assist with interpretation of the amended guidance. Surveys were sent to and returned by all operating segments to assess the potential impact of the amended guidance and to tailor specific procedures to evaluate 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44" w:name="page45"/>
    <w:bookmarkEnd w:id="4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corroborate the survey results. We have completed our preliminary review and analysis of all contracts selected for testing and we are in the process of performing additional analysis on certain contractual provisions, including provisions that could impact the classification of certain revenue streams and costs that are currently reported on a gross basis.</w:t>
      </w:r>
    </w:p>
    <w:p>
      <w:pPr>
        <w:spacing w:after="0" w:line="18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Based on our work to date, we believe we have identified all material contract types and costs that may be impacted by this amended guidance. We expect to quantify and disclose the expected impact, if any, of adopting this amended guidance in the Quarterly Report on Form 10-Q for the third quarter of 2017. While we are still evaluating the impact of the amended guidance, we currently do not expect it to have a material impact on operating revenues.</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adoption of the amended guidance, we anticipate recognizing an asset from the capitalization of sales incentives as contract acquisitions costs. Under the amended guidance, sales incentives will be capitalized and amortized over the expected life of the customer relationship. Currently, the Company expenses approximately $65 million in sales incentives annually. As noted above, we are still evaluating the possible impacts on our consolidated financial statements, including potential changes in the classification of certain revenue streams and costs currently reported on a gross basis, the amount of sales incentives that will be capitalized and on our disclosures. The Company is currently planning to adopt the amended guidance using the modified retrospective method as of January 1,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United States, can increase our revenues in the Areas affected. While weather conditions and other event driven special projects can boost revenues through additional work for a limited time, as a result of significant start-up costs and other factors, such revenue can generate earnings at comparatively lower margins.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Information about market risks as of March 31, 2017, does not differ materially from that discussed under Item 7A in our Annual Report on Form 10-K for the year ended December 31,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2017 (the end of the period covered by this Quarterly Report on Form 10-Q).</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together with our CEO and CFO, evaluated the changes in our internal control over financial reporting during the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2017. We determined that there were no changes in our internal control over financial reporting during the quarter ended March 31, 2017 that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affected, or are reasonably likely to materially affect, our internal control over financial reporting.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0"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on Form 10-K for the year ended December 31, 2016 in response to Item 1A to Part I of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first quarter of 2017 (shares in millions):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5"/>
              </w:rPr>
              <w:t>Total</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Total Number of</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Approximate Maximum</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8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20" w:type="dxa"/>
            <w:vAlign w:val="bottom"/>
          </w:tcPr>
          <w:p>
            <w:pPr>
              <w:spacing w:after="0"/>
              <w:rPr>
                <w:sz w:val="12"/>
                <w:szCs w:val="12"/>
                <w:color w:val="auto"/>
              </w:rPr>
            </w:pPr>
          </w:p>
        </w:tc>
        <w:tc>
          <w:tcPr>
            <w:tcW w:w="1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Dollar Value of Shares that</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460" w:type="dxa"/>
            <w:vAlign w:val="bottom"/>
            <w:gridSpan w:val="2"/>
            <w:vMerge w:val="restart"/>
          </w:tcPr>
          <w:p>
            <w:pPr>
              <w:spacing w:after="0"/>
              <w:rPr>
                <w:sz w:val="12"/>
                <w:szCs w:val="12"/>
                <w:color w:val="auto"/>
              </w:rPr>
            </w:pPr>
          </w:p>
        </w:tc>
        <w:tc>
          <w:tcPr>
            <w:tcW w:w="13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8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4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May Yet be Purchased Under</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1300" w:type="dxa"/>
            <w:vAlign w:val="bottom"/>
            <w:gridSpan w:val="3"/>
          </w:tcPr>
          <w:p>
            <w:pPr>
              <w:jc w:val="center"/>
              <w:ind w:right="620"/>
              <w:spacing w:after="0" w:line="158" w:lineRule="exact"/>
              <w:rPr>
                <w:sz w:val="20"/>
                <w:szCs w:val="20"/>
                <w:color w:val="auto"/>
              </w:rPr>
            </w:pPr>
            <w:r>
              <w:rPr>
                <w:rFonts w:ascii="Arial" w:cs="Arial" w:eastAsia="Arial" w:hAnsi="Arial"/>
                <w:sz w:val="14"/>
                <w:szCs w:val="14"/>
                <w:b w:val="1"/>
                <w:bCs w:val="1"/>
                <w:color w:val="auto"/>
                <w:w w:val="89"/>
              </w:rPr>
              <w:t>Purchased</w:t>
            </w:r>
          </w:p>
        </w:tc>
        <w:tc>
          <w:tcPr>
            <w:tcW w:w="400" w:type="dxa"/>
            <w:vAlign w:val="bottom"/>
          </w:tcPr>
          <w:p>
            <w:pPr>
              <w:spacing w:after="0"/>
              <w:rPr>
                <w:sz w:val="15"/>
                <w:szCs w:val="15"/>
                <w:color w:val="auto"/>
              </w:rPr>
            </w:pPr>
          </w:p>
        </w:tc>
        <w:tc>
          <w:tcPr>
            <w:tcW w:w="16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18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1"/>
              </w:rPr>
              <w:t>Programs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January 1 — 31</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1080"/>
              <w:spacing w:after="0" w:line="203" w:lineRule="exact"/>
              <w:rPr>
                <w:sz w:val="20"/>
                <w:szCs w:val="20"/>
                <w:color w:val="auto"/>
              </w:rPr>
            </w:pPr>
            <w:r>
              <w:rPr>
                <w:rFonts w:ascii="Arial" w:cs="Arial" w:eastAsia="Arial" w:hAnsi="Arial"/>
                <w:sz w:val="18"/>
                <w:szCs w:val="18"/>
                <w:color w:val="auto"/>
                <w:w w:val="88"/>
              </w:rPr>
              <w:t>—</w:t>
            </w:r>
          </w:p>
        </w:tc>
        <w:tc>
          <w:tcPr>
            <w:tcW w:w="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w w:val="92"/>
              </w:rPr>
              <w:t>750 million</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February 1 — 28</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0.4(a)</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w w:val="98"/>
              </w:rPr>
              <w:t>69.43(a)</w:t>
            </w:r>
          </w:p>
        </w:tc>
        <w:tc>
          <w:tcPr>
            <w:tcW w:w="1880" w:type="dxa"/>
            <w:vAlign w:val="bottom"/>
            <w:gridSpan w:val="2"/>
          </w:tcPr>
          <w:p>
            <w:pPr>
              <w:ind w:left="1040"/>
              <w:spacing w:after="0"/>
              <w:rPr>
                <w:sz w:val="20"/>
                <w:szCs w:val="20"/>
                <w:color w:val="auto"/>
              </w:rPr>
            </w:pPr>
            <w:r>
              <w:rPr>
                <w:rFonts w:ascii="Arial" w:cs="Arial" w:eastAsia="Arial" w:hAnsi="Arial"/>
                <w:sz w:val="18"/>
                <w:szCs w:val="18"/>
                <w:color w:val="auto"/>
              </w:rPr>
              <w:t>0.4(a)</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860"/>
              <w:spacing w:after="0"/>
              <w:rPr>
                <w:sz w:val="20"/>
                <w:szCs w:val="20"/>
                <w:color w:val="auto"/>
              </w:rPr>
            </w:pPr>
            <w:r>
              <w:rPr>
                <w:rFonts w:ascii="Arial" w:cs="Arial" w:eastAsia="Arial" w:hAnsi="Arial"/>
                <w:sz w:val="18"/>
                <w:szCs w:val="18"/>
                <w:color w:val="auto"/>
                <w:w w:val="99"/>
              </w:rPr>
              <w:t>750 million</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 31</w:t>
            </w: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750 million</w:t>
            </w:r>
          </w:p>
        </w:tc>
        <w:tc>
          <w:tcPr>
            <w:tcW w:w="0" w:type="dxa"/>
            <w:vAlign w:val="bottom"/>
          </w:tcPr>
          <w:p>
            <w:pPr>
              <w:spacing w:after="0"/>
              <w:rPr>
                <w:sz w:val="1"/>
                <w:szCs w:val="1"/>
                <w:color w:val="auto"/>
              </w:rPr>
            </w:pPr>
          </w:p>
        </w:tc>
      </w:tr>
      <w:tr>
        <w:trPr>
          <w:trHeight w:val="223"/>
        </w:trPr>
        <w:tc>
          <w:tcPr>
            <w:tcW w:w="388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102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79"/>
              </w:rPr>
              <w:t>0.4</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2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November 2016, we entered into an accelerated share repurchase (“ASR”) agreement to repurchase $225 million of our common stock, and the “Average Price Paid per Share” in the table above is the final weighted average per share purchase price paid for all shares repurchased pursuant to the ASR agreement. At the beginning of the ASR repurchase period, we delivered $225 million in cash and received 2.8 million shares. The ASR agreement completed in February 2017, and we received 0.4 million additional shares.</w:t>
      </w:r>
    </w:p>
    <w:p>
      <w:pPr>
        <w:spacing w:after="0" w:line="187"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Any future share repurchases will be made at the discretion of management and will depend on factors similar to those considered by the Board of Directors in making dividend declarations, including our net earnings, financial condition and cash required for future business plans.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6. </w:t>
      </w:r>
      <w:r>
        <w:rPr>
          <w:rFonts w:ascii="Arial" w:cs="Arial" w:eastAsia="Arial" w:hAnsi="Arial"/>
          <w:sz w:val="18"/>
          <w:szCs w:val="18"/>
          <w:b w:val="1"/>
          <w:bCs w:val="1"/>
          <w:i w:val="1"/>
          <w:iCs w:val="1"/>
          <w:color w:val="auto"/>
        </w:rPr>
        <w:t>Exhibits</w:t>
      </w:r>
      <w:r>
        <w:rPr>
          <w:rFonts w:ascii="Arial" w:cs="Arial" w:eastAsia="Arial" w:hAnsi="Arial"/>
          <w:sz w:val="18"/>
          <w:szCs w:val="18"/>
          <w:i w:val="1"/>
          <w:iCs w:val="1"/>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48"/>
              <w:spacing w:after="0" w:line="151" w:lineRule="exact"/>
              <w:rPr>
                <w:sz w:val="20"/>
                <w:szCs w:val="20"/>
                <w:color w:val="auto"/>
              </w:rPr>
            </w:pPr>
            <w:r>
              <w:rPr>
                <w:rFonts w:ascii="Arial" w:cs="Arial" w:eastAsia="Arial" w:hAnsi="Arial"/>
                <w:sz w:val="14"/>
                <w:szCs w:val="14"/>
                <w:b w:val="1"/>
                <w:bCs w:val="1"/>
                <w:color w:val="auto"/>
              </w:rPr>
              <w:t>No.</w:t>
            </w:r>
          </w:p>
        </w:tc>
        <w:tc>
          <w:tcPr>
            <w:tcW w:w="10780" w:type="dxa"/>
            <w:vAlign w:val="bottom"/>
            <w:gridSpan w:val="3"/>
          </w:tcPr>
          <w:p>
            <w:pPr>
              <w:ind w:left="532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8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05"/>
        </w:trPr>
        <w:tc>
          <w:tcPr>
            <w:tcW w:w="580" w:type="dxa"/>
            <w:vAlign w:val="bottom"/>
            <w:gridSpan w:val="2"/>
          </w:tcPr>
          <w:p>
            <w:pPr>
              <w:jc w:val="right"/>
              <w:ind w:right="188"/>
              <w:spacing w:after="0"/>
              <w:rPr>
                <w:sz w:val="20"/>
                <w:szCs w:val="20"/>
                <w:color w:val="auto"/>
              </w:rPr>
            </w:pPr>
            <w:r>
              <w:rPr>
                <w:rFonts w:ascii="Arial" w:cs="Arial" w:eastAsia="Arial" w:hAnsi="Arial"/>
                <w:sz w:val="18"/>
                <w:szCs w:val="18"/>
                <w:color w:val="auto"/>
                <w:w w:val="85"/>
              </w:rPr>
              <w:t>10.1</w:t>
            </w:r>
          </w:p>
        </w:tc>
        <w:tc>
          <w:tcPr>
            <w:tcW w:w="10780" w:type="dxa"/>
            <w:vAlign w:val="bottom"/>
            <w:gridSpan w:val="3"/>
          </w:tcPr>
          <w:p>
            <w:pPr>
              <w:ind w:left="200"/>
              <w:spacing w:after="0"/>
              <w:rPr>
                <w:sz w:val="20"/>
                <w:szCs w:val="20"/>
                <w:color w:val="auto"/>
              </w:rPr>
            </w:pPr>
            <w:r>
              <w:rPr>
                <w:rFonts w:ascii="Arial" w:cs="Arial" w:eastAsia="Arial" w:hAnsi="Arial"/>
                <w:sz w:val="18"/>
                <w:szCs w:val="18"/>
                <w:color w:val="auto"/>
                <w:w w:val="97"/>
              </w:rPr>
              <w:t>— Form of 2017 Senior Leadership Team Award Agreement [incorporated by reference to Exhibit 10.1 to Form 8-K filed March 3, 2017].</w:t>
            </w:r>
          </w:p>
        </w:tc>
      </w:tr>
      <w:tr>
        <w:trPr>
          <w:trHeight w:val="310"/>
        </w:trPr>
        <w:tc>
          <w:tcPr>
            <w:tcW w:w="580" w:type="dxa"/>
            <w:vAlign w:val="bottom"/>
            <w:gridSpan w:val="2"/>
          </w:tcPr>
          <w:p>
            <w:pPr>
              <w:jc w:val="right"/>
              <w:ind w:right="188"/>
              <w:spacing w:after="0"/>
              <w:rPr>
                <w:sz w:val="20"/>
                <w:szCs w:val="20"/>
                <w:color w:val="auto"/>
              </w:rPr>
            </w:pPr>
            <w:r>
              <w:rPr>
                <w:rFonts w:ascii="Arial" w:cs="Arial" w:eastAsia="Arial" w:hAnsi="Arial"/>
                <w:sz w:val="18"/>
                <w:szCs w:val="18"/>
                <w:color w:val="auto"/>
                <w:w w:val="85"/>
              </w:rPr>
              <w:t>10.2</w:t>
            </w:r>
          </w:p>
        </w:tc>
        <w:tc>
          <w:tcPr>
            <w:tcW w:w="10780" w:type="dxa"/>
            <w:vAlign w:val="bottom"/>
            <w:gridSpan w:val="3"/>
          </w:tcPr>
          <w:p>
            <w:pPr>
              <w:ind w:left="200"/>
              <w:spacing w:after="0"/>
              <w:rPr>
                <w:sz w:val="20"/>
                <w:szCs w:val="20"/>
                <w:color w:val="auto"/>
              </w:rPr>
            </w:pPr>
            <w:r>
              <w:rPr>
                <w:rFonts w:ascii="Arial" w:cs="Arial" w:eastAsia="Arial" w:hAnsi="Arial"/>
                <w:sz w:val="18"/>
                <w:szCs w:val="18"/>
                <w:color w:val="auto"/>
                <w:w w:val="91"/>
              </w:rPr>
              <w:t>— 2017 Senior Leadership Team Award Agreement with Mr. James E. Trevathan, Jr. [incorporated by reference to Exhibit 10.2 to Form 8-K filed</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780" w:type="dxa"/>
            <w:vAlign w:val="bottom"/>
            <w:gridSpan w:val="3"/>
          </w:tcPr>
          <w:p>
            <w:pPr>
              <w:ind w:left="500"/>
              <w:spacing w:after="0"/>
              <w:rPr>
                <w:sz w:val="20"/>
                <w:szCs w:val="20"/>
                <w:color w:val="auto"/>
              </w:rPr>
            </w:pPr>
            <w:r>
              <w:rPr>
                <w:rFonts w:ascii="Arial" w:cs="Arial" w:eastAsia="Arial" w:hAnsi="Arial"/>
                <w:sz w:val="18"/>
                <w:szCs w:val="18"/>
                <w:color w:val="auto"/>
              </w:rPr>
              <w:t>March 3, 2017].</w:t>
            </w:r>
          </w:p>
        </w:tc>
      </w:tr>
      <w:tr>
        <w:trPr>
          <w:trHeight w:val="324"/>
        </w:trPr>
        <w:tc>
          <w:tcPr>
            <w:tcW w:w="580" w:type="dxa"/>
            <w:vAlign w:val="bottom"/>
            <w:gridSpan w:val="2"/>
          </w:tcPr>
          <w:p>
            <w:pPr>
              <w:jc w:val="right"/>
              <w:ind w:right="188"/>
              <w:spacing w:after="0"/>
              <w:rPr>
                <w:sz w:val="20"/>
                <w:szCs w:val="20"/>
                <w:color w:val="auto"/>
              </w:rPr>
            </w:pPr>
            <w:r>
              <w:rPr>
                <w:rFonts w:ascii="Arial" w:cs="Arial" w:eastAsia="Arial" w:hAnsi="Arial"/>
                <w:sz w:val="18"/>
                <w:szCs w:val="18"/>
                <w:color w:val="auto"/>
                <w:w w:val="85"/>
              </w:rPr>
              <w:t>10.3</w:t>
            </w:r>
          </w:p>
        </w:tc>
        <w:tc>
          <w:tcPr>
            <w:tcW w:w="10780" w:type="dxa"/>
            <w:vAlign w:val="bottom"/>
            <w:gridSpan w:val="3"/>
          </w:tcPr>
          <w:p>
            <w:pPr>
              <w:ind w:left="200"/>
              <w:spacing w:after="0"/>
              <w:rPr>
                <w:sz w:val="20"/>
                <w:szCs w:val="20"/>
                <w:color w:val="auto"/>
              </w:rPr>
            </w:pPr>
            <w:r>
              <w:rPr>
                <w:rFonts w:ascii="Arial" w:cs="Arial" w:eastAsia="Arial" w:hAnsi="Arial"/>
                <w:sz w:val="18"/>
                <w:szCs w:val="18"/>
                <w:color w:val="auto"/>
                <w:w w:val="98"/>
              </w:rPr>
              <w:t>— Separation and Release Agreement between USA Waste-Management Resources, LLC and Puneet Bhasin dated March 10, 2017.</w:t>
            </w:r>
          </w:p>
        </w:tc>
      </w:tr>
      <w:tr>
        <w:trPr>
          <w:trHeight w:val="310"/>
        </w:trPr>
        <w:tc>
          <w:tcPr>
            <w:tcW w:w="580" w:type="dxa"/>
            <w:vAlign w:val="bottom"/>
            <w:gridSpan w:val="2"/>
          </w:tcPr>
          <w:p>
            <w:pPr>
              <w:jc w:val="right"/>
              <w:ind w:right="188"/>
              <w:spacing w:after="0"/>
              <w:rPr>
                <w:sz w:val="20"/>
                <w:szCs w:val="20"/>
                <w:color w:val="auto"/>
              </w:rPr>
            </w:pPr>
            <w:r>
              <w:rPr>
                <w:rFonts w:ascii="Arial" w:cs="Arial" w:eastAsia="Arial" w:hAnsi="Arial"/>
                <w:sz w:val="18"/>
                <w:szCs w:val="18"/>
                <w:color w:val="auto"/>
                <w:w w:val="85"/>
              </w:rPr>
              <w:t>31.1</w:t>
            </w:r>
          </w:p>
        </w:tc>
        <w:tc>
          <w:tcPr>
            <w:tcW w:w="10780" w:type="dxa"/>
            <w:vAlign w:val="bottom"/>
            <w:gridSpan w:val="3"/>
          </w:tcPr>
          <w:p>
            <w:pPr>
              <w:ind w:left="200"/>
              <w:spacing w:after="0"/>
              <w:rPr>
                <w:sz w:val="20"/>
                <w:szCs w:val="20"/>
                <w:color w:val="auto"/>
              </w:rPr>
            </w:pPr>
            <w:r>
              <w:rPr>
                <w:rFonts w:ascii="Arial" w:cs="Arial" w:eastAsia="Arial" w:hAnsi="Arial"/>
                <w:sz w:val="18"/>
                <w:szCs w:val="18"/>
                <w:color w:val="auto"/>
                <w:w w:val="95"/>
              </w:rPr>
              <w:t>— Certification Pursuant to Rules 13a-14(a) and 15d-14(a) under the Securities Exchange Act of 1934, as amended, of James C. Fish, Jr.,</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780" w:type="dxa"/>
            <w:vAlign w:val="bottom"/>
            <w:gridSpan w:val="3"/>
          </w:tcPr>
          <w:p>
            <w:pPr>
              <w:ind w:left="500"/>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80" w:type="dxa"/>
            <w:vAlign w:val="bottom"/>
            <w:gridSpan w:val="2"/>
          </w:tcPr>
          <w:p>
            <w:pPr>
              <w:jc w:val="right"/>
              <w:ind w:right="188"/>
              <w:spacing w:after="0"/>
              <w:rPr>
                <w:sz w:val="20"/>
                <w:szCs w:val="20"/>
                <w:color w:val="auto"/>
              </w:rPr>
            </w:pPr>
            <w:r>
              <w:rPr>
                <w:rFonts w:ascii="Arial" w:cs="Arial" w:eastAsia="Arial" w:hAnsi="Arial"/>
                <w:sz w:val="18"/>
                <w:szCs w:val="18"/>
                <w:color w:val="auto"/>
                <w:w w:val="85"/>
              </w:rPr>
              <w:t>31.2</w:t>
            </w:r>
          </w:p>
        </w:tc>
        <w:tc>
          <w:tcPr>
            <w:tcW w:w="10780" w:type="dxa"/>
            <w:vAlign w:val="bottom"/>
            <w:gridSpan w:val="3"/>
          </w:tcPr>
          <w:p>
            <w:pPr>
              <w:ind w:left="200"/>
              <w:spacing w:after="0"/>
              <w:rPr>
                <w:sz w:val="20"/>
                <w:szCs w:val="20"/>
                <w:color w:val="auto"/>
              </w:rPr>
            </w:pPr>
            <w:r>
              <w:rPr>
                <w:rFonts w:ascii="Arial" w:cs="Arial" w:eastAsia="Arial" w:hAnsi="Arial"/>
                <w:sz w:val="18"/>
                <w:szCs w:val="18"/>
                <w:color w:val="auto"/>
                <w:w w:val="91"/>
              </w:rPr>
              <w:t>— Certification Pursuant to Rules 13a-14(a) and 15d-14(a) under the Securities Exchange Act of 1934, as amended, of Devina A. Rankin, Senior</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780" w:type="dxa"/>
            <w:vAlign w:val="bottom"/>
            <w:gridSpan w:val="3"/>
          </w:tcPr>
          <w:p>
            <w:pPr>
              <w:ind w:left="500"/>
              <w:spacing w:after="0"/>
              <w:rPr>
                <w:sz w:val="20"/>
                <w:szCs w:val="20"/>
                <w:color w:val="auto"/>
              </w:rPr>
            </w:pPr>
            <w:r>
              <w:rPr>
                <w:rFonts w:ascii="Arial" w:cs="Arial" w:eastAsia="Arial" w:hAnsi="Arial"/>
                <w:sz w:val="18"/>
                <w:szCs w:val="18"/>
                <w:color w:val="auto"/>
              </w:rPr>
              <w:t>Vice President, Chief Financial Officer and Treasurer.</w:t>
            </w:r>
          </w:p>
        </w:tc>
      </w:tr>
      <w:tr>
        <w:trPr>
          <w:trHeight w:val="324"/>
        </w:trPr>
        <w:tc>
          <w:tcPr>
            <w:tcW w:w="580" w:type="dxa"/>
            <w:vAlign w:val="bottom"/>
            <w:gridSpan w:val="2"/>
          </w:tcPr>
          <w:p>
            <w:pPr>
              <w:jc w:val="right"/>
              <w:ind w:right="188"/>
              <w:spacing w:after="0"/>
              <w:rPr>
                <w:sz w:val="20"/>
                <w:szCs w:val="20"/>
                <w:color w:val="auto"/>
              </w:rPr>
            </w:pPr>
            <w:r>
              <w:rPr>
                <w:rFonts w:ascii="Arial" w:cs="Arial" w:eastAsia="Arial" w:hAnsi="Arial"/>
                <w:sz w:val="18"/>
                <w:szCs w:val="18"/>
                <w:color w:val="auto"/>
                <w:w w:val="85"/>
              </w:rPr>
              <w:t>32.1</w:t>
            </w:r>
          </w:p>
        </w:tc>
        <w:tc>
          <w:tcPr>
            <w:tcW w:w="10780" w:type="dxa"/>
            <w:vAlign w:val="bottom"/>
            <w:gridSpan w:val="3"/>
          </w:tcPr>
          <w:p>
            <w:pPr>
              <w:ind w:left="200"/>
              <w:spacing w:after="0"/>
              <w:rPr>
                <w:sz w:val="20"/>
                <w:szCs w:val="20"/>
                <w:color w:val="auto"/>
              </w:rPr>
            </w:pPr>
            <w:r>
              <w:rPr>
                <w:rFonts w:ascii="Arial" w:cs="Arial" w:eastAsia="Arial" w:hAnsi="Arial"/>
                <w:sz w:val="18"/>
                <w:szCs w:val="18"/>
                <w:color w:val="auto"/>
              </w:rPr>
              <w:t>— Certification Pursuant to 18 U.S.C. §1350 of James C. Fish, Jr., President and Chief Executive Officer.</w:t>
            </w:r>
          </w:p>
        </w:tc>
      </w:tr>
      <w:tr>
        <w:trPr>
          <w:trHeight w:val="324"/>
        </w:trPr>
        <w:tc>
          <w:tcPr>
            <w:tcW w:w="580" w:type="dxa"/>
            <w:vAlign w:val="bottom"/>
            <w:gridSpan w:val="2"/>
          </w:tcPr>
          <w:p>
            <w:pPr>
              <w:jc w:val="right"/>
              <w:ind w:right="188"/>
              <w:spacing w:after="0"/>
              <w:rPr>
                <w:sz w:val="20"/>
                <w:szCs w:val="20"/>
                <w:color w:val="auto"/>
              </w:rPr>
            </w:pPr>
            <w:r>
              <w:rPr>
                <w:rFonts w:ascii="Arial" w:cs="Arial" w:eastAsia="Arial" w:hAnsi="Arial"/>
                <w:sz w:val="18"/>
                <w:szCs w:val="18"/>
                <w:color w:val="auto"/>
                <w:w w:val="85"/>
              </w:rPr>
              <w:t>32.2</w:t>
            </w:r>
          </w:p>
        </w:tc>
        <w:tc>
          <w:tcPr>
            <w:tcW w:w="10780" w:type="dxa"/>
            <w:vAlign w:val="bottom"/>
            <w:gridSpan w:val="3"/>
          </w:tcPr>
          <w:p>
            <w:pPr>
              <w:ind w:left="200"/>
              <w:spacing w:after="0"/>
              <w:rPr>
                <w:sz w:val="20"/>
                <w:szCs w:val="20"/>
                <w:color w:val="auto"/>
              </w:rPr>
            </w:pPr>
            <w:r>
              <w:rPr>
                <w:rFonts w:ascii="Arial" w:cs="Arial" w:eastAsia="Arial" w:hAnsi="Arial"/>
                <w:sz w:val="18"/>
                <w:szCs w:val="18"/>
                <w:color w:val="auto"/>
              </w:rPr>
              <w:t>— Certification Pursuant to 18 U.S.C. §1350 of Devina A. Rankin, Senior Vice President, Chief Financial Officer and Treasurer.</w:t>
            </w:r>
          </w:p>
        </w:tc>
      </w:tr>
    </w:tbl>
    <w:p>
      <w:pPr>
        <w:spacing w:after="0" w:line="94" w:lineRule="exact"/>
        <w:rPr>
          <w:sz w:val="20"/>
          <w:szCs w:val="20"/>
          <w:color w:val="auto"/>
        </w:rPr>
      </w:pPr>
    </w:p>
    <w:p>
      <w:pPr>
        <w:ind w:right="8320" w:firstLine="8"/>
        <w:spacing w:after="0" w:line="397" w:lineRule="auto"/>
        <w:tabs>
          <w:tab w:leader="none" w:pos="77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Mine Safety Disclosures. 101.INS — XBRL Instance Document.</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101.SCH — XBRL Taxonomy Extension Schema Document.</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101.CAL — XBRL Taxonomy Extension Calculation Linkbase Document.</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101.DEF — XBRL Taxonomy Extension Definition Linkbase Document.</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101.LAB — XBRL Taxonomy Extension Labels Linkbase Document.</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101.PRE  — XBRL Taxonomy Extension Presentation Linkbase Document.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70" w:right="299" w:bottom="1440" w:gutter="0" w:footer="0" w:header="0"/>
        </w:sectPr>
      </w:pPr>
    </w:p>
    <w:bookmarkStart w:id="48" w:name="page49"/>
    <w:bookmarkEnd w:id="48"/>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jc w:val="center"/>
        <w:ind w:left="7220"/>
        <w:spacing w:after="0"/>
        <w:rPr>
          <w:sz w:val="20"/>
          <w:szCs w:val="20"/>
          <w:color w:val="auto"/>
        </w:rPr>
      </w:pPr>
      <w:r>
        <w:rPr>
          <w:rFonts w:ascii="Arial" w:cs="Arial" w:eastAsia="Arial" w:hAnsi="Arial"/>
          <w:sz w:val="16"/>
          <w:szCs w:val="16"/>
          <w:i w:val="1"/>
          <w:iCs w:val="1"/>
          <w:color w:val="auto"/>
        </w:rPr>
        <w:t>Senior Vice President, Chief Financial Officer and</w:t>
      </w:r>
    </w:p>
    <w:p>
      <w:pPr>
        <w:spacing w:after="0" w:line="32"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Treasurer</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(Principal Financial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DARREN K. SHADE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Darren K. Shade</w:t>
      </w:r>
    </w:p>
    <w:p>
      <w:pPr>
        <w:spacing w:after="0" w:line="23"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2017</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240" w:top="270" w:right="5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RELEASE AGREEMENT</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SEPARATION AND RELEASE AGREEMENT (“Separation Agreement”) is entered into between USA Waste-Management Resources, LLC (the “Company”) and Puneet Bhasin (the “Executive” and, together with the Company, the “parties”).</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This Separation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Separation Agreement necessarily includes those persons and/or entities described in the foregoing sentence.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REAMBLE</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Waste Management, Inc. (together with any entity that is a direct or indirect majority-owned subsidiary of Waste Management, Inc.,</w:t>
      </w:r>
      <w:r>
        <w:rPr>
          <w:rFonts w:ascii="Arial" w:cs="Arial" w:eastAsia="Arial" w:hAnsi="Arial"/>
          <w:sz w:val="18"/>
          <w:szCs w:val="18"/>
          <w:i w:val="1"/>
          <w:iCs w:val="1"/>
          <w:color w:val="auto"/>
        </w:rPr>
        <w:t xml:space="preserve"> </w:t>
      </w:r>
      <w:r>
        <w:rPr>
          <w:rFonts w:ascii="Arial" w:cs="Arial" w:eastAsia="Arial" w:hAnsi="Arial"/>
          <w:sz w:val="18"/>
          <w:szCs w:val="18"/>
          <w:color w:val="auto"/>
        </w:rPr>
        <w:t>“Waste Management”) and Executive previously entered into that certain Employment Agreement dated December 7, 2009, as may have been amended from time to time (the “Employment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WHEREAS, </w:t>
      </w:r>
      <w:r>
        <w:rPr>
          <w:rFonts w:ascii="Arial" w:cs="Arial" w:eastAsia="Arial" w:hAnsi="Arial"/>
          <w:sz w:val="17"/>
          <w:szCs w:val="17"/>
          <w:color w:val="auto"/>
        </w:rPr>
        <w:t>pursuant to such Employment Agreement, Executive has been continuously employed by the Company or an affiliate thereof;</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Parties agree that upon his separation and execution of a waiver and release of claims, Executive will receive certain benefits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Exhibit B of this Separation Agreement;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now jointly desire to enter into this Separation Agreement to supplement the continuing provisions of said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as set forth below; and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NOW, THEREFORE, </w:t>
      </w:r>
      <w:r>
        <w:rPr>
          <w:rFonts w:ascii="Arial" w:cs="Arial" w:eastAsia="Arial" w:hAnsi="Arial"/>
          <w:sz w:val="18"/>
          <w:szCs w:val="18"/>
          <w:color w:val="auto"/>
        </w:rPr>
        <w:t>in consideration of the premises and agreements contained herein, and for other good and valuable consideration,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Executive hereby agree as follows:</w:t>
      </w:r>
    </w:p>
    <w:p>
      <w:pPr>
        <w:spacing w:after="0" w:line="166" w:lineRule="exact"/>
        <w:rPr>
          <w:sz w:val="20"/>
          <w:szCs w:val="20"/>
          <w:color w:val="auto"/>
        </w:rPr>
      </w:pPr>
    </w:p>
    <w:p>
      <w:pPr>
        <w:ind w:right="20" w:firstLine="464"/>
        <w:spacing w:after="0" w:line="298" w:lineRule="auto"/>
        <w:tabs>
          <w:tab w:leader="none" w:pos="636"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of Executive with the Company terminated March 10, 2017 (“Employment Termination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parties agree that Executive is entitled to the certain compensation and benefits set forth in Section 6(e) of the Employment Agreement without his execution of a release, as more specifically detailed in Exhibit A to this Separation Agreement. Executive acknowledges and agrees that as of the Employment Termination Date all officer positions he held with any Waste Management entity have previously ceased. </w:t>
      </w:r>
      <w:r>
        <w:rPr>
          <w:rFonts w:ascii="Arial" w:cs="Arial" w:eastAsia="Arial" w:hAnsi="Arial"/>
          <w:sz w:val="16"/>
          <w:szCs w:val="16"/>
          <w:u w:val="single" w:color="auto"/>
          <w:color w:val="auto"/>
        </w:rPr>
        <w:t>It is expressly agreed to and acknowledged by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 that Executive is entitled to the compensation and benefits set forth in Exhibit A whether or not he executes this Separation Agreement.</w:t>
      </w:r>
    </w:p>
    <w:p>
      <w:pPr>
        <w:spacing w:after="0" w:line="154" w:lineRule="exact"/>
        <w:rPr>
          <w:rFonts w:ascii="Arial" w:cs="Arial" w:eastAsia="Arial" w:hAnsi="Arial"/>
          <w:sz w:val="16"/>
          <w:szCs w:val="16"/>
          <w:b w:val="1"/>
          <w:bCs w:val="1"/>
          <w:color w:val="auto"/>
        </w:rPr>
      </w:pPr>
    </w:p>
    <w:p>
      <w:pPr>
        <w:ind w:right="80" w:firstLine="464"/>
        <w:spacing w:after="0" w:line="282" w:lineRule="auto"/>
        <w:tabs>
          <w:tab w:leader="none" w:pos="63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Additional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promises herein contained, and subject to Executive executing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revoking this Separation Agreement, it is agreed that the Company will provide Executive those certain benefits specifically</w:t>
      </w:r>
    </w:p>
    <w:p>
      <w:pPr>
        <w:sectPr>
          <w:pgSz w:w="11900" w:h="16838" w:orient="portrait"/>
          <w:cols w:equalWidth="0" w:num="1">
            <w:col w:w="11420"/>
          </w:cols>
          <w:pgMar w:left="240" w:top="121" w:right="239" w:bottom="1440" w:gutter="0" w:footer="0" w:header="0"/>
        </w:sectPr>
      </w:pPr>
    </w:p>
    <w:bookmarkStart w:id="50" w:name="page51"/>
    <w:bookmarkEnd w:id="50"/>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detailed in Exhibit B to this Separation Agreement. </w:t>
      </w:r>
      <w:r>
        <w:rPr>
          <w:rFonts w:ascii="Arial" w:cs="Arial" w:eastAsia="Arial" w:hAnsi="Arial"/>
          <w:sz w:val="17"/>
          <w:szCs w:val="17"/>
          <w:u w:val="single" w:color="auto"/>
          <w:color w:val="auto"/>
        </w:rPr>
        <w:t>It is expressly agreed to and acknowledged by the parties that Executive is not entitled to the benefits set</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forth in Exhibit B until such time as he executes this Separation Agreement and it becomes effective and irrevocably by its terms</w:t>
      </w:r>
      <w:r>
        <w:rPr>
          <w:rFonts w:ascii="Arial" w:cs="Arial" w:eastAsia="Arial" w:hAnsi="Arial"/>
          <w:sz w:val="17"/>
          <w:szCs w:val="17"/>
          <w:color w:val="auto"/>
        </w:rPr>
        <w:t>. The Company shall withhold, or cause to be withheld, from said payments all amounts required to be withheld pursuant to federal, state or local tax laws.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consideration set forth in this Section 2 is in full, final and complete settlement of any and all claims which Executive could make in any complaint, charge, or civil action, whether for actual, nominal, compensatory, or punitive damages (including attorneys’ fees). Executive acknowledges that such consideration is being made as consideration for the releases set forth in Section 3 and 5. Executive further acknowledges that the items of consideration set forth in this Section 2 are separate and distinct of and from each other, and that payment of each such item is independent valuable consideration for the release and waiver set forth in Sections 3 and 5.</w:t>
      </w:r>
    </w:p>
    <w:p>
      <w:pPr>
        <w:spacing w:after="0" w:line="184" w:lineRule="exact"/>
        <w:rPr>
          <w:sz w:val="20"/>
          <w:szCs w:val="20"/>
          <w:color w:val="auto"/>
        </w:rPr>
      </w:pPr>
    </w:p>
    <w:p>
      <w:pPr>
        <w:ind w:firstLine="464"/>
        <w:spacing w:after="0" w:line="256" w:lineRule="auto"/>
        <w:tabs>
          <w:tab w:leader="none" w:pos="63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the first payment made to Executive pursuant to Section 2, Executive releases and discharge the Company, its past</w:t>
      </w:r>
      <w:r>
        <w:rPr>
          <w:rFonts w:ascii="Arial" w:cs="Arial" w:eastAsia="Arial" w:hAnsi="Arial"/>
          <w:sz w:val="18"/>
          <w:szCs w:val="18"/>
          <w:b w:val="1"/>
          <w:bCs w:val="1"/>
          <w:color w:val="auto"/>
        </w:rPr>
        <w:t xml:space="preserve"> </w:t>
      </w:r>
      <w:r>
        <w:rPr>
          <w:rFonts w:ascii="Arial" w:cs="Arial" w:eastAsia="Arial" w:hAnsi="Arial"/>
          <w:sz w:val="18"/>
          <w:szCs w:val="18"/>
          <w:color w:val="auto"/>
        </w:rPr>
        <w:t>and present parents, subsidiaries and its and their affiliated companies, managers, partners, agents, directors, officers, accountants, attorneys, employees, and representatives, and all persons acting by, through, under or in concert with the Company (collectively referred to as the “Released Parties”), from any and all causes of action, claims, liabilities, obligations, promises, agreements, controversies, damages, and expenses, known or unknown, which Executive ever had, or now have, against the Released Parties to the date of this Separation Agreement. The claims Executive releases include, but are not limited to, claims that any of the Released Parties:</w:t>
      </w:r>
    </w:p>
    <w:p>
      <w:pPr>
        <w:spacing w:after="0" w:line="97" w:lineRule="exact"/>
        <w:rPr>
          <w:rFonts w:ascii="Arial" w:cs="Arial" w:eastAsia="Arial" w:hAnsi="Arial"/>
          <w:sz w:val="18"/>
          <w:szCs w:val="18"/>
          <w:b w:val="1"/>
          <w:bCs w:val="1"/>
          <w:color w:val="auto"/>
        </w:rPr>
      </w:pPr>
    </w:p>
    <w:p>
      <w:pPr>
        <w:ind w:left="1480" w:right="160" w:hanging="446"/>
        <w:spacing w:after="0" w:line="255"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discriminated against Executive on the basis of Executive’s race, color, sex (including sexual harassment), national origin, ancestry, disability, religion, sexual orientation, marital status, parental status, veteran status, source of income, entitlement to benefits, union activities, or any other status protected by local, state or federal laws, constitutions, regulations, ordinances, executive orders, including but not limited to the Massachusetts Fair Employment Practices Act, the New Jersey Conscientious Employee Protection Act, the New Jersey Law Against Discrimination, the New Jersey Whistleblower Act, North Dakota Century Code §9-13-02 and South Dakota Code Laws § 20-7-11; or</w:t>
      </w:r>
    </w:p>
    <w:p>
      <w:pPr>
        <w:spacing w:after="0" w:line="98"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discriminated against Executive on the basis of Executive’s age or violated any right Executive may have under the Age Discrimination in Employment Act (“ADEA”);</w:t>
      </w:r>
      <w:r>
        <w:rPr>
          <w:rFonts w:ascii="Arial" w:cs="Arial" w:eastAsia="Arial" w:hAnsi="Arial"/>
          <w:sz w:val="18"/>
          <w:szCs w:val="18"/>
          <w:color w:val="auto"/>
        </w:rPr>
        <w:t xml:space="preserve"> or</w:t>
      </w:r>
    </w:p>
    <w:p>
      <w:pPr>
        <w:spacing w:after="0" w:line="75" w:lineRule="exact"/>
        <w:rPr>
          <w:rFonts w:ascii="Arial" w:cs="Arial" w:eastAsia="Arial" w:hAnsi="Arial"/>
          <w:sz w:val="18"/>
          <w:szCs w:val="18"/>
          <w:color w:val="auto"/>
        </w:rPr>
      </w:pPr>
    </w:p>
    <w:p>
      <w:pPr>
        <w:ind w:left="1480" w:right="140" w:hanging="446"/>
        <w:spacing w:after="0" w:line="277"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(“WARN”), or any similar state or local statute or ordinance; or</w:t>
      </w:r>
    </w:p>
    <w:p>
      <w:pPr>
        <w:spacing w:after="0" w:line="75" w:lineRule="exact"/>
        <w:rPr>
          <w:rFonts w:ascii="Arial" w:cs="Arial" w:eastAsia="Arial" w:hAnsi="Arial"/>
          <w:sz w:val="18"/>
          <w:szCs w:val="18"/>
          <w:color w:val="auto"/>
        </w:rPr>
      </w:pPr>
    </w:p>
    <w:p>
      <w:pPr>
        <w:ind w:left="1480" w:right="20" w:hanging="446"/>
        <w:spacing w:after="0" w:line="257"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1" w:name="page52"/>
    <w:bookmarkEnd w:id="51"/>
    <w:p>
      <w:pPr>
        <w:ind w:left="1480" w:hanging="446"/>
        <w:spacing w:after="0" w:line="277"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violated its personnel policies, handbooks, any covenant of good faith and fair dealing, or any contract of employment between Executive and any of the Released Parties; or</w:t>
      </w:r>
    </w:p>
    <w:p>
      <w:pPr>
        <w:spacing w:after="0" w:line="75" w:lineRule="exact"/>
        <w:rPr>
          <w:rFonts w:ascii="Arial" w:cs="Arial" w:eastAsia="Arial" w:hAnsi="Arial"/>
          <w:sz w:val="18"/>
          <w:szCs w:val="18"/>
          <w:color w:val="auto"/>
        </w:rPr>
      </w:pPr>
    </w:p>
    <w:p>
      <w:pPr>
        <w:ind w:left="1480" w:right="40" w:hanging="446"/>
        <w:spacing w:after="0" w:line="259"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 or</w:t>
      </w:r>
    </w:p>
    <w:p>
      <w:pPr>
        <w:spacing w:after="0" w:line="92" w:lineRule="exact"/>
        <w:rPr>
          <w:rFonts w:ascii="Arial" w:cs="Arial" w:eastAsia="Arial" w:hAnsi="Arial"/>
          <w:sz w:val="18"/>
          <w:szCs w:val="18"/>
          <w:color w:val="auto"/>
        </w:rPr>
      </w:pPr>
    </w:p>
    <w:p>
      <w:pPr>
        <w:ind w:left="1480" w:right="80" w:hanging="446"/>
        <w:spacing w:after="0" w:line="259"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in any way obligated for any reason to pay Executive’s damages, expenses, litigation costs (including attorneys’ fees), bonuses, commissions, disability benefits, compensatory damages, punitive damages, and/or interest, except as provided for in Section 12 of the Employment Agreement, or as otherwise provided by this Separation Agreement, law or Waste Management’s bylaws and certificates of incorporation.</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Executive understands and agrees that this Separation Agreement includes all claims that Executive may have and that Executive does not now know or suspect to exist in Executive’s favor against the Released Parties, and that this Separation Agreement extinguishes those claims.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Executive is not prohibited from making or asserting (a) any claim or right under state workers’ compensation or unemployment laws; (b) any claim or right, which by law cannot be waived through private agreement; (c) any claims for indemnification provided pursuant to (i) Section 12 of the Employment Agreement, (ii) Waste Management’s charter or bylaws as in effect from time to time or (iii) any insurance policy maintained by Waste Management for Executive’s benefit from time to time; or (d) any claims or rights that may arise after Executive executes this Separation Agreement, including any claim to enforce the terms of this Separation Agreement and its Exhibits.</w:t>
      </w:r>
    </w:p>
    <w:p>
      <w:pPr>
        <w:spacing w:after="0" w:line="184" w:lineRule="exact"/>
        <w:rPr>
          <w:sz w:val="20"/>
          <w:szCs w:val="20"/>
          <w:color w:val="auto"/>
        </w:rPr>
      </w:pPr>
    </w:p>
    <w:p>
      <w:pPr>
        <w:ind w:right="60" w:firstLine="464"/>
        <w:spacing w:after="0" w:line="271" w:lineRule="auto"/>
        <w:tabs>
          <w:tab w:leader="none" w:pos="636"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Protected Rights</w:t>
      </w:r>
      <w:r>
        <w:rPr>
          <w:rFonts w:ascii="Arial" w:cs="Arial" w:eastAsia="Arial" w:hAnsi="Arial"/>
          <w:sz w:val="17"/>
          <w:szCs w:val="17"/>
          <w:color w:val="auto"/>
        </w:rPr>
        <w:t>. Notwithstanding the foregoing, nothing in this Separation Agreement prohibits Executive from filing a charge with, or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possible violations of federal law or regulation to any governmental agency or entity, including but not limited to the U.S. Equal Opportunity Commission, the Department of Justice, the Securities and Exchange Commission, Congress, and any agency Inspector General, or making other disclosures that are protected under the whistleblower provisions of federal law or regulation. This Separation Agreement does not limit Executive’s ability to communicate with any government agencies or participate in any investigation or proceeding that may be conducted by any government agency, including providing documents or other information, without notice to the Company. In addition, this Separation Agreement does not limit Executive’s right to receive an award for information provided to any government agencies. Further, Executive is advised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2" w:name="page53"/>
    <w:bookmarkEnd w:id="52"/>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83" w:lineRule="exact"/>
        <w:rPr>
          <w:sz w:val="20"/>
          <w:szCs w:val="20"/>
          <w:color w:val="auto"/>
        </w:rPr>
      </w:pPr>
    </w:p>
    <w:p>
      <w:pPr>
        <w:ind w:right="20" w:firstLine="464"/>
        <w:spacing w:after="0" w:line="273" w:lineRule="auto"/>
        <w:tabs>
          <w:tab w:leader="none" w:pos="636"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Covenant Not to Sue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purpose of giving a full and complete release, Executive covenants and agrees that he has no pending claims or</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against the Released Parties. If Executive has any pending claims in a federal, state or local court, or in an arbitral forum, Executive agrees to promptly file all appropriate papers requesting withdrawal and dismissal of such claims. Executive further agrees not to sue any of the Released Parties or become a party to a lawsuit on the basis of any claims of any type to date that arise out of any aspect of Executive’s employment or termination of employment. Executive understands that this is an affirmative promise by Executive not to sue any of the Released Parties, which is in addition to Executive’s general release of claims in Section 3 above. Notwithstanding the foregoing, nothing in this Separation Agreement prevents Executive from bringing an action to enforce or challenge the validity of this Separation Agreement or taking any action set forth in Section 4 above.</w:t>
      </w:r>
    </w:p>
    <w:p>
      <w:pPr>
        <w:spacing w:after="0" w:line="17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Executive breaches this Separation Agreement by suing any of the Released Parties in violation of this Covenant Not to Sue, Executive understands that (i) the Released Parties will be entitled to apply for and receive an injunction to restrain any violation of this paragraph, and (ii) Executive will be required to pay the Released Parties’ legal costs and expenses, including reasonable attorney fees, associated with defending against the lawsuit and enforcing the terms of this Separation Agreement.</w:t>
      </w:r>
    </w:p>
    <w:p>
      <w:pPr>
        <w:spacing w:after="0" w:line="183" w:lineRule="exact"/>
        <w:rPr>
          <w:sz w:val="20"/>
          <w:szCs w:val="20"/>
          <w:color w:val="auto"/>
        </w:rPr>
      </w:pPr>
    </w:p>
    <w:p>
      <w:pPr>
        <w:ind w:firstLine="464"/>
        <w:spacing w:after="0" w:line="258" w:lineRule="auto"/>
        <w:tabs>
          <w:tab w:leader="none" w:pos="63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Protective Covenants and Loss of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and agrees that the protective and restrictive covenants set forth in Section 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Employment Agreement (the “Employment Agreement Protective Covenants”) remain in full force and effect and that the benefits payable under Section 2 of this Separation Agreement are subject to forfeiture and/or recoupment (i) due to prohibited conduct as set forth in Section 11 of the Employment Agreement, (ii) upon subsequently discovered cause (as set forth in Section 6(f) of the Employment Agreement) or (iii) as provided for under any clawback or similar policy of Waste Management that is applicable to Executive.</w:t>
      </w:r>
    </w:p>
    <w:p>
      <w:pPr>
        <w:spacing w:after="0" w:line="183" w:lineRule="exact"/>
        <w:rPr>
          <w:rFonts w:ascii="Arial" w:cs="Arial" w:eastAsia="Arial" w:hAnsi="Arial"/>
          <w:sz w:val="18"/>
          <w:szCs w:val="18"/>
          <w:b w:val="1"/>
          <w:bCs w:val="1"/>
          <w:color w:val="auto"/>
        </w:rPr>
      </w:pPr>
    </w:p>
    <w:p>
      <w:pPr>
        <w:ind w:right="40" w:firstLine="464"/>
        <w:spacing w:after="0" w:line="347" w:lineRule="auto"/>
        <w:tabs>
          <w:tab w:leader="none" w:pos="626"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Application to all Forms of Relief.</w:t>
      </w:r>
      <w:r>
        <w:rPr>
          <w:rFonts w:ascii="Arial" w:cs="Arial" w:eastAsia="Arial" w:hAnsi="Arial"/>
          <w:sz w:val="16"/>
          <w:szCs w:val="16"/>
          <w:b w:val="1"/>
          <w:bCs w:val="1"/>
          <w:color w:val="auto"/>
        </w:rPr>
        <w:t xml:space="preserve"> </w:t>
      </w:r>
      <w:r>
        <w:rPr>
          <w:rFonts w:ascii="Arial" w:cs="Arial" w:eastAsia="Arial" w:hAnsi="Arial"/>
          <w:sz w:val="16"/>
          <w:szCs w:val="16"/>
          <w:color w:val="auto"/>
        </w:rPr>
        <w:t>This Separation Agreement applies to any relief no matter how called, including without limitation, wages, back</w:t>
      </w:r>
      <w:r>
        <w:rPr>
          <w:rFonts w:ascii="Arial" w:cs="Arial" w:eastAsia="Arial" w:hAnsi="Arial"/>
          <w:sz w:val="16"/>
          <w:szCs w:val="16"/>
          <w:b w:val="1"/>
          <w:bCs w:val="1"/>
          <w:color w:val="auto"/>
        </w:rPr>
        <w:t xml:space="preserve"> </w:t>
      </w:r>
      <w:r>
        <w:rPr>
          <w:rFonts w:ascii="Arial" w:cs="Arial" w:eastAsia="Arial" w:hAnsi="Arial"/>
          <w:sz w:val="16"/>
          <w:szCs w:val="16"/>
          <w:color w:val="auto"/>
        </w:rPr>
        <w:t>pay, front pay, reinstatement, compensatory damages, liquidated damages, punitive damages for pain or suffering, costs and attorney’s fees and expenses.</w:t>
      </w:r>
    </w:p>
    <w:p>
      <w:pPr>
        <w:spacing w:after="0" w:line="116" w:lineRule="exact"/>
        <w:rPr>
          <w:rFonts w:ascii="Arial" w:cs="Arial" w:eastAsia="Arial" w:hAnsi="Arial"/>
          <w:sz w:val="16"/>
          <w:szCs w:val="16"/>
          <w:b w:val="1"/>
          <w:bCs w:val="1"/>
          <w:color w:val="auto"/>
        </w:rPr>
      </w:pPr>
    </w:p>
    <w:p>
      <w:pPr>
        <w:ind w:right="140" w:firstLine="464"/>
        <w:spacing w:after="0" w:line="261" w:lineRule="auto"/>
        <w:tabs>
          <w:tab w:leader="none" w:pos="63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 Admissions, Complaints or Other Claims</w:t>
      </w:r>
      <w:r>
        <w:rPr>
          <w:rFonts w:ascii="Arial" w:cs="Arial" w:eastAsia="Arial" w:hAnsi="Arial"/>
          <w:sz w:val="18"/>
          <w:szCs w:val="18"/>
          <w:color w:val="auto"/>
        </w:rPr>
        <w:t>. The Executive acknowledges and agrees that this Separation Agreement is not to be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way as an admission of any liability whatsoever by any Released Party, any such liability being expressly denied. The Executive also acknowledges and agrees that he has not, with respect to any transaction or state of facts existing prior to the date hereof, filed any Actions against any Released Party with any governmental agency, court or tribunal.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-447675</wp:posOffset>
            </wp:positionV>
            <wp:extent cx="22352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3520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3" w:name="page54"/>
    <w:bookmarkEnd w:id="53"/>
    <w:p>
      <w:pPr>
        <w:ind w:firstLine="464"/>
        <w:spacing w:after="0" w:line="266" w:lineRule="auto"/>
        <w:tabs>
          <w:tab w:leader="none" w:pos="63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has fully reviewed the terms of this Separation Agreement, acknowledges that he understands its terms, and states that</w:t>
      </w:r>
      <w:r>
        <w:rPr>
          <w:rFonts w:ascii="Arial" w:cs="Arial" w:eastAsia="Arial" w:hAnsi="Arial"/>
          <w:sz w:val="18"/>
          <w:szCs w:val="18"/>
          <w:b w:val="1"/>
          <w:bCs w:val="1"/>
          <w:color w:val="auto"/>
        </w:rPr>
        <w:t xml:space="preserve"> </w:t>
      </w:r>
      <w:r>
        <w:rPr>
          <w:rFonts w:ascii="Arial" w:cs="Arial" w:eastAsia="Arial" w:hAnsi="Arial"/>
          <w:sz w:val="18"/>
          <w:szCs w:val="18"/>
          <w:color w:val="auto"/>
        </w:rPr>
        <w:t>he is entering into this Separation Agreement knowingly, voluntarily, and in full settlement of all claims which existed in the past or which currently exist, that arise out of his employment with the Company or the termination of his employment.</w:t>
      </w:r>
    </w:p>
    <w:p>
      <w:pPr>
        <w:spacing w:after="0" w:line="18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Executive acknowledges that he has had at least twenty-one (21) days to consider this Separation Agreement thoroughly, and Executive understands that he has the right to consult with an attorney, before he signs below and is advised to do so.</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If Executive signs and returns this Separation Agreement before the end of the 21-day period, he certifies that his acceptance of a shortened time period is knowing and voluntary, and the Company did not — through fraud, misrepresentation, a threat to withdraw or alter the offer before the 21-day period expires, or by providing different terms to other employees who sign the release before such time period expires — improperly encourage Executive to sign.</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Executive understands that he may revoke this Separation Agreement within seven (7) days after he signs it. Executive’s revocation must be in writing and submitted within the seven (7) day period to Kimberly Gee Stith, via hand delivery or via electronic delivery at: KStith@wm.com. If Executive does not revoke this Separation Agreement within the seven (7) day period, it becomes irrevocable. Executive further understands that if he revokes this Separation Agreement, he will not be eligible to receive the benefits described in Exhibit B. All benefits described in Exhibit B will be paid on the dates specified herein, but only if this Separation Agreement has been duly executed and not revoked within its revocation period.</w:t>
      </w:r>
    </w:p>
    <w:p>
      <w:pPr>
        <w:spacing w:after="0" w:line="169" w:lineRule="exact"/>
        <w:rPr>
          <w:sz w:val="20"/>
          <w:szCs w:val="20"/>
          <w:color w:val="auto"/>
        </w:rPr>
      </w:pPr>
    </w:p>
    <w:p>
      <w:pPr>
        <w:ind w:firstLine="464"/>
        <w:spacing w:after="0" w:line="291" w:lineRule="auto"/>
        <w:tabs>
          <w:tab w:leader="none" w:pos="726"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Settlement and Acquisition of Goodwill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waives and releases any and all claims that the Employment Agreement Protective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are not enforceable or are against public policy. Executive covenants not to file a lawsuit or arbitration proceeding, pursue declaratory relief, or otherwise take any legal action to challenge the enforceability of the Employment Agreement Protective Covenants. The parties agree that the payments and benefits referred to in Exhibit B are, in part, consideration of the settlement of all disputes regarding the enforceability and application of goodwill, trade secrets, and confidential information developed by Executive in the course of his employment with the Company. To help preserve the value of the goodwill, trade secrets, and confidential information acquired herewith, it is agreed that Executive will comply with the Employment Agreement Protective Covenants (incorporated herein by reference) for the periods of time set forth therein. It is specifically agreed that the two-year Restricted Term set forth in Section 10 of the Employment Agreement and the restriction provided for therein shall commence upon the Employment Termination Date.</w:t>
      </w:r>
    </w:p>
    <w:p>
      <w:pPr>
        <w:spacing w:after="0" w:line="160" w:lineRule="exact"/>
        <w:rPr>
          <w:rFonts w:ascii="Arial" w:cs="Arial" w:eastAsia="Arial" w:hAnsi="Arial"/>
          <w:sz w:val="16"/>
          <w:szCs w:val="16"/>
          <w:b w:val="1"/>
          <w:bCs w:val="1"/>
          <w:color w:val="auto"/>
        </w:rPr>
      </w:pPr>
    </w:p>
    <w:p>
      <w:pPr>
        <w:ind w:right="20" w:firstLine="464"/>
        <w:spacing w:after="0" w:line="256" w:lineRule="auto"/>
        <w:tabs>
          <w:tab w:leader="none" w:pos="71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Assistance and 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that he will cooperate fully with the Company and its counsel, upon their request,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potential or pending proceeding (including, but not limited to, any litigation, arbitration, regulatory proceeding, investigation or governmental action) that relates at least in part to matters with which Executive was involved while he was an employee of the Company or any of its affiliates, or with which he has knowledge. Executive agrees to render such cooperation in a timely fashion and to provide Company personnel and counsel with the full benefit of his knowledge with respect to any such matter, and will make himself reasonably available for interviews, depositions, or court appearances at the request of the Company or its counsel.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4" w:name="page55"/>
    <w:bookmarkEnd w:id="54"/>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Waste Management and their past and present parents, subsidiaries, and affiliated entities and companies have certain obligations to Executive, his heirs and legal representatives to provide indemnity, to advance expenses, and to provide officers and directors liability insurance. These obligations are provided by law, in Section 12 of the Employment Agreement, in this Separation Agreement, in Article Eight of the Third Amended and Restated Certificate of Incorporation of Waste Management, Inc. (“WMI”), in Article X of WMI’s bylaws, and in similar provisions in the certificates (charters) of incorporation, bylaws and other governing documents of various past and present Waste Management parents, subsidiaries, and affiliated entities and companies. These obligations will continue beyond Executive’s termination of employment on the Employment Termination Date, in accordance with and subject to the provisions thereof as in effect from time to time and applicable Delaware law.</w:t>
      </w:r>
    </w:p>
    <w:p>
      <w:pPr>
        <w:spacing w:after="0" w:line="174" w:lineRule="exact"/>
        <w:rPr>
          <w:sz w:val="20"/>
          <w:szCs w:val="20"/>
          <w:color w:val="auto"/>
        </w:rPr>
      </w:pPr>
    </w:p>
    <w:p>
      <w:pPr>
        <w:ind w:right="80" w:firstLine="464"/>
        <w:spacing w:after="0" w:line="266" w:lineRule="auto"/>
        <w:tabs>
          <w:tab w:leader="none" w:pos="72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Separation Agreement is made and entered into in the State of Texas, and shall in all respects be interpreted, enforced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under the laws of the State of Texas. The language of all parts of this Separation Agreement shall in all cases be construed as a whole, according to its fair meaning, and not strictly for or against any of the parties.</w:t>
      </w:r>
    </w:p>
    <w:p>
      <w:pPr>
        <w:spacing w:after="0" w:line="176" w:lineRule="exact"/>
        <w:rPr>
          <w:rFonts w:ascii="Arial" w:cs="Arial" w:eastAsia="Arial" w:hAnsi="Arial"/>
          <w:sz w:val="18"/>
          <w:szCs w:val="18"/>
          <w:b w:val="1"/>
          <w:bCs w:val="1"/>
          <w:color w:val="auto"/>
        </w:rPr>
      </w:pPr>
    </w:p>
    <w:p>
      <w:pPr>
        <w:ind w:firstLine="464"/>
        <w:spacing w:after="0" w:line="266" w:lineRule="auto"/>
        <w:tabs>
          <w:tab w:leader="none" w:pos="72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provision of this Separation Agreement be declared or be determined by any court to be illegal or invalid, the validity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remaining parts, terms or provisions shall not be affected thereby and said illegal or invalid part, term, or provision shall be deemed not to be a part of this Separation Agreement.</w:t>
      </w:r>
    </w:p>
    <w:p>
      <w:pPr>
        <w:spacing w:after="0" w:line="176" w:lineRule="exact"/>
        <w:rPr>
          <w:rFonts w:ascii="Arial" w:cs="Arial" w:eastAsia="Arial" w:hAnsi="Arial"/>
          <w:sz w:val="18"/>
          <w:szCs w:val="18"/>
          <w:b w:val="1"/>
          <w:bCs w:val="1"/>
          <w:color w:val="auto"/>
        </w:rPr>
      </w:pPr>
    </w:p>
    <w:p>
      <w:pPr>
        <w:ind w:firstLine="464"/>
        <w:spacing w:after="0" w:line="288" w:lineRule="auto"/>
        <w:tabs>
          <w:tab w:leader="none" w:pos="726"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 Right of Offset.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withhold, or cause to be withheld, from any and all payments made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Agreement or any other agreement between Executive and the Company all amounts required to be withheld pursuant to federal, state or local tax laws. The Company may withhold and deduct from any and all payments made pursuant to this Separation Agreement or any other agreement between Executive and the Company all other normal deductions made with respect to the Company’s employees generally and any advances made to Executive and owed to the Company. Executive acknowledges that he has been advised to consult his own tax professional regarding the tax consequences of any payments of compensation or other amounts received by Executive pursuant to this Separation Agreement or any other agreement between the Executive and the Company. Furthermore, Executive acknowledges that he is responsible for paying all applicable taxes as are assessed or levied by any governmental entity on any payments of compensation or other amounts received by Executive from the Company. The Company makes no representations regarding the tax consequences of any payments under this Separation Agreement or any other agreement between Executive and the Company, and in no event shall the Company be liable for any portion of any taxes, penalties, interest or other expenses that may be incurred by Executive with respect to any payments under this Separation Agreement or any other agreement between Executive and the Company.</w:t>
      </w:r>
    </w:p>
    <w:p>
      <w:pPr>
        <w:spacing w:after="0" w:line="164"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Matters Relating to Section 409A of the Code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payment under this Separation Agreement is intended to be (i) to the greatest extent possible</w:t>
      </w:r>
      <w:r>
        <w:rPr>
          <w:rFonts w:ascii="Arial" w:cs="Arial" w:eastAsia="Arial" w:hAnsi="Arial"/>
          <w:sz w:val="18"/>
          <w:szCs w:val="18"/>
          <w:b w:val="1"/>
          <w:bCs w:val="1"/>
          <w:color w:val="auto"/>
        </w:rPr>
        <w:t xml:space="preserve"> </w:t>
      </w:r>
      <w:r>
        <w:rPr>
          <w:rFonts w:ascii="Arial" w:cs="Arial" w:eastAsia="Arial" w:hAnsi="Arial"/>
          <w:sz w:val="18"/>
          <w:szCs w:val="18"/>
          <w:color w:val="auto"/>
        </w:rPr>
        <w:t>exempt from Section 409A of the Internal Revenue Code, the regulations and other binding guidance promulgated thereunder (“Section 409A”), including, but not limited to, by compliance with the short-term</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55" w:name="page56"/>
    <w:bookmarkEnd w:id="5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deferral exemption as specified in Treas. Reg. § 1.409A-1(b)(4) and the separation pay plan exemption set forth in Treas. Reg § 1.409A-1(b)(9), or (ii) if not exempt compliant with Section 409A, and the provisions of this Separation Agreement will be administered, interpreted and construed accordingly. Payments under this Separation Agreement in a series of installments shall be treated as a right to receive a series of separate payments for purposes of Section 409A. Executive shall be considered to have incurred a “separation from service” with the Company and its affiliates within the meaning of Treas. Reg. § 1.409A-1(h)(1)(ii) as of the Employment Termination Date.</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Notwithstanding any other provision in this Separation Agreement to the contrary, payments and benefits payable under this Separation Agreement due to a “separation from service” within the meaning of Section 409A that are deferred compensation subject to (and not otherwise exempt from) Section 409A that would otherwise be paid or provided during the six-month period commencing on the date of Executive’s “separation from service” within the meaning of Section 409A, shall be deferred until the first business day after the date that is six (6) months following Executive’s “separation from service” within the meaning of Section 409A.</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the extent that reimbursements or other in-kind benefits under this Separation Agreement constitute “nonqualified deferred compensation” for purposes of Section 409A, (1) all expenses or other reimbursements hereunder shall be made on or prior to the last day of the second taxable year following Executive’s “separation from service” pursuant to Treasury Regulation § 1.409A-1(b)(9)(iii)(B),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Amounts payable pursuant to this Separation Agreement are intended to be unfunded for purposes of Section 409A. Although bookkeeping accounts may be established with respect to payments due under the Separation Agreement, any such accounts shall be used merely as a bookkeeping convenience. No provision of this Separation Agreement shall require the Company to purchase assets, place assets in a trust or segregate assets in connection with amounts due under the Separation Agreement.</w:t>
      </w:r>
    </w:p>
    <w:p>
      <w:pPr>
        <w:spacing w:after="0" w:line="183" w:lineRule="exact"/>
        <w:rPr>
          <w:sz w:val="20"/>
          <w:szCs w:val="20"/>
          <w:color w:val="auto"/>
        </w:rPr>
      </w:pPr>
    </w:p>
    <w:p>
      <w:pPr>
        <w:ind w:right="260" w:firstLine="464"/>
        <w:spacing w:after="0" w:line="266" w:lineRule="auto"/>
        <w:tabs>
          <w:tab w:leader="none" w:pos="72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The parties hereto agree that the provisions of the Employment Agreement relating to dispute resolution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provided for in Sections 11 and 13 thereto, shall survive and apply to the payments and benefits provided for under this Separation Agreement.</w:t>
      </w:r>
    </w:p>
    <w:p>
      <w:pPr>
        <w:spacing w:after="0" w:line="176" w:lineRule="exact"/>
        <w:rPr>
          <w:rFonts w:ascii="Arial" w:cs="Arial" w:eastAsia="Arial" w:hAnsi="Arial"/>
          <w:sz w:val="18"/>
          <w:szCs w:val="18"/>
          <w:b w:val="1"/>
          <w:bCs w:val="1"/>
          <w:color w:val="auto"/>
        </w:rPr>
      </w:pPr>
    </w:p>
    <w:p>
      <w:pPr>
        <w:ind w:right="60" w:firstLine="464"/>
        <w:spacing w:after="0" w:line="266" w:lineRule="auto"/>
        <w:tabs>
          <w:tab w:leader="none" w:pos="72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Complete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that the Employment Agreement (including any other amendments thereto) as modified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contains the full and final expression of their agreements with respect to the matters contained therein, and acknowledge that no other promises have been made to or by any of the parties that are not set forth in these Agreements.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56" w:name="page57"/>
    <w:bookmarkEnd w:id="56"/>
    <w:p>
      <w:pPr>
        <w:jc w:val="both"/>
        <w:ind w:right="40"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agree that neither the offer of, nor the execution of, this Separation Agreement will be construed as an admission of wrongdoing by anyone. Instead, this Separation Agreement is to be construed solely as a reflection of the parties’ desire to facilitate a peaceful separation of employment and to make sure there are no unresolved issued between them.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Please review this document carefully as it contains a release of claims.</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WITNESS WHEREOF, the Executive has entered into this Separation Agreement, and the Company has caused this Separation Agreement to be executed in its name and on its behalf by its duly authorized officer to be effective as of the date that this Separation Agreement is executed by Executive as set forth beneath the signature below (the “Effective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PUNEET BHASIN</w:t>
            </w:r>
          </w:p>
        </w:tc>
        <w:tc>
          <w:tcPr>
            <w:tcW w:w="6180" w:type="dxa"/>
            <w:vAlign w:val="bottom"/>
            <w:gridSpan w:val="2"/>
          </w:tcPr>
          <w:p>
            <w:pPr>
              <w:ind w:left="660"/>
              <w:spacing w:after="0"/>
              <w:rPr>
                <w:sz w:val="20"/>
                <w:szCs w:val="20"/>
                <w:color w:val="auto"/>
              </w:rPr>
            </w:pPr>
            <w:r>
              <w:rPr>
                <w:rFonts w:ascii="Arial" w:cs="Arial" w:eastAsia="Arial" w:hAnsi="Arial"/>
                <w:sz w:val="18"/>
                <w:szCs w:val="18"/>
                <w:b w:val="1"/>
                <w:bCs w:val="1"/>
                <w:color w:val="auto"/>
              </w:rPr>
              <w:t>USA WASTE-MANAGEMENT RESOURCES, LLC</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6180" w:type="dxa"/>
            <w:vAlign w:val="bottom"/>
            <w:gridSpan w:val="2"/>
          </w:tcPr>
          <w:p>
            <w:pPr>
              <w:ind w:left="660"/>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446"/>
        </w:trPr>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/s/ Puneet Bhasin</w:t>
            </w:r>
          </w:p>
        </w:tc>
        <w:tc>
          <w:tcPr>
            <w:tcW w:w="6180" w:type="dxa"/>
            <w:vAlign w:val="bottom"/>
            <w:gridSpan w:val="2"/>
          </w:tcPr>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Courtney Tippy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Signature</w:t>
            </w:r>
          </w:p>
        </w:tc>
        <w:tc>
          <w:tcPr>
            <w:tcW w:w="9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Title: Vice President and Secretary</w:t>
            </w:r>
          </w:p>
        </w:tc>
        <w:tc>
          <w:tcPr>
            <w:tcW w:w="0" w:type="dxa"/>
            <w:vAlign w:val="bottom"/>
          </w:tcPr>
          <w:p>
            <w:pPr>
              <w:spacing w:after="0"/>
              <w:rPr>
                <w:sz w:val="1"/>
                <w:szCs w:val="1"/>
                <w:color w:val="auto"/>
              </w:rPr>
            </w:pPr>
          </w:p>
        </w:tc>
      </w:tr>
      <w:tr>
        <w:trPr>
          <w:trHeight w:val="23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Date: 3/10/2017</w:t>
            </w:r>
          </w:p>
        </w:tc>
        <w:tc>
          <w:tcPr>
            <w:tcW w:w="9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Printed Name: Courtney Tippy</w:t>
            </w:r>
          </w:p>
        </w:tc>
        <w:tc>
          <w:tcPr>
            <w:tcW w:w="0" w:type="dxa"/>
            <w:vAlign w:val="bottom"/>
          </w:tcPr>
          <w:p>
            <w:pPr>
              <w:spacing w:after="0"/>
              <w:rPr>
                <w:sz w:val="1"/>
                <w:szCs w:val="1"/>
                <w:color w:val="auto"/>
              </w:rPr>
            </w:pPr>
          </w:p>
        </w:tc>
      </w:tr>
      <w:tr>
        <w:trPr>
          <w:trHeight w:val="215"/>
        </w:trPr>
        <w:tc>
          <w:tcPr>
            <w:tcW w:w="524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4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940" w:type="dxa"/>
            <w:vAlign w:val="bottom"/>
          </w:tcPr>
          <w:p>
            <w:pPr>
              <w:spacing w:after="0"/>
              <w:rPr>
                <w:sz w:val="21"/>
                <w:szCs w:val="21"/>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Date: 3/10/2017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employment of Executive is terminated, effective March 10, 2017 (the “Employment Termination Date”). Executive is therefore, entitled to the payments and benefits listed below and detailed in under Section 6(d) of the Employment Agreement whether or not he signs this Separation Agreement. These include</w:t>
      </w:r>
    </w:p>
    <w:p>
      <w:pPr>
        <w:spacing w:after="0" w:line="29"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Accrued but unpaid base salary for services rendered through the Employment Termination Date.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Accrued but unpaid expenses required to be reimbursed under the Employment Agreement.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Accrued but unused vacation for the year 2017 through the Employment Termination Date.</w:t>
      </w:r>
    </w:p>
    <w:p>
      <w:pPr>
        <w:spacing w:after="0" w:line="130" w:lineRule="exact"/>
        <w:rPr>
          <w:rFonts w:ascii="Arial" w:cs="Arial" w:eastAsia="Arial" w:hAnsi="Arial"/>
          <w:sz w:val="18"/>
          <w:szCs w:val="18"/>
          <w:color w:val="auto"/>
        </w:rPr>
      </w:pPr>
    </w:p>
    <w:p>
      <w:pPr>
        <w:ind w:left="1480" w:right="440" w:hanging="567"/>
        <w:spacing w:after="0" w:line="381" w:lineRule="auto"/>
        <w:tabs>
          <w:tab w:leader="none" w:pos="14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To the extent unpaid as of the Employment Termination Date, a payment under the Company’s 2016 Annual Incentive Plan (AIP) payable at the same time, on the same basis and to the same extent payments are made to similar senior executives of the Company.</w:t>
      </w:r>
    </w:p>
    <w:p>
      <w:pPr>
        <w:spacing w:after="0" w:line="1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With respect to Executive’s outstanding awards of Performance Share Units (“PSUs”) and options awarded under the Waste Management, Inc. 2009 Stock Incentive Plan and the Waste Management, Inc. 2014 Stock Incentive Plan (together, the “Incentive Plans”):</w:t>
      </w:r>
    </w:p>
    <w:p>
      <w:pPr>
        <w:spacing w:after="0" w:line="76" w:lineRule="exact"/>
        <w:rPr>
          <w:sz w:val="20"/>
          <w:szCs w:val="20"/>
          <w:color w:val="auto"/>
        </w:rPr>
      </w:pPr>
    </w:p>
    <w:p>
      <w:pPr>
        <w:ind w:left="1480" w:hanging="567"/>
        <w:spacing w:after="0" w:line="255"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PSU awards granted on February 25, 2015 and February 26, 2016, Executive shall be entitled to receive a payout with respect to the number PSUs and related dividend equivalents that Executive would have been entitled to receive if he had remained employed until the last day of the Performance Period multiplied by the fraction which has as its numerator the total number of days Executive was employed by the Company during the applicable Performance Period and has as its denominator the total number of days during the applicable Performance Period, with such payment made following the applicable Performance Period at substantially the same time as paid to other executives.</w:t>
      </w:r>
    </w:p>
    <w:p>
      <w:pPr>
        <w:spacing w:after="0" w:line="98" w:lineRule="exact"/>
        <w:rPr>
          <w:rFonts w:ascii="Arial" w:cs="Arial" w:eastAsia="Arial" w:hAnsi="Arial"/>
          <w:sz w:val="18"/>
          <w:szCs w:val="18"/>
          <w:color w:val="auto"/>
        </w:rPr>
      </w:pPr>
    </w:p>
    <w:p>
      <w:pPr>
        <w:ind w:left="1480" w:right="140" w:hanging="567"/>
        <w:spacing w:after="0" w:line="342" w:lineRule="auto"/>
        <w:tabs>
          <w:tab w:leader="none" w:pos="1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 respect to all options Executive holds that are outstanding and exercisable as of the Employment Termination Date, Executive will be entitled to exercise such options through June 8, 2017 (the 90-day anniversary of the Employment Termination Date).</w:t>
      </w:r>
    </w:p>
    <w:p>
      <w:pPr>
        <w:spacing w:after="0" w:line="29" w:lineRule="exact"/>
        <w:rPr>
          <w:rFonts w:ascii="Arial" w:cs="Arial" w:eastAsia="Arial" w:hAnsi="Arial"/>
          <w:sz w:val="16"/>
          <w:szCs w:val="16"/>
          <w:color w:val="auto"/>
        </w:rPr>
      </w:pPr>
    </w:p>
    <w:p>
      <w:pPr>
        <w:ind w:left="1480" w:right="160" w:hanging="567"/>
        <w:spacing w:after="0" w:line="277"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options that were not outstanding and exercisable as of the Employment Termination Date will be forfeited without consideration at such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payments will be subject to applicable withholdings for federal, state and local income and employment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is entitled to the benefits described above in this Exhibit A whether or not he executes this Separation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 xml:space="preserve">The employment of Executive is terminated, effective March 10, 2017 (the “Employment Termination Date”) under the terms of this Separation Agreement. In consideration of the premises and promises herein contained, it is agreed that, Executive is entitled to the compensation and benefits set forth below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after he executes and does not revoke this Separation Agreement, and it has become irrevocable.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payments and benefits to be provided are as follows:</w:t>
      </w:r>
    </w:p>
    <w:p>
      <w:pPr>
        <w:spacing w:after="0" w:line="131" w:lineRule="exact"/>
        <w:rPr>
          <w:sz w:val="20"/>
          <w:szCs w:val="20"/>
          <w:color w:val="auto"/>
        </w:rPr>
      </w:pPr>
    </w:p>
    <w:p>
      <w:pPr>
        <w:ind w:left="1480" w:right="400" w:hanging="567"/>
        <w:spacing w:after="0" w:line="264"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severance payment in the gross amount of One Million, Eight Hundred Two Thousand Five Hundred Dollars ($1,802,500.00), approximately equal to two times the sum of Executive’s base salary ($515,000.00) and Target Bonus ($386,250.00). This severance amount will be paid as follows:</w:t>
      </w:r>
    </w:p>
    <w:p>
      <w:pPr>
        <w:spacing w:after="0" w:line="86" w:lineRule="exact"/>
        <w:rPr>
          <w:rFonts w:ascii="Arial" w:cs="Arial" w:eastAsia="Arial" w:hAnsi="Arial"/>
          <w:sz w:val="18"/>
          <w:szCs w:val="18"/>
          <w:color w:val="auto"/>
        </w:rPr>
      </w:pPr>
    </w:p>
    <w:p>
      <w:pPr>
        <w:ind w:left="2400" w:right="560" w:hanging="569"/>
        <w:spacing w:after="0" w:line="277" w:lineRule="auto"/>
        <w:tabs>
          <w:tab w:leader="none" w:pos="2400" w:val="left"/>
        </w:tabs>
        <w:numPr>
          <w:ilvl w:val="2"/>
          <w:numId w:val="54"/>
        </w:numPr>
        <w:rPr>
          <w:rFonts w:ascii="Arial" w:cs="Arial" w:eastAsia="Arial" w:hAnsi="Arial"/>
          <w:sz w:val="18"/>
          <w:szCs w:val="18"/>
          <w:color w:val="auto"/>
        </w:rPr>
      </w:pPr>
      <w:r>
        <w:rPr>
          <w:rFonts w:ascii="Arial" w:cs="Arial" w:eastAsia="Arial" w:hAnsi="Arial"/>
          <w:sz w:val="18"/>
          <w:szCs w:val="18"/>
          <w:color w:val="auto"/>
        </w:rPr>
        <w:t>Five Hundred Fifteen Thousand Dollars ($515,000.00) shall be paid within the calendar quarter in which the 60</w:t>
      </w:r>
      <w:r>
        <w:rPr>
          <w:rFonts w:ascii="Arial" w:cs="Arial" w:eastAsia="Arial" w:hAnsi="Arial"/>
          <w:sz w:val="15"/>
          <w:szCs w:val="15"/>
          <w:color w:val="auto"/>
        </w:rPr>
        <w:t>th</w:t>
      </w:r>
      <w:r>
        <w:rPr>
          <w:rFonts w:ascii="Arial" w:cs="Arial" w:eastAsia="Arial" w:hAnsi="Arial"/>
          <w:sz w:val="18"/>
          <w:szCs w:val="18"/>
          <w:color w:val="auto"/>
        </w:rPr>
        <w:t xml:space="preserve"> day following the Employment Termination Date occurs;</w:t>
      </w:r>
    </w:p>
    <w:p>
      <w:pPr>
        <w:spacing w:after="0" w:line="75" w:lineRule="exact"/>
        <w:rPr>
          <w:rFonts w:ascii="Arial" w:cs="Arial" w:eastAsia="Arial" w:hAnsi="Arial"/>
          <w:sz w:val="18"/>
          <w:szCs w:val="18"/>
          <w:color w:val="auto"/>
        </w:rPr>
      </w:pPr>
    </w:p>
    <w:p>
      <w:pPr>
        <w:ind w:left="2400" w:right="220" w:hanging="569"/>
        <w:spacing w:after="0" w:line="308" w:lineRule="auto"/>
        <w:tabs>
          <w:tab w:leader="none" w:pos="2400" w:val="left"/>
        </w:tabs>
        <w:numPr>
          <w:ilvl w:val="2"/>
          <w:numId w:val="54"/>
        </w:numPr>
        <w:rPr>
          <w:rFonts w:ascii="Arial" w:cs="Arial" w:eastAsia="Arial" w:hAnsi="Arial"/>
          <w:sz w:val="17"/>
          <w:szCs w:val="17"/>
          <w:color w:val="auto"/>
        </w:rPr>
      </w:pPr>
      <w:r>
        <w:rPr>
          <w:rFonts w:ascii="Arial" w:cs="Arial" w:eastAsia="Arial" w:hAnsi="Arial"/>
          <w:sz w:val="17"/>
          <w:szCs w:val="17"/>
          <w:color w:val="auto"/>
        </w:rPr>
        <w:t>Three Hundred Eighty-Six Thousand Two Hundred Fifty Dollars ($386,250.00) shall be paid, without interest, on the date that is six months and one day following the Employment Termination Date (i.e. September 11, 2017); and</w:t>
      </w:r>
    </w:p>
    <w:p>
      <w:pPr>
        <w:spacing w:after="0" w:line="51" w:lineRule="exact"/>
        <w:rPr>
          <w:rFonts w:ascii="Arial" w:cs="Arial" w:eastAsia="Arial" w:hAnsi="Arial"/>
          <w:sz w:val="17"/>
          <w:szCs w:val="17"/>
          <w:color w:val="auto"/>
        </w:rPr>
      </w:pPr>
    </w:p>
    <w:p>
      <w:pPr>
        <w:ind w:left="1480" w:right="40" w:firstLine="270"/>
        <w:spacing w:after="0" w:line="273" w:lineRule="auto"/>
        <w:tabs>
          <w:tab w:leader="none" w:pos="22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Nine Hundred One Thousand Two Hundred Fifty Dollars ($901,250.00) shall be paid during the two (2) year period beginning on the Employment Termination Date, continuing at the same time and in the same manner Executive’s base salary would have been paid if Executive had remained in active employment until the end of such period (with each installment approximately equal to $17,331.73), provided that the first installment shall not be made until the date that is six months and one day following the Employment Termination Date (i.e. September 11, 2017) and shall include, without interest, such amounts that would otherwise have been paid during the intervening period (with such first installment approximately equal to $225,312.49).</w:t>
      </w:r>
    </w:p>
    <w:p>
      <w:pPr>
        <w:spacing w:after="0" w:line="83" w:lineRule="exact"/>
        <w:rPr>
          <w:rFonts w:ascii="Arial" w:cs="Arial" w:eastAsia="Arial" w:hAnsi="Arial"/>
          <w:sz w:val="17"/>
          <w:szCs w:val="17"/>
          <w:color w:val="auto"/>
        </w:rPr>
      </w:pPr>
    </w:p>
    <w:p>
      <w:pPr>
        <w:ind w:left="1480" w:right="20" w:hanging="567"/>
        <w:spacing w:after="0" w:line="264"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bonus under the 2017 Annual Incentive Plan, if any, payable to the same extent and at the same time payments are made to other senior executives of the Company, prorated based on the relative number of days Executive was employed during 2017 prior to and including the Employment Termination Date.</w:t>
      </w:r>
    </w:p>
    <w:p>
      <w:pPr>
        <w:spacing w:after="0" w:line="86" w:lineRule="exact"/>
        <w:rPr>
          <w:rFonts w:ascii="Arial" w:cs="Arial" w:eastAsia="Arial" w:hAnsi="Arial"/>
          <w:sz w:val="18"/>
          <w:szCs w:val="18"/>
          <w:color w:val="auto"/>
        </w:rPr>
      </w:pPr>
    </w:p>
    <w:p>
      <w:pPr>
        <w:ind w:left="1480" w:hanging="567"/>
        <w:spacing w:after="0" w:line="253"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Twenty-four months of continued group health and/or dental insurance coverage that Executive participated in as of his Employment Termination Date. Executive must timely elect COBRA coverage and the Company will provide COBRA coverage at its own expense for 18 months or, if earlier, until Executive’s eligibility for coverage by a subsequent employer. In the event of Executive’s death, the coverage provided for hereunder shall continue to be provided to Executive’s spouse and eligible dependents for the period specified in Section 6(e)(v) of the Employment Agreement. Following the end of the 18-month period described above, Executive will have no additional COBRA coverage, but if Executive has not obtained coverage from a subsequent employer, the Company will provide up to six months additional medical and dental coverage or, if it is prevented from doing so pursuant to applicable law without triggering a penalty or excise tax, the parties shall agree upon an alternative benefit consistent with the obligations set forth in Section 6(e)(v) of the Employment Agreement.</w:t>
      </w:r>
    </w:p>
    <w:p>
      <w:pPr>
        <w:spacing w:after="0" w:line="102"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the calendar quarter in which the 60</w:t>
      </w:r>
      <w:r>
        <w:rPr>
          <w:rFonts w:ascii="Arial" w:cs="Arial" w:eastAsia="Arial" w:hAnsi="Arial"/>
          <w:sz w:val="15"/>
          <w:szCs w:val="15"/>
          <w:color w:val="auto"/>
        </w:rPr>
        <w:t>th</w:t>
      </w:r>
      <w:r>
        <w:rPr>
          <w:rFonts w:ascii="Arial" w:cs="Arial" w:eastAsia="Arial" w:hAnsi="Arial"/>
          <w:sz w:val="18"/>
          <w:szCs w:val="18"/>
          <w:color w:val="auto"/>
        </w:rPr>
        <w:t xml:space="preserve"> day following the Employment Termination Date occurs, the Company will pay Executive Twenty-Five Thousand Dollars ($25,000) in a lump sum as the approximate value of twenty-four months of continued disability coverage that Executive participated in as of his Employment Termination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91" w:lineRule="auto"/>
        <w:tabs>
          <w:tab w:leader="none" w:pos="67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w:t>
      </w:r>
    </w:p>
    <w:p>
      <w:pPr>
        <w:spacing w:after="0"/>
        <w:rPr>
          <w:rFonts w:ascii="Arial" w:cs="Arial" w:eastAsia="Arial" w:hAnsi="Arial"/>
          <w:sz w:val="16"/>
          <w:szCs w:val="16"/>
          <w:color w:val="auto"/>
        </w:rPr>
      </w:pPr>
      <w:r>
        <w:rPr>
          <w:rFonts w:ascii="Arial" w:cs="Arial" w:eastAsia="Arial" w:hAnsi="Arial"/>
          <w:sz w:val="18"/>
          <w:szCs w:val="18"/>
          <w:color w:val="auto"/>
        </w:rPr>
        <w:t>15d — 15(f)) for the registrant and have:</w:t>
      </w:r>
    </w:p>
    <w:p>
      <w:pPr>
        <w:spacing w:after="0" w:line="102" w:lineRule="exact"/>
        <w:rPr>
          <w:rFonts w:ascii="Arial" w:cs="Arial" w:eastAsia="Arial" w:hAnsi="Arial"/>
          <w:sz w:val="16"/>
          <w:szCs w:val="16"/>
          <w:color w:val="auto"/>
        </w:rPr>
      </w:pPr>
    </w:p>
    <w:p>
      <w:pPr>
        <w:ind w:left="460" w:right="80" w:firstLine="443"/>
        <w:spacing w:after="0" w:line="264" w:lineRule="auto"/>
        <w:tabs>
          <w:tab w:leader="none" w:pos="11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2017</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91" w:lineRule="auto"/>
        <w:tabs>
          <w:tab w:leader="none" w:pos="6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w:t>
      </w:r>
    </w:p>
    <w:p>
      <w:pPr>
        <w:spacing w:after="0"/>
        <w:rPr>
          <w:rFonts w:ascii="Arial" w:cs="Arial" w:eastAsia="Arial" w:hAnsi="Arial"/>
          <w:sz w:val="16"/>
          <w:szCs w:val="16"/>
          <w:color w:val="auto"/>
        </w:rPr>
      </w:pPr>
      <w:r>
        <w:rPr>
          <w:rFonts w:ascii="Arial" w:cs="Arial" w:eastAsia="Arial" w:hAnsi="Arial"/>
          <w:sz w:val="18"/>
          <w:szCs w:val="18"/>
          <w:color w:val="auto"/>
        </w:rPr>
        <w:t>15d — 15(f)) for the registrant and have:</w:t>
      </w:r>
    </w:p>
    <w:p>
      <w:pPr>
        <w:spacing w:after="0" w:line="102" w:lineRule="exact"/>
        <w:rPr>
          <w:rFonts w:ascii="Arial" w:cs="Arial" w:eastAsia="Arial" w:hAnsi="Arial"/>
          <w:sz w:val="16"/>
          <w:szCs w:val="16"/>
          <w:color w:val="auto"/>
        </w:rPr>
      </w:pPr>
    </w:p>
    <w:p>
      <w:pPr>
        <w:ind w:left="460" w:right="80" w:firstLine="443"/>
        <w:spacing w:after="0" w:line="264" w:lineRule="auto"/>
        <w:tabs>
          <w:tab w:leader="none" w:pos="11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Senior Vice President, 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2017</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2017 as filed with the Securities and Exchange Commission on the date hereof (the “Report”), I, James C. Fish, Jr.,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26, 2017</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2017 as filed with the Securities and Exchange Commission on the date hereof (the “Report”), I, Devina A. Rankin,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Devina A. Rankin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Senior Vice President, 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26, 2017</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During the quarter ended March 31, 2017,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addition, during the quarter ended March 31, 2017,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2"/>
    </w:lvl>
  </w:abstractNum>
  <w:abstractNum w:abstractNumId="5">
    <w:nsid w:val="6CEAF087"/>
    <w:multiLevelType w:val="hybridMultilevel"/>
    <w:lvl w:ilvl="0">
      <w:lvlJc w:val="left"/>
      <w:lvlText w:val="%1."/>
      <w:numFmt w:val="decimal"/>
      <w:start w:val="3"/>
    </w:lvl>
  </w:abstractNum>
  <w:abstractNum w:abstractNumId="6">
    <w:nsid w:val="22221A70"/>
    <w:multiLevelType w:val="hybridMultilevel"/>
    <w:lvl w:ilvl="0">
      <w:lvlJc w:val="left"/>
      <w:lvlText w:val="%1."/>
      <w:numFmt w:val="decimal"/>
      <w:start w:val="4"/>
    </w:lvl>
  </w:abstractNum>
  <w:abstractNum w:abstractNumId="7">
    <w:nsid w:val="4516DDE9"/>
    <w:multiLevelType w:val="hybridMultilevel"/>
    <w:lvl w:ilvl="0">
      <w:lvlJc w:val="left"/>
      <w:lvlText w:val="(%1)"/>
      <w:numFmt w:val="lowerLetter"/>
      <w:start w:val="1"/>
    </w:lvl>
  </w:abstractNum>
  <w:abstractNum w:abstractNumId="8">
    <w:nsid w:val="3006C83E"/>
    <w:multiLevelType w:val="hybridMultilevel"/>
    <w:lvl w:ilvl="0">
      <w:lvlJc w:val="left"/>
      <w:lvlText w:val="%1."/>
      <w:numFmt w:val="decimal"/>
      <w:start w:val="6"/>
    </w:lvl>
  </w:abstractNum>
  <w:abstractNum w:abstractNumId="9">
    <w:nsid w:val="614FD4A1"/>
    <w:multiLevelType w:val="hybridMultilevel"/>
    <w:lvl w:ilvl="0">
      <w:lvlJc w:val="left"/>
      <w:lvlText w:val="%1."/>
      <w:numFmt w:val="decimal"/>
      <w:start w:val="7"/>
    </w:lvl>
  </w:abstractNum>
  <w:abstractNum w:abstractNumId="10">
    <w:nsid w:val="419AC241"/>
    <w:multiLevelType w:val="hybridMultilevel"/>
    <w:lvl w:ilvl="0">
      <w:lvlJc w:val="left"/>
      <w:lvlText w:val="%1."/>
      <w:numFmt w:val="decimal"/>
      <w:start w:val="8"/>
    </w:lvl>
  </w:abstractNum>
  <w:abstractNum w:abstractNumId="11">
    <w:nsid w:val="5577F8E1"/>
    <w:multiLevelType w:val="hybridMultilevel"/>
    <w:lvl w:ilvl="0">
      <w:lvlJc w:val="left"/>
      <w:lvlText w:val="%1."/>
      <w:numFmt w:val="decimal"/>
      <w:start w:val="9"/>
    </w:lvl>
  </w:abstractNum>
  <w:abstractNum w:abstractNumId="12">
    <w:nsid w:val="440BADFC"/>
    <w:multiLevelType w:val="hybridMultilevel"/>
    <w:lvl w:ilvl="0">
      <w:lvlJc w:val="left"/>
      <w:lvlText w:val="%1."/>
      <w:numFmt w:val="decimal"/>
      <w:start w:val="10"/>
    </w:lvl>
  </w:abstractNum>
  <w:abstractNum w:abstractNumId="13">
    <w:nsid w:val="5072367"/>
    <w:multiLevelType w:val="hybridMultilevel"/>
    <w:lvl w:ilvl="0">
      <w:lvlJc w:val="left"/>
      <w:lvlText w:val="%1."/>
      <w:numFmt w:val="decimal"/>
      <w:start w:val="11"/>
    </w:lvl>
  </w:abstractNum>
  <w:abstractNum w:abstractNumId="14">
    <w:nsid w:val="3804823E"/>
    <w:multiLevelType w:val="hybridMultilevel"/>
    <w:lvl w:ilvl="0">
      <w:lvlJc w:val="left"/>
      <w:lvlText w:val="%1."/>
      <w:numFmt w:val="decimal"/>
      <w:start w:val="12"/>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decimal"/>
      <w:start w:val="13"/>
    </w:lvl>
  </w:abstractNum>
  <w:abstractNum w:abstractNumId="17">
    <w:nsid w:val="5C482A97"/>
    <w:multiLevelType w:val="hybridMultilevel"/>
    <w:lvl w:ilvl="0">
      <w:lvlJc w:val="left"/>
      <w:lvlText w:val="%1."/>
      <w:numFmt w:val="decimal"/>
      <w:start w:val="14"/>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lowerLetter"/>
      <w:start w:val="2"/>
    </w:lvl>
  </w:abstractNum>
  <w:abstractNum w:abstractNumId="20">
    <w:nsid w:val="51EAD36B"/>
    <w:multiLevelType w:val="hybridMultilevel"/>
    <w:lvl w:ilvl="0">
      <w:lvlJc w:val="left"/>
      <w:lvlText w:val="%1."/>
      <w:numFmt w:val="decimal"/>
      <w:start w:val="15"/>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Roman"/>
      <w:start w:val="1"/>
    </w:lvl>
  </w:abstractNum>
  <w:abstractNum w:abstractNumId="31">
    <w:nsid w:val="57E4CCAF"/>
    <w:multiLevelType w:val="hybridMultilevel"/>
    <w:lvl w:ilvl="0">
      <w:lvlJc w:val="left"/>
      <w:lvlText w:val="(%1)"/>
      <w:numFmt w:val="lowerRoman"/>
      <w:start w:val="4"/>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decimal"/>
      <w:start w:val="95"/>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3"/>
    </w:lvl>
    <w:lvl w:ilvl="1">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4"/>
    </w:lvl>
  </w:abstractNum>
  <w:abstractNum w:abstractNumId="45">
    <w:nsid w:val="75C6C33A"/>
    <w:multiLevelType w:val="hybridMultilevel"/>
    <w:lvl w:ilvl="0">
      <w:lvlJc w:val="left"/>
      <w:lvlText w:val="%1."/>
      <w:numFmt w:val="decimal"/>
      <w:start w:val="5"/>
    </w:lvl>
  </w:abstractNum>
  <w:abstractNum w:abstractNumId="46">
    <w:nsid w:val="12E685FB"/>
    <w:multiLevelType w:val="hybridMultilevel"/>
    <w:lvl w:ilvl="0">
      <w:lvlJc w:val="left"/>
      <w:lvlText w:val="%1."/>
      <w:numFmt w:val="decimal"/>
      <w:start w:val="6"/>
    </w:lvl>
  </w:abstractNum>
  <w:abstractNum w:abstractNumId="47">
    <w:nsid w:val="70C6A529"/>
    <w:multiLevelType w:val="hybridMultilevel"/>
    <w:lvl w:ilvl="0">
      <w:lvlJc w:val="left"/>
      <w:lvlText w:val="%1."/>
      <w:numFmt w:val="decimal"/>
      <w:start w:val="9"/>
    </w:lvl>
  </w:abstractNum>
  <w:abstractNum w:abstractNumId="48">
    <w:nsid w:val="520EEDD1"/>
    <w:multiLevelType w:val="hybridMultilevel"/>
    <w:lvl w:ilvl="0">
      <w:lvlJc w:val="left"/>
      <w:lvlText w:val="%1."/>
      <w:numFmt w:val="decimal"/>
      <w:start w:val="10"/>
    </w:lvl>
  </w:abstractNum>
  <w:abstractNum w:abstractNumId="49">
    <w:nsid w:val="374A3FE6"/>
    <w:multiLevelType w:val="hybridMultilevel"/>
    <w:lvl w:ilvl="0">
      <w:lvlJc w:val="left"/>
      <w:lvlText w:val="%1."/>
      <w:numFmt w:val="decimal"/>
      <w:start w:val="12"/>
    </w:lvl>
  </w:abstractNum>
  <w:abstractNum w:abstractNumId="50">
    <w:nsid w:val="4F4EF005"/>
    <w:multiLevelType w:val="hybridMultilevel"/>
    <w:lvl w:ilvl="0">
      <w:lvlJc w:val="left"/>
      <w:lvlText w:val="%1."/>
      <w:numFmt w:val="decimal"/>
      <w:start w:val="15"/>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54">
    <w:nsid w:val="39386575"/>
    <w:multiLevelType w:val="hybridMultilevel"/>
    <w:lvl w:ilvl="0">
      <w:lvlJc w:val="left"/>
      <w:lvlText w:val="%1."/>
      <w:numFmt w:val="lowerRoman"/>
      <w:start w:val="2"/>
    </w:lvl>
    <w:lvl w:ilvl="1">
      <w:lvlJc w:val="left"/>
      <w:lvlText w:val="%2."/>
      <w:numFmt w:val="upperLetter"/>
      <w:start w:val="1"/>
    </w:lvl>
  </w:abstractNum>
  <w:abstractNum w:abstractNumId="55">
    <w:nsid w:val="1CF10FD8"/>
    <w:multiLevelType w:val="hybridMultilevel"/>
    <w:lvl w:ilvl="0">
      <w:lvlJc w:val="left"/>
      <w:lvlText w:val="%1."/>
      <w:numFmt w:val="lowerRoman"/>
      <w:start w:val="2"/>
    </w:lvl>
    <w:lvl w:ilvl="1">
      <w:lvlJc w:val="left"/>
      <w:lvlText w:val="%2."/>
      <w:numFmt w:val="upp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2019-12-05T15:48:48Z</dcterms:created>
  <dcterms:modified xsi:type="dcterms:W3CDTF">2019-12-05T15:48:48Z</dcterms:modified>
</cp:coreProperties>
</file>