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7138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138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201295</wp:posOffset>
            </wp:positionV>
            <wp:extent cx="727138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1385" cy="698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SECURITIES AND EXCHANGE COMMISSION</w:t>
      </w:r>
    </w:p>
    <w:p>
      <w:pPr>
        <w:spacing w:after="0" w:line="25" w:lineRule="exact"/>
        <w:rPr>
          <w:sz w:val="20"/>
          <w:szCs w:val="20"/>
          <w:color w:val="auto"/>
        </w:rPr>
      </w:pPr>
    </w:p>
    <w:p>
      <w:pPr>
        <w:jc w:val="center"/>
        <w:ind w:right="-73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124460</wp:posOffset>
            </wp:positionV>
            <wp:extent cx="11709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0940" cy="698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3055620</wp:posOffset>
            </wp:positionH>
            <wp:positionV relativeFrom="paragraph">
              <wp:posOffset>191770</wp:posOffset>
            </wp:positionV>
            <wp:extent cx="11709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0940" cy="698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739"/>
        <w:spacing w:after="0"/>
        <w:rPr>
          <w:sz w:val="20"/>
          <w:szCs w:val="20"/>
          <w:color w:val="auto"/>
        </w:rPr>
      </w:pPr>
      <w:r>
        <w:rPr>
          <w:rFonts w:ascii="Arial" w:cs="Arial" w:eastAsia="Arial" w:hAnsi="Arial"/>
          <w:sz w:val="18"/>
          <w:szCs w:val="18"/>
          <w:b w:val="1"/>
          <w:bCs w:val="1"/>
          <w:color w:val="auto"/>
        </w:rPr>
        <w:t>CURRENT REPORT</w:t>
      </w:r>
    </w:p>
    <w:p>
      <w:pPr>
        <w:spacing w:after="0" w:line="168" w:lineRule="exact"/>
        <w:rPr>
          <w:sz w:val="20"/>
          <w:szCs w:val="20"/>
          <w:color w:val="auto"/>
        </w:rPr>
      </w:pPr>
    </w:p>
    <w:p>
      <w:pPr>
        <w:jc w:val="center"/>
        <w:ind w:right="-739"/>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211"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 xml:space="preserve">Date of Report (Date of earliest event reported): </w:t>
      </w:r>
      <w:r>
        <w:rPr>
          <w:rFonts w:ascii="Arial" w:cs="Arial" w:eastAsia="Arial" w:hAnsi="Arial"/>
          <w:sz w:val="15"/>
          <w:szCs w:val="15"/>
          <w:color w:val="auto"/>
        </w:rPr>
        <w:t>April 28, 2005</w:t>
      </w:r>
    </w:p>
    <w:p>
      <w:pPr>
        <w:spacing w:after="0" w:line="338" w:lineRule="exact"/>
        <w:rPr>
          <w:sz w:val="20"/>
          <w:szCs w:val="20"/>
          <w:color w:val="auto"/>
        </w:rPr>
      </w:pPr>
    </w:p>
    <w:p>
      <w:pPr>
        <w:ind w:left="3860"/>
        <w:spacing w:after="0"/>
        <w:rPr>
          <w:sz w:val="20"/>
          <w:szCs w:val="20"/>
          <w:color w:val="auto"/>
        </w:rPr>
      </w:pPr>
      <w:r>
        <w:rPr>
          <w:rFonts w:ascii="Arial" w:cs="Arial" w:eastAsia="Arial" w:hAnsi="Arial"/>
          <w:sz w:val="35"/>
          <w:szCs w:val="35"/>
          <w:b w:val="1"/>
          <w:bCs w:val="1"/>
          <w:color w:val="auto"/>
        </w:rPr>
        <w:t>Waste Management, Inc.</w:t>
      </w:r>
    </w:p>
    <w:p>
      <w:pPr>
        <w:spacing w:after="0" w:line="379"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(Exact Name of Registrant as Specified in Charter)</w:t>
      </w:r>
    </w:p>
    <w:p>
      <w:pPr>
        <w:sectPr>
          <w:pgSz w:w="11900" w:h="16838" w:orient="portrait"/>
          <w:cols w:equalWidth="0" w:num="1">
            <w:col w:w="10740"/>
          </w:cols>
          <w:pgMar w:left="220" w:top="125" w:right="939" w:bottom="1440" w:gutter="0" w:footer="0" w:header="0"/>
        </w:sectPr>
      </w:pPr>
    </w:p>
    <w:p>
      <w:pPr>
        <w:spacing w:after="0" w:line="185"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Delaware</w:t>
      </w:r>
    </w:p>
    <w:p>
      <w:pPr>
        <w:spacing w:after="0" w:line="15" w:lineRule="exact"/>
        <w:rPr>
          <w:sz w:val="20"/>
          <w:szCs w:val="20"/>
          <w:color w:val="auto"/>
        </w:rPr>
      </w:pPr>
    </w:p>
    <w:p>
      <w:pPr>
        <w:jc w:val="center"/>
        <w:ind w:right="540"/>
        <w:spacing w:after="0"/>
        <w:rPr>
          <w:sz w:val="20"/>
          <w:szCs w:val="20"/>
          <w:color w:val="auto"/>
        </w:rPr>
      </w:pPr>
      <w:r>
        <w:rPr>
          <w:rFonts w:ascii="Arial" w:cs="Arial" w:eastAsia="Arial" w:hAnsi="Arial"/>
          <w:sz w:val="13"/>
          <w:szCs w:val="13"/>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1280"/>
        <w:spacing w:after="0"/>
        <w:rPr>
          <w:sz w:val="20"/>
          <w:szCs w:val="20"/>
          <w:color w:val="auto"/>
        </w:rPr>
      </w:pPr>
      <w:r>
        <w:rPr>
          <w:rFonts w:ascii="Arial" w:cs="Arial" w:eastAsia="Arial" w:hAnsi="Arial"/>
          <w:sz w:val="15"/>
          <w:szCs w:val="15"/>
          <w:color w:val="auto"/>
        </w:rPr>
        <w:t>1-12154</w:t>
      </w:r>
    </w:p>
    <w:p>
      <w:pPr>
        <w:spacing w:after="0" w:line="15" w:lineRule="exact"/>
        <w:rPr>
          <w:sz w:val="20"/>
          <w:szCs w:val="20"/>
          <w:color w:val="auto"/>
        </w:rPr>
      </w:pPr>
    </w:p>
    <w:p>
      <w:pPr>
        <w:jc w:val="center"/>
        <w:ind w:right="128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73-1309529</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0"/>
          <w:szCs w:val="20"/>
          <w:color w:val="auto"/>
        </w:rPr>
      </w:pPr>
    </w:p>
    <w:p>
      <w:pPr>
        <w:sectPr>
          <w:pgSz w:w="11900" w:h="16838" w:orient="portrait"/>
          <w:cols w:equalWidth="0" w:num="3">
            <w:col w:w="4140" w:space="720"/>
            <w:col w:w="3000" w:space="720"/>
            <w:col w:w="2160"/>
          </w:cols>
          <w:pgMar w:left="220" w:top="125" w:right="939" w:bottom="1440" w:gutter="0" w:footer="0" w:header="0"/>
          <w:type w:val="continuous"/>
        </w:sectPr>
      </w:pPr>
    </w:p>
    <w:p>
      <w:pPr>
        <w:jc w:val="center"/>
        <w:ind w:right="2240"/>
        <w:spacing w:after="0"/>
        <w:rPr>
          <w:sz w:val="20"/>
          <w:szCs w:val="20"/>
          <w:color w:val="auto"/>
        </w:rPr>
      </w:pPr>
      <w:r>
        <w:rPr>
          <w:rFonts w:ascii="Arial" w:cs="Arial" w:eastAsia="Arial" w:hAnsi="Arial"/>
          <w:sz w:val="13"/>
          <w:szCs w:val="13"/>
          <w:color w:val="auto"/>
        </w:rPr>
        <w:t>1001 Fannin, Suite 4000 Houston, Texas</w:t>
      </w:r>
    </w:p>
    <w:p>
      <w:pPr>
        <w:spacing w:after="0" w:line="38" w:lineRule="exact"/>
        <w:rPr>
          <w:sz w:val="20"/>
          <w:szCs w:val="20"/>
          <w:color w:val="auto"/>
        </w:rPr>
      </w:pPr>
    </w:p>
    <w:p>
      <w:pPr>
        <w:jc w:val="center"/>
        <w:ind w:right="22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0"/>
          <w:szCs w:val="20"/>
          <w:color w:val="auto"/>
        </w:rPr>
      </w:pPr>
      <w:r>
        <w:rPr>
          <w:sz w:val="20"/>
          <w:szCs w:val="20"/>
          <w:color w:val="auto"/>
        </w:rPr>
        <w:br w:type="column"/>
      </w:r>
    </w:p>
    <w:p>
      <w:pPr>
        <w:jc w:val="center"/>
        <w:ind w:right="1660"/>
        <w:spacing w:after="0"/>
        <w:rPr>
          <w:sz w:val="20"/>
          <w:szCs w:val="20"/>
          <w:color w:val="auto"/>
        </w:rPr>
      </w:pPr>
      <w:r>
        <w:rPr>
          <w:rFonts w:ascii="Arial" w:cs="Arial" w:eastAsia="Arial" w:hAnsi="Arial"/>
          <w:sz w:val="15"/>
          <w:szCs w:val="15"/>
          <w:color w:val="auto"/>
        </w:rPr>
        <w:t>77002</w:t>
      </w:r>
    </w:p>
    <w:p>
      <w:pPr>
        <w:spacing w:after="0" w:line="15" w:lineRule="exact"/>
        <w:rPr>
          <w:sz w:val="20"/>
          <w:szCs w:val="20"/>
          <w:color w:val="auto"/>
        </w:rPr>
      </w:pPr>
    </w:p>
    <w:p>
      <w:pPr>
        <w:jc w:val="center"/>
        <w:ind w:right="1660"/>
        <w:spacing w:after="0"/>
        <w:rPr>
          <w:sz w:val="20"/>
          <w:szCs w:val="20"/>
          <w:color w:val="auto"/>
        </w:rPr>
      </w:pPr>
      <w:r>
        <w:rPr>
          <w:rFonts w:ascii="Arial" w:cs="Arial" w:eastAsia="Arial" w:hAnsi="Arial"/>
          <w:sz w:val="13"/>
          <w:szCs w:val="13"/>
          <w:b w:val="1"/>
          <w:bCs w:val="1"/>
          <w:color w:val="auto"/>
        </w:rPr>
        <w:t>(Zip Code)</w:t>
      </w:r>
    </w:p>
    <w:p>
      <w:pPr>
        <w:spacing w:after="0" w:line="167" w:lineRule="exact"/>
        <w:rPr>
          <w:sz w:val="20"/>
          <w:szCs w:val="20"/>
          <w:color w:val="auto"/>
        </w:rPr>
      </w:pPr>
    </w:p>
    <w:p>
      <w:pPr>
        <w:sectPr>
          <w:pgSz w:w="11900" w:h="16838" w:orient="portrait"/>
          <w:cols w:equalWidth="0" w:num="2">
            <w:col w:w="7680" w:space="720"/>
            <w:col w:w="2340"/>
          </w:cols>
          <w:pgMar w:left="220" w:top="125" w:right="939" w:bottom="1440" w:gutter="0" w:footer="0" w:header="0"/>
          <w:type w:val="continuous"/>
        </w:sectPr>
      </w:pPr>
    </w:p>
    <w:p>
      <w:pPr>
        <w:ind w:left="3600"/>
        <w:spacing w:after="0"/>
        <w:rPr>
          <w:sz w:val="20"/>
          <w:szCs w:val="20"/>
          <w:color w:val="auto"/>
        </w:rPr>
      </w:pPr>
      <w:r>
        <w:rPr>
          <w:rFonts w:ascii="Arial" w:cs="Arial" w:eastAsia="Arial" w:hAnsi="Arial"/>
          <w:sz w:val="15"/>
          <w:szCs w:val="15"/>
          <w:b w:val="1"/>
          <w:bCs w:val="1"/>
          <w:color w:val="auto"/>
        </w:rPr>
        <w:t xml:space="preserve">Registrant’s Telephone number, including area code: </w:t>
      </w:r>
      <w:r>
        <w:rPr>
          <w:rFonts w:ascii="Arial" w:cs="Arial" w:eastAsia="Arial" w:hAnsi="Arial"/>
          <w:sz w:val="15"/>
          <w:szCs w:val="15"/>
          <w:color w:val="auto"/>
        </w:rPr>
        <w:t>(713) 512-6200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1814195</wp:posOffset>
            </wp:positionH>
            <wp:positionV relativeFrom="paragraph">
              <wp:posOffset>102870</wp:posOffset>
            </wp:positionV>
            <wp:extent cx="36531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53155" cy="6985"/>
                    </a:xfrm>
                    <a:prstGeom prst="rect">
                      <a:avLst/>
                    </a:prstGeom>
                    <a:noFill/>
                  </pic:spPr>
                </pic:pic>
              </a:graphicData>
            </a:graphic>
          </wp:anchor>
        </w:drawing>
      </w:r>
    </w:p>
    <w:p>
      <w:pPr>
        <w:spacing w:after="0" w:line="227"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o Written communications pursuant to Rule 425 under the Securities Act (17 CFR 230.425)</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o Soliciting material pursuant to Rule 14a-12 under the Exchange Act (17 CFR 240.14a-12)</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o Pre-commencement communications pursuant to Rule 14d-2(b) under the Exchange Act (17 CFR 240.14d-2(b))</w:t>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71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13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7138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1385" cy="20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455295</wp:posOffset>
            </wp:positionV>
            <wp:extent cx="7277100"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0740"/>
          </w:cols>
          <w:pgMar w:left="220" w:top="125" w:right="939" w:bottom="1440" w:gutter="0" w:footer="0" w:header="0"/>
          <w:type w:val="continuous"/>
        </w:sectPr>
      </w:pPr>
    </w:p>
    <w:bookmarkStart w:id="2" w:name="page3"/>
    <w:bookmarkEnd w:id="2"/>
    <w:p>
      <w:pPr>
        <w:ind w:left="4200"/>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85" w:lineRule="exact"/>
        <w:rPr>
          <w:sz w:val="20"/>
          <w:szCs w:val="20"/>
          <w:color w:val="auto"/>
        </w:rPr>
      </w:pPr>
    </w:p>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2.02. Results of Operations and Financial Condition</w:t>
        </w:r>
      </w:hyperlink>
    </w:p>
    <w:p>
      <w:pPr>
        <w:ind w:left="320"/>
        <w:spacing w:after="0" w:line="237"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7.01. Regulation FD Disclosure.</w:t>
        </w:r>
      </w:hyperlink>
    </w:p>
    <w:p>
      <w:pPr>
        <w:ind w:left="320"/>
        <w:spacing w:after="0" w:line="23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9.01. Financial Statements and Exhibits.</w:t>
        </w:r>
      </w:hyperlink>
    </w:p>
    <w:p>
      <w:pPr>
        <w:spacing w:after="0" w:line="231"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SIGNATURES</w:t>
        </w:r>
      </w:hyperlink>
    </w:p>
    <w:p>
      <w:pPr>
        <w:spacing w:after="0" w:line="230" w:lineRule="auto"/>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106045</wp:posOffset>
            </wp:positionV>
            <wp:extent cx="7277100"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9659"/>
          </w:cols>
          <w:pgMar w:left="800" w:top="118" w:right="1440" w:bottom="1440" w:gutter="0" w:footer="0" w:header="0"/>
        </w:sectPr>
      </w:pPr>
    </w:p>
    <w:bookmarkStart w:id="3" w:name="page4"/>
    <w:bookmarkEnd w:id="3"/>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63" w:lineRule="exact"/>
        <w:rPr>
          <w:sz w:val="20"/>
          <w:szCs w:val="20"/>
          <w:color w:val="auto"/>
        </w:rPr>
      </w:pPr>
    </w:p>
    <w:p>
      <w:pPr>
        <w:ind w:right="40" w:firstLine="184"/>
        <w:spacing w:after="0" w:line="252" w:lineRule="auto"/>
        <w:rPr>
          <w:sz w:val="20"/>
          <w:szCs w:val="20"/>
          <w:color w:val="auto"/>
        </w:rPr>
      </w:pPr>
      <w:r>
        <w:rPr>
          <w:rFonts w:ascii="Arial" w:cs="Arial" w:eastAsia="Arial" w:hAnsi="Arial"/>
          <w:sz w:val="15"/>
          <w:szCs w:val="15"/>
          <w:color w:val="auto"/>
        </w:rPr>
        <w:t>On April 28, 2005, Waste Management, Inc. (the “Company”) issued a press release announcing its earnings for the fiscal quarter ended March 31, 2005. On the same date, the Company held a conference call, which was open to the public, to discuss these results. A copy of the press release is attached hereto as exhibit 99.1. A replay of the conference call is available beginning at approximately 10:00 a.m. central time through 5:00 p.m. central time on May 12th. The replay of the call may be heard over the Internet, by accessing the Company’s website at www.wm.com, or by telephone by dialing 800-642-1687 and entering conference code 4978881.</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 Disclosure.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Results of Landfill Pricing Study</w:t>
      </w:r>
    </w:p>
    <w:p>
      <w:pPr>
        <w:spacing w:after="0" w:line="159" w:lineRule="exact"/>
        <w:rPr>
          <w:sz w:val="20"/>
          <w:szCs w:val="20"/>
          <w:color w:val="auto"/>
        </w:rPr>
      </w:pPr>
    </w:p>
    <w:p>
      <w:pPr>
        <w:ind w:right="100" w:firstLine="184"/>
        <w:spacing w:after="0" w:line="266" w:lineRule="auto"/>
        <w:rPr>
          <w:sz w:val="20"/>
          <w:szCs w:val="20"/>
          <w:color w:val="auto"/>
        </w:rPr>
      </w:pPr>
      <w:r>
        <w:rPr>
          <w:rFonts w:ascii="Arial" w:cs="Arial" w:eastAsia="Arial" w:hAnsi="Arial"/>
          <w:sz w:val="15"/>
          <w:szCs w:val="15"/>
          <w:color w:val="auto"/>
        </w:rPr>
        <w:t>In January 2005, the Company announced the initiation of a landfill pricing study at 30 of its landfills, and stated that it expected to periodically report the results to the public. Below are the results of the landfill pricing study for the first quarter of 2005.</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76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88"/>
              </w:rPr>
              <w:t>% of Tons Lost due</w:t>
            </w:r>
          </w:p>
        </w:tc>
      </w:tr>
      <w:tr>
        <w:trPr>
          <w:trHeight w:val="121"/>
        </w:trPr>
        <w:tc>
          <w:tcPr>
            <w:tcW w:w="1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20" w:type="dxa"/>
            <w:vAlign w:val="bottom"/>
            <w:gridSpan w:val="2"/>
          </w:tcPr>
          <w:p>
            <w:pPr>
              <w:jc w:val="right"/>
              <w:ind w:right="900"/>
              <w:spacing w:after="0" w:line="122" w:lineRule="exact"/>
              <w:rPr>
                <w:sz w:val="20"/>
                <w:szCs w:val="20"/>
                <w:color w:val="auto"/>
              </w:rPr>
            </w:pPr>
            <w:r>
              <w:rPr>
                <w:rFonts w:ascii="Arial" w:cs="Arial" w:eastAsia="Arial" w:hAnsi="Arial"/>
                <w:sz w:val="12"/>
                <w:szCs w:val="12"/>
                <w:b w:val="1"/>
                <w:bCs w:val="1"/>
                <w:color w:val="auto"/>
                <w:w w:val="88"/>
              </w:rPr>
              <w:t>% of Tons Price</w:t>
            </w:r>
          </w:p>
        </w:tc>
        <w:tc>
          <w:tcPr>
            <w:tcW w:w="1860" w:type="dxa"/>
            <w:vAlign w:val="bottom"/>
            <w:gridSpan w:val="2"/>
          </w:tcPr>
          <w:p>
            <w:pPr>
              <w:jc w:val="center"/>
              <w:ind w:right="860"/>
              <w:spacing w:after="0" w:line="122" w:lineRule="exact"/>
              <w:rPr>
                <w:sz w:val="20"/>
                <w:szCs w:val="20"/>
                <w:color w:val="auto"/>
              </w:rPr>
            </w:pPr>
            <w:r>
              <w:rPr>
                <w:rFonts w:ascii="Arial" w:cs="Arial" w:eastAsia="Arial" w:hAnsi="Arial"/>
                <w:sz w:val="12"/>
                <w:szCs w:val="12"/>
                <w:b w:val="1"/>
                <w:bCs w:val="1"/>
                <w:color w:val="auto"/>
                <w:w w:val="88"/>
              </w:rPr>
              <w:t>Weighted Avg Price</w:t>
            </w:r>
          </w:p>
        </w:tc>
        <w:tc>
          <w:tcPr>
            <w:tcW w:w="1760" w:type="dxa"/>
            <w:vAlign w:val="bottom"/>
            <w:gridSpan w:val="2"/>
          </w:tcPr>
          <w:p>
            <w:pPr>
              <w:jc w:val="center"/>
              <w:ind w:right="760"/>
              <w:spacing w:after="0" w:line="122" w:lineRule="exact"/>
              <w:rPr>
                <w:sz w:val="20"/>
                <w:szCs w:val="20"/>
                <w:color w:val="auto"/>
              </w:rPr>
            </w:pPr>
            <w:r>
              <w:rPr>
                <w:rFonts w:ascii="Arial" w:cs="Arial" w:eastAsia="Arial" w:hAnsi="Arial"/>
                <w:sz w:val="12"/>
                <w:szCs w:val="12"/>
                <w:b w:val="1"/>
                <w:bCs w:val="1"/>
                <w:color w:val="auto"/>
                <w:w w:val="87"/>
              </w:rPr>
              <w:t>to Price Increase</w:t>
            </w:r>
          </w:p>
        </w:tc>
      </w:tr>
      <w:tr>
        <w:trPr>
          <w:trHeight w:val="139"/>
        </w:trPr>
        <w:tc>
          <w:tcPr>
            <w:tcW w:w="16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Group</w:t>
            </w:r>
          </w:p>
        </w:tc>
        <w:tc>
          <w:tcPr>
            <w:tcW w:w="200" w:type="dxa"/>
            <w:vAlign w:val="bottom"/>
          </w:tcPr>
          <w:p>
            <w:pPr>
              <w:spacing w:after="0"/>
              <w:rPr>
                <w:sz w:val="12"/>
                <w:szCs w:val="12"/>
                <w:color w:val="auto"/>
              </w:rPr>
            </w:pPr>
          </w:p>
        </w:tc>
        <w:tc>
          <w:tcPr>
            <w:tcW w:w="2260" w:type="dxa"/>
            <w:vAlign w:val="bottom"/>
            <w:tcBorders>
              <w:bottom w:val="single" w:sz="8" w:color="auto"/>
            </w:tcBorders>
          </w:tcPr>
          <w:p>
            <w:pPr>
              <w:ind w:left="800"/>
              <w:spacing w:after="0"/>
              <w:rPr>
                <w:sz w:val="20"/>
                <w:szCs w:val="20"/>
                <w:color w:val="auto"/>
              </w:rPr>
            </w:pPr>
            <w:r>
              <w:rPr>
                <w:rFonts w:ascii="Arial" w:cs="Arial" w:eastAsia="Arial" w:hAnsi="Arial"/>
                <w:sz w:val="12"/>
                <w:szCs w:val="12"/>
                <w:b w:val="1"/>
                <w:bCs w:val="1"/>
                <w:color w:val="auto"/>
              </w:rPr>
              <w:t>Market Area</w:t>
            </w:r>
          </w:p>
        </w:tc>
        <w:tc>
          <w:tcPr>
            <w:tcW w:w="220" w:type="dxa"/>
            <w:vAlign w:val="bottom"/>
          </w:tcPr>
          <w:p>
            <w:pPr>
              <w:spacing w:after="0"/>
              <w:rPr>
                <w:sz w:val="12"/>
                <w:szCs w:val="12"/>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2"/>
                <w:szCs w:val="12"/>
                <w:b w:val="1"/>
                <w:bCs w:val="1"/>
                <w:color w:val="auto"/>
              </w:rPr>
              <w:t>Landfill</w:t>
            </w:r>
          </w:p>
        </w:tc>
        <w:tc>
          <w:tcPr>
            <w:tcW w:w="220" w:type="dxa"/>
            <w:vAlign w:val="bottom"/>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3"/>
              </w:rPr>
              <w:t>Increased YTD</w:t>
            </w:r>
          </w:p>
        </w:tc>
        <w:tc>
          <w:tcPr>
            <w:tcW w:w="86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Increase %</w:t>
            </w:r>
          </w:p>
        </w:tc>
        <w:tc>
          <w:tcPr>
            <w:tcW w:w="86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760" w:type="dxa"/>
            <w:vAlign w:val="bottom"/>
          </w:tcPr>
          <w:p>
            <w:pPr>
              <w:spacing w:after="0"/>
              <w:rPr>
                <w:sz w:val="12"/>
                <w:szCs w:val="12"/>
                <w:color w:val="auto"/>
              </w:rPr>
            </w:pPr>
          </w:p>
        </w:tc>
      </w:tr>
      <w:tr>
        <w:trPr>
          <w:trHeight w:val="168"/>
        </w:trPr>
        <w:tc>
          <w:tcPr>
            <w:tcW w:w="160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Canada</w:t>
            </w:r>
          </w:p>
        </w:tc>
        <w:tc>
          <w:tcPr>
            <w:tcW w:w="2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line="168" w:lineRule="exact"/>
              <w:rPr>
                <w:sz w:val="20"/>
                <w:szCs w:val="20"/>
                <w:color w:val="auto"/>
              </w:rPr>
            </w:pPr>
            <w:r>
              <w:rPr>
                <w:rFonts w:ascii="Arial" w:cs="Arial" w:eastAsia="Arial" w:hAnsi="Arial"/>
                <w:sz w:val="15"/>
                <w:szCs w:val="15"/>
                <w:color w:val="auto"/>
              </w:rPr>
              <w:t>Eastern Canada</w:t>
            </w:r>
          </w:p>
        </w:tc>
        <w:tc>
          <w:tcPr>
            <w:tcW w:w="1840" w:type="dxa"/>
            <w:vAlign w:val="bottom"/>
            <w:gridSpan w:val="2"/>
            <w:shd w:val="clear" w:color="auto" w:fill="CCEEFF"/>
          </w:tcPr>
          <w:p>
            <w:pPr>
              <w:ind w:left="220"/>
              <w:spacing w:after="0" w:line="168" w:lineRule="exact"/>
              <w:rPr>
                <w:sz w:val="20"/>
                <w:szCs w:val="20"/>
                <w:color w:val="auto"/>
              </w:rPr>
            </w:pPr>
            <w:r>
              <w:rPr>
                <w:rFonts w:ascii="Arial" w:cs="Arial" w:eastAsia="Arial" w:hAnsi="Arial"/>
                <w:sz w:val="15"/>
                <w:szCs w:val="15"/>
                <w:color w:val="auto"/>
              </w:rPr>
              <w:t>Ottawa</w:t>
            </w:r>
          </w:p>
        </w:tc>
        <w:tc>
          <w:tcPr>
            <w:tcW w:w="1940" w:type="dxa"/>
            <w:vAlign w:val="bottom"/>
            <w:gridSpan w:val="3"/>
            <w:shd w:val="clear" w:color="auto" w:fill="CCEEFF"/>
          </w:tcPr>
          <w:p>
            <w:pPr>
              <w:jc w:val="right"/>
              <w:ind w:right="740"/>
              <w:spacing w:after="0" w:line="168" w:lineRule="exact"/>
              <w:rPr>
                <w:sz w:val="20"/>
                <w:szCs w:val="20"/>
                <w:color w:val="auto"/>
              </w:rPr>
            </w:pPr>
            <w:r>
              <w:rPr>
                <w:rFonts w:ascii="Arial" w:cs="Arial" w:eastAsia="Arial" w:hAnsi="Arial"/>
                <w:sz w:val="15"/>
                <w:szCs w:val="15"/>
                <w:color w:val="auto"/>
              </w:rPr>
              <w:t>40%</w:t>
            </w:r>
          </w:p>
        </w:tc>
        <w:tc>
          <w:tcPr>
            <w:tcW w:w="1860" w:type="dxa"/>
            <w:vAlign w:val="bottom"/>
            <w:gridSpan w:val="2"/>
            <w:shd w:val="clear" w:color="auto" w:fill="CCEEFF"/>
          </w:tcPr>
          <w:p>
            <w:pPr>
              <w:jc w:val="right"/>
              <w:ind w:right="740"/>
              <w:spacing w:after="0" w:line="168" w:lineRule="exact"/>
              <w:rPr>
                <w:sz w:val="20"/>
                <w:szCs w:val="20"/>
                <w:color w:val="auto"/>
              </w:rPr>
            </w:pPr>
            <w:r>
              <w:rPr>
                <w:rFonts w:ascii="Arial" w:cs="Arial" w:eastAsia="Arial" w:hAnsi="Arial"/>
                <w:sz w:val="15"/>
                <w:szCs w:val="15"/>
                <w:color w:val="auto"/>
              </w:rPr>
              <w:t>11%</w:t>
            </w:r>
          </w:p>
        </w:tc>
        <w:tc>
          <w:tcPr>
            <w:tcW w:w="1760" w:type="dxa"/>
            <w:vAlign w:val="bottom"/>
            <w:gridSpan w:val="2"/>
            <w:shd w:val="clear" w:color="auto" w:fill="CCEEFF"/>
          </w:tcPr>
          <w:p>
            <w:pPr>
              <w:jc w:val="right"/>
              <w:ind w:right="760"/>
              <w:spacing w:after="0" w:line="168" w:lineRule="exact"/>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Western Canada</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West Edmonton</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70%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4%</w:t>
            </w:r>
          </w:p>
        </w:tc>
        <w:tc>
          <w:tcPr>
            <w:tcW w:w="1760" w:type="dxa"/>
            <w:vAlign w:val="bottom"/>
            <w:gridSpan w:val="2"/>
          </w:tcPr>
          <w:p>
            <w:pPr>
              <w:jc w:val="right"/>
              <w:ind w:right="620"/>
              <w:spacing w:after="0"/>
              <w:rPr>
                <w:sz w:val="20"/>
                <w:szCs w:val="20"/>
                <w:color w:val="auto"/>
              </w:rPr>
            </w:pPr>
            <w:r>
              <w:rPr>
                <w:rFonts w:ascii="Arial" w:cs="Arial" w:eastAsia="Arial" w:hAnsi="Arial"/>
                <w:sz w:val="15"/>
                <w:szCs w:val="15"/>
                <w:color w:val="auto"/>
              </w:rPr>
              <w:t>5%</w:t>
            </w:r>
          </w:p>
        </w:tc>
      </w:tr>
      <w:tr>
        <w:trPr>
          <w:trHeight w:val="177"/>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East</w:t>
            </w: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Boston/Western Massachusetts</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Fitchburg - RCI</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40%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4%</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New Hampshire/Maine</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Crossroads</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30%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2%</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Virginia/Maryland</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Amelia</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10%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4%</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Virginia/Maryland</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King George</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Western Pennsylvania</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Lake View*</w:t>
            </w:r>
          </w:p>
        </w:tc>
        <w:tc>
          <w:tcPr>
            <w:tcW w:w="22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w:t>
            </w:r>
          </w:p>
        </w:tc>
        <w:tc>
          <w:tcPr>
            <w:tcW w:w="1860" w:type="dxa"/>
            <w:vAlign w:val="bottom"/>
            <w:gridSpan w:val="2"/>
            <w:shd w:val="clear" w:color="auto" w:fill="CCEEFF"/>
          </w:tcPr>
          <w:p>
            <w:pPr>
              <w:jc w:val="right"/>
              <w:ind w:right="860"/>
              <w:spacing w:after="0"/>
              <w:rPr>
                <w:sz w:val="20"/>
                <w:szCs w:val="20"/>
                <w:color w:val="auto"/>
              </w:rPr>
            </w:pPr>
            <w:r>
              <w:rPr>
                <w:rFonts w:ascii="Arial" w:cs="Arial" w:eastAsia="Arial" w:hAnsi="Arial"/>
                <w:sz w:val="15"/>
                <w:szCs w:val="15"/>
                <w:color w:val="auto"/>
              </w:rPr>
              <w:t>—</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Western Pennsylvania</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Shade - RCC</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Midwest</w:t>
            </w: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Illinois</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Five Oaks</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20%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Michigan</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Autumn Hills</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55%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8%</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Michigan</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Westside</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80%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Minnesota</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Burnsville</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30%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4%</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Ohio</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American</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20%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Ohio</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Mahoning</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50%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Ohio</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Suburban South</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10%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Wisconsin</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Orchard Ridge</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35%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3%</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20"/>
                <w:szCs w:val="20"/>
                <w:color w:val="auto"/>
              </w:rPr>
            </w:pPr>
            <w:r>
              <w:rPr>
                <w:rFonts w:ascii="Arial" w:cs="Arial" w:eastAsia="Arial" w:hAnsi="Arial"/>
                <w:sz w:val="15"/>
                <w:szCs w:val="15"/>
                <w:color w:val="auto"/>
              </w:rPr>
              <w:t>South</w:t>
            </w: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Arkansas</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Tontitown</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85%</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14%</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Carolinas</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Palmetto</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8%</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Central Texas</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Austin Community</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55%</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6%</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5%</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Gulf Coast</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Chastang</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90%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17%</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Houston</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Atascocita</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90%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3%</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5%</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Louisiana/Mississippi</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Pecan Grove</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20%</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4%</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North Texas</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New Boston</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100%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5"/>
                <w:szCs w:val="15"/>
                <w:color w:val="auto"/>
              </w:rPr>
              <w:t>Oklahoma</w:t>
            </w:r>
          </w:p>
        </w:tc>
        <w:tc>
          <w:tcPr>
            <w:tcW w:w="1840" w:type="dxa"/>
            <w:vAlign w:val="bottom"/>
            <w:gridSpan w:val="2"/>
          </w:tcPr>
          <w:p>
            <w:pPr>
              <w:ind w:left="220"/>
              <w:spacing w:after="0"/>
              <w:rPr>
                <w:sz w:val="20"/>
                <w:szCs w:val="20"/>
                <w:color w:val="auto"/>
              </w:rPr>
            </w:pPr>
            <w:r>
              <w:rPr>
                <w:rFonts w:ascii="Arial" w:cs="Arial" w:eastAsia="Arial" w:hAnsi="Arial"/>
                <w:sz w:val="15"/>
                <w:szCs w:val="15"/>
                <w:color w:val="auto"/>
              </w:rPr>
              <w:t>East Oak</w:t>
            </w:r>
          </w:p>
        </w:tc>
        <w:tc>
          <w:tcPr>
            <w:tcW w:w="1940" w:type="dxa"/>
            <w:vAlign w:val="bottom"/>
            <w:gridSpan w:val="3"/>
          </w:tcPr>
          <w:p>
            <w:pPr>
              <w:jc w:val="right"/>
              <w:ind w:right="740"/>
              <w:spacing w:after="0"/>
              <w:rPr>
                <w:sz w:val="20"/>
                <w:szCs w:val="20"/>
                <w:color w:val="auto"/>
              </w:rPr>
            </w:pPr>
            <w:r>
              <w:rPr>
                <w:rFonts w:ascii="Arial" w:cs="Arial" w:eastAsia="Arial" w:hAnsi="Arial"/>
                <w:sz w:val="15"/>
                <w:szCs w:val="15"/>
                <w:color w:val="auto"/>
              </w:rPr>
              <w:t>25%</w:t>
            </w:r>
          </w:p>
        </w:tc>
        <w:tc>
          <w:tcPr>
            <w:tcW w:w="1860" w:type="dxa"/>
            <w:vAlign w:val="bottom"/>
            <w:gridSpan w:val="2"/>
          </w:tcPr>
          <w:p>
            <w:pPr>
              <w:jc w:val="right"/>
              <w:ind w:right="740"/>
              <w:spacing w:after="0"/>
              <w:rPr>
                <w:sz w:val="20"/>
                <w:szCs w:val="20"/>
                <w:color w:val="auto"/>
              </w:rPr>
            </w:pPr>
            <w:r>
              <w:rPr>
                <w:rFonts w:ascii="Arial" w:cs="Arial" w:eastAsia="Arial" w:hAnsi="Arial"/>
                <w:sz w:val="15"/>
                <w:szCs w:val="15"/>
                <w:color w:val="auto"/>
              </w:rPr>
              <w:t>8%</w:t>
            </w:r>
          </w:p>
        </w:tc>
        <w:tc>
          <w:tcPr>
            <w:tcW w:w="1760" w:type="dxa"/>
            <w:vAlign w:val="bottom"/>
            <w:gridSpan w:val="2"/>
          </w:tcPr>
          <w:p>
            <w:pPr>
              <w:jc w:val="right"/>
              <w:ind w:right="760"/>
              <w:spacing w:after="0"/>
              <w:rPr>
                <w:sz w:val="20"/>
                <w:szCs w:val="20"/>
                <w:color w:val="auto"/>
              </w:rPr>
            </w:pPr>
            <w:r>
              <w:rPr>
                <w:rFonts w:ascii="Arial" w:cs="Arial" w:eastAsia="Arial" w:hAnsi="Arial"/>
                <w:sz w:val="15"/>
                <w:szCs w:val="15"/>
                <w:color w:val="auto"/>
              </w:rPr>
              <w:t>—</w:t>
            </w:r>
          </w:p>
        </w:tc>
      </w:tr>
      <w:tr>
        <w:trPr>
          <w:trHeight w:val="177"/>
        </w:trPr>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5"/>
                <w:szCs w:val="15"/>
                <w:color w:val="auto"/>
              </w:rPr>
              <w:t>Tennessee/Alabama/Kentucky</w:t>
            </w:r>
          </w:p>
        </w:tc>
        <w:tc>
          <w:tcPr>
            <w:tcW w:w="184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Chestnut Ridge</w:t>
            </w:r>
          </w:p>
        </w:tc>
        <w:tc>
          <w:tcPr>
            <w:tcW w:w="1940" w:type="dxa"/>
            <w:vAlign w:val="bottom"/>
            <w:gridSpan w:val="3"/>
            <w:shd w:val="clear" w:color="auto" w:fill="CCEEFF"/>
          </w:tcPr>
          <w:p>
            <w:pPr>
              <w:jc w:val="right"/>
              <w:ind w:right="740"/>
              <w:spacing w:after="0"/>
              <w:rPr>
                <w:sz w:val="20"/>
                <w:szCs w:val="20"/>
                <w:color w:val="auto"/>
              </w:rPr>
            </w:pPr>
            <w:r>
              <w:rPr>
                <w:rFonts w:ascii="Arial" w:cs="Arial" w:eastAsia="Arial" w:hAnsi="Arial"/>
                <w:sz w:val="15"/>
                <w:szCs w:val="15"/>
                <w:color w:val="auto"/>
              </w:rPr>
              <w:t>5%</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5"/>
                <w:szCs w:val="15"/>
                <w:color w:val="auto"/>
              </w:rPr>
              <w:t>13%</w:t>
            </w:r>
          </w:p>
        </w:tc>
        <w:tc>
          <w:tcPr>
            <w:tcW w:w="1760" w:type="dxa"/>
            <w:vAlign w:val="bottom"/>
            <w:gridSpan w:val="2"/>
            <w:shd w:val="clear" w:color="auto" w:fill="CCEEFF"/>
          </w:tcPr>
          <w:p>
            <w:pPr>
              <w:jc w:val="right"/>
              <w:ind w:right="620"/>
              <w:spacing w:after="0"/>
              <w:rPr>
                <w:sz w:val="20"/>
                <w:szCs w:val="20"/>
                <w:color w:val="auto"/>
              </w:rPr>
            </w:pPr>
            <w:r>
              <w:rPr>
                <w:rFonts w:ascii="Arial" w:cs="Arial" w:eastAsia="Arial" w:hAnsi="Arial"/>
                <w:sz w:val="15"/>
                <w:szCs w:val="15"/>
                <w:color w:val="auto"/>
              </w:rPr>
              <w:t>25%</w:t>
            </w:r>
          </w:p>
        </w:tc>
      </w:tr>
      <w:tr>
        <w:trPr>
          <w:trHeight w:val="503"/>
        </w:trPr>
        <w:tc>
          <w:tcPr>
            <w:tcW w:w="16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4" w:name="page5"/>
    <w:bookmarkEnd w:id="4"/>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00" w:type="dxa"/>
            <w:vAlign w:val="bottom"/>
            <w:shd w:val="clear" w:color="auto" w:fill="CCEEFF"/>
          </w:tcPr>
          <w:p>
            <w:pPr>
              <w:spacing w:after="0"/>
              <w:rPr>
                <w:sz w:val="20"/>
                <w:szCs w:val="20"/>
                <w:color w:val="auto"/>
              </w:rPr>
            </w:pPr>
            <w:r>
              <w:rPr>
                <w:rFonts w:ascii="Arial" w:cs="Arial" w:eastAsia="Arial" w:hAnsi="Arial"/>
                <w:sz w:val="15"/>
                <w:szCs w:val="15"/>
                <w:color w:val="auto"/>
              </w:rPr>
              <w:t>West</w:t>
            </w:r>
          </w:p>
        </w:tc>
        <w:tc>
          <w:tcPr>
            <w:tcW w:w="2380" w:type="dxa"/>
            <w:vAlign w:val="bottom"/>
            <w:shd w:val="clear" w:color="auto" w:fill="CCEEFF"/>
          </w:tcPr>
          <w:p>
            <w:pPr>
              <w:ind w:left="820"/>
              <w:spacing w:after="0"/>
              <w:rPr>
                <w:sz w:val="20"/>
                <w:szCs w:val="20"/>
                <w:color w:val="auto"/>
              </w:rPr>
            </w:pPr>
            <w:r>
              <w:rPr>
                <w:rFonts w:ascii="Arial" w:cs="Arial" w:eastAsia="Arial" w:hAnsi="Arial"/>
                <w:sz w:val="15"/>
                <w:szCs w:val="15"/>
                <w:color w:val="auto"/>
              </w:rPr>
              <w:t>Arizona</w:t>
            </w:r>
          </w:p>
        </w:tc>
        <w:tc>
          <w:tcPr>
            <w:tcW w:w="2860" w:type="dxa"/>
            <w:vAlign w:val="bottom"/>
            <w:shd w:val="clear" w:color="auto" w:fill="CCEEFF"/>
          </w:tcPr>
          <w:p>
            <w:pPr>
              <w:ind w:left="940"/>
              <w:spacing w:after="0"/>
              <w:rPr>
                <w:sz w:val="20"/>
                <w:szCs w:val="20"/>
                <w:color w:val="auto"/>
              </w:rPr>
            </w:pPr>
            <w:r>
              <w:rPr>
                <w:rFonts w:ascii="Arial" w:cs="Arial" w:eastAsia="Arial" w:hAnsi="Arial"/>
                <w:sz w:val="15"/>
                <w:szCs w:val="15"/>
                <w:color w:val="auto"/>
              </w:rPr>
              <w:t>NW Regional</w:t>
            </w:r>
          </w:p>
        </w:tc>
        <w:tc>
          <w:tcPr>
            <w:tcW w:w="16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35%</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4%</w:t>
            </w:r>
          </w:p>
        </w:tc>
        <w:tc>
          <w:tcPr>
            <w:tcW w:w="17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2380" w:type="dxa"/>
            <w:vAlign w:val="bottom"/>
          </w:tcPr>
          <w:p>
            <w:pPr>
              <w:ind w:left="820"/>
              <w:spacing w:after="0"/>
              <w:rPr>
                <w:sz w:val="20"/>
                <w:szCs w:val="20"/>
                <w:color w:val="auto"/>
              </w:rPr>
            </w:pPr>
            <w:r>
              <w:rPr>
                <w:rFonts w:ascii="Arial" w:cs="Arial" w:eastAsia="Arial" w:hAnsi="Arial"/>
                <w:sz w:val="15"/>
                <w:szCs w:val="15"/>
                <w:color w:val="auto"/>
              </w:rPr>
              <w:t>North Bay</w:t>
            </w:r>
          </w:p>
        </w:tc>
        <w:tc>
          <w:tcPr>
            <w:tcW w:w="2860" w:type="dxa"/>
            <w:vAlign w:val="bottom"/>
          </w:tcPr>
          <w:p>
            <w:pPr>
              <w:ind w:left="940"/>
              <w:spacing w:after="0"/>
              <w:rPr>
                <w:sz w:val="20"/>
                <w:szCs w:val="20"/>
                <w:color w:val="auto"/>
              </w:rPr>
            </w:pPr>
            <w:r>
              <w:rPr>
                <w:rFonts w:ascii="Arial" w:cs="Arial" w:eastAsia="Arial" w:hAnsi="Arial"/>
                <w:sz w:val="15"/>
                <w:szCs w:val="15"/>
                <w:color w:val="auto"/>
              </w:rPr>
              <w:t>Altamont</w:t>
            </w:r>
          </w:p>
        </w:tc>
        <w:tc>
          <w:tcPr>
            <w:tcW w:w="1640" w:type="dxa"/>
            <w:vAlign w:val="bottom"/>
            <w:gridSpan w:val="2"/>
          </w:tcPr>
          <w:p>
            <w:pPr>
              <w:ind w:left="580"/>
              <w:spacing w:after="0"/>
              <w:rPr>
                <w:sz w:val="20"/>
                <w:szCs w:val="20"/>
                <w:color w:val="auto"/>
              </w:rPr>
            </w:pPr>
            <w:r>
              <w:rPr>
                <w:rFonts w:ascii="Arial" w:cs="Arial" w:eastAsia="Arial" w:hAnsi="Arial"/>
                <w:sz w:val="15"/>
                <w:szCs w:val="15"/>
                <w:color w:val="auto"/>
              </w:rPr>
              <w:t>70%</w:t>
            </w:r>
          </w:p>
        </w:tc>
        <w:tc>
          <w:tcPr>
            <w:tcW w:w="1740" w:type="dxa"/>
            <w:vAlign w:val="bottom"/>
            <w:gridSpan w:val="2"/>
          </w:tcPr>
          <w:p>
            <w:pPr>
              <w:jc w:val="right"/>
              <w:ind w:right="780"/>
              <w:spacing w:after="0"/>
              <w:rPr>
                <w:sz w:val="20"/>
                <w:szCs w:val="20"/>
                <w:color w:val="auto"/>
              </w:rPr>
            </w:pPr>
            <w:r>
              <w:rPr>
                <w:rFonts w:ascii="Arial" w:cs="Arial" w:eastAsia="Arial" w:hAnsi="Arial"/>
                <w:sz w:val="15"/>
                <w:szCs w:val="15"/>
                <w:color w:val="auto"/>
              </w:rPr>
              <w:t>20%</w:t>
            </w:r>
          </w:p>
        </w:tc>
        <w:tc>
          <w:tcPr>
            <w:tcW w:w="1740" w:type="dxa"/>
            <w:vAlign w:val="bottom"/>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100" w:type="dxa"/>
            <w:vAlign w:val="bottom"/>
            <w:shd w:val="clear" w:color="auto" w:fill="CCEEFF"/>
          </w:tcPr>
          <w:p>
            <w:pPr>
              <w:spacing w:after="0"/>
              <w:rPr>
                <w:sz w:val="15"/>
                <w:szCs w:val="15"/>
                <w:color w:val="auto"/>
              </w:rPr>
            </w:pPr>
          </w:p>
        </w:tc>
        <w:tc>
          <w:tcPr>
            <w:tcW w:w="2380" w:type="dxa"/>
            <w:vAlign w:val="bottom"/>
            <w:shd w:val="clear" w:color="auto" w:fill="CCEEFF"/>
          </w:tcPr>
          <w:p>
            <w:pPr>
              <w:ind w:left="820"/>
              <w:spacing w:after="0"/>
              <w:rPr>
                <w:sz w:val="20"/>
                <w:szCs w:val="20"/>
                <w:color w:val="auto"/>
              </w:rPr>
            </w:pPr>
            <w:r>
              <w:rPr>
                <w:rFonts w:ascii="Arial" w:cs="Arial" w:eastAsia="Arial" w:hAnsi="Arial"/>
                <w:sz w:val="15"/>
                <w:szCs w:val="15"/>
                <w:color w:val="auto"/>
              </w:rPr>
              <w:t>North Bay</w:t>
            </w:r>
          </w:p>
        </w:tc>
        <w:tc>
          <w:tcPr>
            <w:tcW w:w="2860" w:type="dxa"/>
            <w:vAlign w:val="bottom"/>
            <w:shd w:val="clear" w:color="auto" w:fill="CCEEFF"/>
          </w:tcPr>
          <w:p>
            <w:pPr>
              <w:ind w:left="940"/>
              <w:spacing w:after="0"/>
              <w:rPr>
                <w:sz w:val="20"/>
                <w:szCs w:val="20"/>
                <w:color w:val="auto"/>
              </w:rPr>
            </w:pPr>
            <w:r>
              <w:rPr>
                <w:rFonts w:ascii="Arial" w:cs="Arial" w:eastAsia="Arial" w:hAnsi="Arial"/>
                <w:sz w:val="15"/>
                <w:szCs w:val="15"/>
                <w:color w:val="auto"/>
              </w:rPr>
              <w:t>Redwood</w:t>
            </w:r>
          </w:p>
        </w:tc>
        <w:tc>
          <w:tcPr>
            <w:tcW w:w="16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15%</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2%</w:t>
            </w:r>
          </w:p>
        </w:tc>
        <w:tc>
          <w:tcPr>
            <w:tcW w:w="17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100" w:type="dxa"/>
            <w:vAlign w:val="bottom"/>
          </w:tcPr>
          <w:p>
            <w:pPr>
              <w:spacing w:after="0"/>
              <w:rPr>
                <w:sz w:val="15"/>
                <w:szCs w:val="15"/>
                <w:color w:val="auto"/>
              </w:rPr>
            </w:pPr>
          </w:p>
        </w:tc>
        <w:tc>
          <w:tcPr>
            <w:tcW w:w="2380" w:type="dxa"/>
            <w:vAlign w:val="bottom"/>
          </w:tcPr>
          <w:p>
            <w:pPr>
              <w:ind w:left="820"/>
              <w:spacing w:after="0"/>
              <w:rPr>
                <w:sz w:val="20"/>
                <w:szCs w:val="20"/>
                <w:color w:val="auto"/>
              </w:rPr>
            </w:pPr>
            <w:r>
              <w:rPr>
                <w:rFonts w:ascii="Arial" w:cs="Arial" w:eastAsia="Arial" w:hAnsi="Arial"/>
                <w:sz w:val="15"/>
                <w:szCs w:val="15"/>
                <w:color w:val="auto"/>
              </w:rPr>
              <w:t>Oregon</w:t>
            </w:r>
          </w:p>
        </w:tc>
        <w:tc>
          <w:tcPr>
            <w:tcW w:w="2860" w:type="dxa"/>
            <w:vAlign w:val="bottom"/>
          </w:tcPr>
          <w:p>
            <w:pPr>
              <w:ind w:left="940"/>
              <w:spacing w:after="0"/>
              <w:rPr>
                <w:sz w:val="20"/>
                <w:szCs w:val="20"/>
                <w:color w:val="auto"/>
              </w:rPr>
            </w:pPr>
            <w:r>
              <w:rPr>
                <w:rFonts w:ascii="Arial" w:cs="Arial" w:eastAsia="Arial" w:hAnsi="Arial"/>
                <w:sz w:val="15"/>
                <w:szCs w:val="15"/>
                <w:color w:val="auto"/>
              </w:rPr>
              <w:t>Hillsboro*</w:t>
            </w:r>
          </w:p>
        </w:tc>
        <w:tc>
          <w:tcPr>
            <w:tcW w:w="1640" w:type="dxa"/>
            <w:vAlign w:val="bottom"/>
            <w:gridSpan w:val="2"/>
          </w:tcPr>
          <w:p>
            <w:pPr>
              <w:ind w:left="580"/>
              <w:spacing w:after="0"/>
              <w:rPr>
                <w:sz w:val="20"/>
                <w:szCs w:val="20"/>
                <w:color w:val="auto"/>
              </w:rPr>
            </w:pPr>
            <w:r>
              <w:rPr>
                <w:rFonts w:ascii="Arial" w:cs="Arial" w:eastAsia="Arial" w:hAnsi="Arial"/>
                <w:sz w:val="15"/>
                <w:szCs w:val="15"/>
                <w:color w:val="auto"/>
              </w:rPr>
              <w:t>—</w:t>
            </w:r>
          </w:p>
        </w:tc>
        <w:tc>
          <w:tcPr>
            <w:tcW w:w="1740" w:type="dxa"/>
            <w:vAlign w:val="bottom"/>
            <w:gridSpan w:val="2"/>
          </w:tcPr>
          <w:p>
            <w:pPr>
              <w:jc w:val="right"/>
              <w:ind w:right="920"/>
              <w:spacing w:after="0"/>
              <w:rPr>
                <w:sz w:val="20"/>
                <w:szCs w:val="20"/>
                <w:color w:val="auto"/>
              </w:rPr>
            </w:pPr>
            <w:r>
              <w:rPr>
                <w:rFonts w:ascii="Arial" w:cs="Arial" w:eastAsia="Arial" w:hAnsi="Arial"/>
                <w:sz w:val="15"/>
                <w:szCs w:val="15"/>
                <w:color w:val="auto"/>
              </w:rPr>
              <w:t>—</w:t>
            </w:r>
          </w:p>
        </w:tc>
        <w:tc>
          <w:tcPr>
            <w:tcW w:w="1740" w:type="dxa"/>
            <w:vAlign w:val="bottom"/>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1100" w:type="dxa"/>
            <w:vAlign w:val="bottom"/>
            <w:shd w:val="clear" w:color="auto" w:fill="CCEEFF"/>
          </w:tcPr>
          <w:p>
            <w:pPr>
              <w:spacing w:after="0"/>
              <w:rPr>
                <w:sz w:val="15"/>
                <w:szCs w:val="15"/>
                <w:color w:val="auto"/>
              </w:rPr>
            </w:pPr>
          </w:p>
        </w:tc>
        <w:tc>
          <w:tcPr>
            <w:tcW w:w="2380" w:type="dxa"/>
            <w:vAlign w:val="bottom"/>
            <w:shd w:val="clear" w:color="auto" w:fill="CCEEFF"/>
          </w:tcPr>
          <w:p>
            <w:pPr>
              <w:ind w:left="820"/>
              <w:spacing w:after="0"/>
              <w:rPr>
                <w:sz w:val="20"/>
                <w:szCs w:val="20"/>
                <w:color w:val="auto"/>
              </w:rPr>
            </w:pPr>
            <w:r>
              <w:rPr>
                <w:rFonts w:ascii="Arial" w:cs="Arial" w:eastAsia="Arial" w:hAnsi="Arial"/>
                <w:sz w:val="15"/>
                <w:szCs w:val="15"/>
                <w:color w:val="auto"/>
              </w:rPr>
              <w:t>Ventura</w:t>
            </w:r>
          </w:p>
        </w:tc>
        <w:tc>
          <w:tcPr>
            <w:tcW w:w="2860" w:type="dxa"/>
            <w:vAlign w:val="bottom"/>
            <w:shd w:val="clear" w:color="auto" w:fill="CCEEFF"/>
          </w:tcPr>
          <w:p>
            <w:pPr>
              <w:ind w:left="940"/>
              <w:spacing w:after="0"/>
              <w:rPr>
                <w:sz w:val="20"/>
                <w:szCs w:val="20"/>
                <w:color w:val="auto"/>
              </w:rPr>
            </w:pPr>
            <w:r>
              <w:rPr>
                <w:rFonts w:ascii="Arial" w:cs="Arial" w:eastAsia="Arial" w:hAnsi="Arial"/>
                <w:sz w:val="15"/>
                <w:szCs w:val="15"/>
                <w:color w:val="auto"/>
              </w:rPr>
              <w:t>Simi Valley</w:t>
            </w:r>
          </w:p>
        </w:tc>
        <w:tc>
          <w:tcPr>
            <w:tcW w:w="164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rPr>
              <w:t>25%</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5"/>
                <w:szCs w:val="15"/>
                <w:color w:val="auto"/>
              </w:rPr>
              <w:t>4%</w:t>
            </w:r>
          </w:p>
        </w:tc>
        <w:tc>
          <w:tcPr>
            <w:tcW w:w="1740" w:type="dxa"/>
            <w:vAlign w:val="bottom"/>
            <w:shd w:val="clear" w:color="auto" w:fill="CCEEFF"/>
          </w:tcPr>
          <w:p>
            <w:pPr>
              <w:ind w:left="8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60" w:type="dxa"/>
            <w:vAlign w:val="bottom"/>
            <w:vMerge w:val="restart"/>
          </w:tcPr>
          <w:p>
            <w:pPr>
              <w:ind w:left="940"/>
              <w:spacing w:after="0"/>
              <w:rPr>
                <w:sz w:val="20"/>
                <w:szCs w:val="20"/>
                <w:color w:val="auto"/>
              </w:rPr>
            </w:pPr>
            <w:r>
              <w:rPr>
                <w:rFonts w:ascii="Arial" w:cs="Arial" w:eastAsia="Arial" w:hAnsi="Arial"/>
                <w:sz w:val="15"/>
                <w:szCs w:val="15"/>
                <w:color w:val="auto"/>
              </w:rPr>
              <w:t>Totals</w:t>
            </w:r>
          </w:p>
        </w:tc>
        <w:tc>
          <w:tcPr>
            <w:tcW w:w="7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11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860" w:type="dxa"/>
            <w:vAlign w:val="bottom"/>
            <w:vMerge w:val="continue"/>
          </w:tcPr>
          <w:p>
            <w:pPr>
              <w:spacing w:after="0"/>
              <w:rPr>
                <w:sz w:val="15"/>
                <w:szCs w:val="15"/>
                <w:color w:val="auto"/>
              </w:rPr>
            </w:pPr>
          </w:p>
        </w:tc>
        <w:tc>
          <w:tcPr>
            <w:tcW w:w="1640" w:type="dxa"/>
            <w:vAlign w:val="bottom"/>
            <w:gridSpan w:val="2"/>
          </w:tcPr>
          <w:p>
            <w:pPr>
              <w:ind w:left="580"/>
              <w:spacing w:after="0"/>
              <w:rPr>
                <w:sz w:val="20"/>
                <w:szCs w:val="20"/>
                <w:color w:val="auto"/>
              </w:rPr>
            </w:pPr>
            <w:r>
              <w:rPr>
                <w:rFonts w:ascii="Arial" w:cs="Arial" w:eastAsia="Arial" w:hAnsi="Arial"/>
                <w:sz w:val="15"/>
                <w:szCs w:val="15"/>
                <w:color w:val="auto"/>
              </w:rPr>
              <w:t>40%</w:t>
            </w:r>
          </w:p>
        </w:tc>
        <w:tc>
          <w:tcPr>
            <w:tcW w:w="1740" w:type="dxa"/>
            <w:vAlign w:val="bottom"/>
            <w:gridSpan w:val="2"/>
          </w:tcPr>
          <w:p>
            <w:pPr>
              <w:jc w:val="right"/>
              <w:ind w:right="780"/>
              <w:spacing w:after="0"/>
              <w:rPr>
                <w:sz w:val="20"/>
                <w:szCs w:val="20"/>
                <w:color w:val="auto"/>
              </w:rPr>
            </w:pPr>
            <w:r>
              <w:rPr>
                <w:rFonts w:ascii="Arial" w:cs="Arial" w:eastAsia="Arial" w:hAnsi="Arial"/>
                <w:sz w:val="15"/>
                <w:szCs w:val="15"/>
                <w:color w:val="auto"/>
              </w:rPr>
              <w:t>8%</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 Price increases implemented in April</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(a) The amounts reported in this column are the amounts that the Company has estimated were lost due to price increases based on customer feedback and its analyses of monthly volume reports.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to Pricing Study</w:t>
      </w:r>
    </w:p>
    <w:p>
      <w:pPr>
        <w:spacing w:after="0" w:line="159" w:lineRule="exact"/>
        <w:rPr>
          <w:sz w:val="20"/>
          <w:szCs w:val="20"/>
          <w:color w:val="auto"/>
        </w:rPr>
      </w:pPr>
    </w:p>
    <w:p>
      <w:pPr>
        <w:ind w:right="460" w:firstLine="184"/>
        <w:spacing w:after="0" w:line="266" w:lineRule="auto"/>
        <w:rPr>
          <w:sz w:val="20"/>
          <w:szCs w:val="20"/>
          <w:color w:val="auto"/>
        </w:rPr>
      </w:pPr>
      <w:r>
        <w:rPr>
          <w:rFonts w:ascii="Arial" w:cs="Arial" w:eastAsia="Arial" w:hAnsi="Arial"/>
          <w:sz w:val="15"/>
          <w:szCs w:val="15"/>
          <w:color w:val="auto"/>
        </w:rPr>
        <w:t>Effective April 1, 2005, the Company added 23 transfer stations to its pricing study. Additionally, the Company has selected four Market Areas for implementation of the pricing study, beginning on May 1, 2005.</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The additional sites were chosen based upon the same general criteria as the original 30 landfills, including broad geographic scope, third party disposal volumes, and internal revenue growth.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 23 transfer stations and four Market Areas added to the study include the following:</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160" w:type="dxa"/>
            <w:vAlign w:val="bottom"/>
            <w:gridSpan w:val="3"/>
          </w:tcPr>
          <w:p>
            <w:pPr>
              <w:ind w:left="1160"/>
              <w:spacing w:after="0"/>
              <w:rPr>
                <w:sz w:val="20"/>
                <w:szCs w:val="20"/>
                <w:color w:val="auto"/>
              </w:rPr>
            </w:pPr>
            <w:r>
              <w:rPr>
                <w:rFonts w:ascii="Arial" w:cs="Arial" w:eastAsia="Arial" w:hAnsi="Arial"/>
                <w:sz w:val="12"/>
                <w:szCs w:val="12"/>
                <w:b w:val="1"/>
                <w:bCs w:val="1"/>
                <w:color w:val="auto"/>
                <w:w w:val="95"/>
              </w:rPr>
              <w:t>Transfer Stations:</w:t>
            </w:r>
          </w:p>
        </w:tc>
        <w:tc>
          <w:tcPr>
            <w:tcW w:w="1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740" w:type="dxa"/>
            <w:vAlign w:val="bottom"/>
          </w:tcPr>
          <w:p>
            <w:pPr>
              <w:spacing w:after="0"/>
              <w:rPr>
                <w:sz w:val="13"/>
                <w:szCs w:val="13"/>
                <w:color w:val="auto"/>
              </w:rPr>
            </w:pPr>
          </w:p>
        </w:tc>
      </w:tr>
      <w:tr>
        <w:trPr>
          <w:trHeight w:val="275"/>
        </w:trPr>
        <w:tc>
          <w:tcPr>
            <w:tcW w:w="1460" w:type="dxa"/>
            <w:vAlign w:val="bottom"/>
          </w:tcPr>
          <w:p>
            <w:pPr>
              <w:spacing w:after="0"/>
              <w:rPr>
                <w:sz w:val="23"/>
                <w:szCs w:val="23"/>
                <w:color w:val="auto"/>
              </w:rPr>
            </w:pPr>
          </w:p>
        </w:tc>
        <w:tc>
          <w:tcPr>
            <w:tcW w:w="700" w:type="dxa"/>
            <w:vAlign w:val="bottom"/>
            <w:gridSpan w:val="2"/>
          </w:tcPr>
          <w:p>
            <w:pPr>
              <w:spacing w:after="0"/>
              <w:rPr>
                <w:sz w:val="20"/>
                <w:szCs w:val="20"/>
                <w:color w:val="auto"/>
              </w:rPr>
            </w:pPr>
            <w:r>
              <w:rPr>
                <w:rFonts w:ascii="Arial" w:cs="Arial" w:eastAsia="Arial" w:hAnsi="Arial"/>
                <w:sz w:val="12"/>
                <w:szCs w:val="12"/>
                <w:color w:val="auto"/>
              </w:rPr>
              <w:t>Group</w:t>
            </w:r>
          </w:p>
        </w:tc>
        <w:tc>
          <w:tcPr>
            <w:tcW w:w="1780" w:type="dxa"/>
            <w:vAlign w:val="bottom"/>
          </w:tcPr>
          <w:p>
            <w:pPr>
              <w:spacing w:after="0"/>
              <w:rPr>
                <w:sz w:val="23"/>
                <w:szCs w:val="23"/>
                <w:color w:val="auto"/>
              </w:rPr>
            </w:pPr>
          </w:p>
        </w:tc>
        <w:tc>
          <w:tcPr>
            <w:tcW w:w="1520" w:type="dxa"/>
            <w:vAlign w:val="bottom"/>
            <w:gridSpan w:val="2"/>
          </w:tcPr>
          <w:p>
            <w:pPr>
              <w:spacing w:after="0"/>
              <w:rPr>
                <w:sz w:val="20"/>
                <w:szCs w:val="20"/>
                <w:color w:val="auto"/>
              </w:rPr>
            </w:pPr>
            <w:r>
              <w:rPr>
                <w:rFonts w:ascii="Arial" w:cs="Arial" w:eastAsia="Arial" w:hAnsi="Arial"/>
                <w:sz w:val="12"/>
                <w:szCs w:val="12"/>
                <w:color w:val="auto"/>
              </w:rPr>
              <w:t>Market Area</w:t>
            </w:r>
          </w:p>
        </w:tc>
        <w:tc>
          <w:tcPr>
            <w:tcW w:w="6000" w:type="dxa"/>
            <w:vAlign w:val="bottom"/>
            <w:gridSpan w:val="3"/>
          </w:tcPr>
          <w:p>
            <w:pPr>
              <w:ind w:left="2500"/>
              <w:spacing w:after="0"/>
              <w:rPr>
                <w:sz w:val="20"/>
                <w:szCs w:val="20"/>
                <w:color w:val="auto"/>
              </w:rPr>
            </w:pPr>
            <w:r>
              <w:rPr>
                <w:rFonts w:ascii="Arial" w:cs="Arial" w:eastAsia="Arial" w:hAnsi="Arial"/>
                <w:sz w:val="12"/>
                <w:szCs w:val="12"/>
                <w:color w:val="auto"/>
              </w:rPr>
              <w:t>Transfer Station</w:t>
            </w:r>
          </w:p>
        </w:tc>
      </w:tr>
      <w:tr>
        <w:trPr>
          <w:trHeight w:val="20"/>
        </w:trPr>
        <w:tc>
          <w:tcPr>
            <w:tcW w:w="1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57"/>
        </w:trPr>
        <w:tc>
          <w:tcPr>
            <w:tcW w:w="1760" w:type="dxa"/>
            <w:vAlign w:val="bottom"/>
            <w:gridSpan w:val="2"/>
          </w:tcPr>
          <w:p>
            <w:pPr>
              <w:ind w:left="1160"/>
              <w:spacing w:after="0" w:line="157" w:lineRule="exact"/>
              <w:rPr>
                <w:sz w:val="20"/>
                <w:szCs w:val="20"/>
                <w:color w:val="auto"/>
              </w:rPr>
            </w:pPr>
            <w:r>
              <w:rPr>
                <w:rFonts w:ascii="Arial" w:cs="Arial" w:eastAsia="Arial" w:hAnsi="Arial"/>
                <w:sz w:val="15"/>
                <w:szCs w:val="15"/>
                <w:color w:val="auto"/>
              </w:rPr>
              <w:t>Canada</w:t>
            </w:r>
          </w:p>
        </w:tc>
        <w:tc>
          <w:tcPr>
            <w:tcW w:w="400" w:type="dxa"/>
            <w:vAlign w:val="bottom"/>
          </w:tcPr>
          <w:p>
            <w:pPr>
              <w:spacing w:after="0"/>
              <w:rPr>
                <w:sz w:val="13"/>
                <w:szCs w:val="13"/>
                <w:color w:val="auto"/>
              </w:rPr>
            </w:pPr>
          </w:p>
        </w:tc>
        <w:tc>
          <w:tcPr>
            <w:tcW w:w="3300" w:type="dxa"/>
            <w:vAlign w:val="bottom"/>
            <w:gridSpan w:val="3"/>
          </w:tcPr>
          <w:p>
            <w:pPr>
              <w:ind w:left="100"/>
              <w:spacing w:after="0" w:line="157" w:lineRule="exact"/>
              <w:rPr>
                <w:sz w:val="20"/>
                <w:szCs w:val="20"/>
                <w:color w:val="auto"/>
              </w:rPr>
            </w:pPr>
            <w:r>
              <w:rPr>
                <w:rFonts w:ascii="Arial" w:cs="Arial" w:eastAsia="Arial" w:hAnsi="Arial"/>
                <w:sz w:val="15"/>
                <w:szCs w:val="15"/>
                <w:color w:val="auto"/>
              </w:rPr>
              <w:t>Greater Toronto</w:t>
            </w:r>
          </w:p>
        </w:tc>
        <w:tc>
          <w:tcPr>
            <w:tcW w:w="6000" w:type="dxa"/>
            <w:vAlign w:val="bottom"/>
            <w:gridSpan w:val="3"/>
          </w:tcPr>
          <w:p>
            <w:pPr>
              <w:ind w:left="920"/>
              <w:spacing w:after="0" w:line="157" w:lineRule="exact"/>
              <w:rPr>
                <w:sz w:val="20"/>
                <w:szCs w:val="20"/>
                <w:color w:val="auto"/>
              </w:rPr>
            </w:pPr>
            <w:r>
              <w:rPr>
                <w:rFonts w:ascii="Arial" w:cs="Arial" w:eastAsia="Arial" w:hAnsi="Arial"/>
                <w:sz w:val="15"/>
                <w:szCs w:val="15"/>
                <w:color w:val="auto"/>
              </w:rPr>
              <w:t>Clarington Transfer</w:t>
            </w:r>
          </w:p>
        </w:tc>
      </w:tr>
      <w:tr>
        <w:trPr>
          <w:trHeight w:val="177"/>
        </w:trPr>
        <w:tc>
          <w:tcPr>
            <w:tcW w:w="2160" w:type="dxa"/>
            <w:vAlign w:val="bottom"/>
            <w:gridSpan w:val="3"/>
          </w:tcPr>
          <w:p>
            <w:pPr>
              <w:ind w:left="1160"/>
              <w:spacing w:after="0"/>
              <w:rPr>
                <w:sz w:val="20"/>
                <w:szCs w:val="20"/>
                <w:color w:val="auto"/>
              </w:rPr>
            </w:pPr>
            <w:r>
              <w:rPr>
                <w:rFonts w:ascii="Arial" w:cs="Arial" w:eastAsia="Arial" w:hAnsi="Arial"/>
                <w:sz w:val="15"/>
                <w:szCs w:val="15"/>
                <w:color w:val="auto"/>
              </w:rPr>
              <w:t>East</w:t>
            </w: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Boston/Western Massachusetts</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PRTR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Eastern Pennsylvania</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Philadelphia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Eastern Pennsylvania</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Indian Valley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New Jersey</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Park Ridge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New Hampshire/Maine</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Auburn Transfer</w:t>
            </w:r>
          </w:p>
        </w:tc>
      </w:tr>
      <w:tr>
        <w:trPr>
          <w:trHeight w:val="177"/>
        </w:trPr>
        <w:tc>
          <w:tcPr>
            <w:tcW w:w="2160" w:type="dxa"/>
            <w:vAlign w:val="bottom"/>
            <w:gridSpan w:val="3"/>
          </w:tcPr>
          <w:p>
            <w:pPr>
              <w:ind w:left="1160"/>
              <w:spacing w:after="0"/>
              <w:rPr>
                <w:sz w:val="20"/>
                <w:szCs w:val="20"/>
                <w:color w:val="auto"/>
              </w:rPr>
            </w:pPr>
            <w:r>
              <w:rPr>
                <w:rFonts w:ascii="Arial" w:cs="Arial" w:eastAsia="Arial" w:hAnsi="Arial"/>
                <w:sz w:val="15"/>
                <w:szCs w:val="15"/>
                <w:color w:val="auto"/>
              </w:rPr>
              <w:t>Midwest</w:t>
            </w: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Colorado</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Colorado Springs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Denver</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D&amp;R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Denver</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South Metro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Illinois</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Joliet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Minnesota</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Gallagher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Wisconsin</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Sheboygan Falls Transfer</w:t>
            </w:r>
          </w:p>
        </w:tc>
      </w:tr>
      <w:tr>
        <w:trPr>
          <w:trHeight w:val="177"/>
        </w:trPr>
        <w:tc>
          <w:tcPr>
            <w:tcW w:w="2160" w:type="dxa"/>
            <w:vAlign w:val="bottom"/>
            <w:gridSpan w:val="3"/>
          </w:tcPr>
          <w:p>
            <w:pPr>
              <w:ind w:left="1160"/>
              <w:spacing w:after="0"/>
              <w:rPr>
                <w:sz w:val="20"/>
                <w:szCs w:val="20"/>
                <w:color w:val="auto"/>
              </w:rPr>
            </w:pPr>
            <w:r>
              <w:rPr>
                <w:rFonts w:ascii="Arial" w:cs="Arial" w:eastAsia="Arial" w:hAnsi="Arial"/>
                <w:sz w:val="15"/>
                <w:szCs w:val="15"/>
                <w:color w:val="auto"/>
              </w:rPr>
              <w:t>South</w:t>
            </w: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Puerto Rico</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San Juan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Central Florida</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Tall Pines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Central Florida</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Delta — Riviera Beach Transfer</w:t>
            </w:r>
          </w:p>
        </w:tc>
      </w:tr>
      <w:tr>
        <w:trPr>
          <w:trHeight w:val="177"/>
        </w:trPr>
        <w:tc>
          <w:tcPr>
            <w:tcW w:w="1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Gulf Coast</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Mobile Transfer</w:t>
            </w:r>
          </w:p>
        </w:tc>
      </w:tr>
      <w:tr>
        <w:trPr>
          <w:trHeight w:val="187"/>
        </w:trPr>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300" w:type="dxa"/>
            <w:vAlign w:val="bottom"/>
            <w:gridSpan w:val="3"/>
          </w:tcPr>
          <w:p>
            <w:pPr>
              <w:ind w:left="100"/>
              <w:spacing w:after="0"/>
              <w:rPr>
                <w:sz w:val="20"/>
                <w:szCs w:val="20"/>
                <w:color w:val="auto"/>
              </w:rPr>
            </w:pPr>
            <w:r>
              <w:rPr>
                <w:rFonts w:ascii="Arial" w:cs="Arial" w:eastAsia="Arial" w:hAnsi="Arial"/>
                <w:sz w:val="15"/>
                <w:szCs w:val="15"/>
                <w:color w:val="auto"/>
              </w:rPr>
              <w:t>Louisiana/Mississippi</w:t>
            </w:r>
          </w:p>
        </w:tc>
        <w:tc>
          <w:tcPr>
            <w:tcW w:w="6000" w:type="dxa"/>
            <w:vAlign w:val="bottom"/>
            <w:gridSpan w:val="3"/>
          </w:tcPr>
          <w:p>
            <w:pPr>
              <w:ind w:left="920"/>
              <w:spacing w:after="0"/>
              <w:rPr>
                <w:sz w:val="20"/>
                <w:szCs w:val="20"/>
                <w:color w:val="auto"/>
              </w:rPr>
            </w:pPr>
            <w:r>
              <w:rPr>
                <w:rFonts w:ascii="Arial" w:cs="Arial" w:eastAsia="Arial" w:hAnsi="Arial"/>
                <w:sz w:val="15"/>
                <w:szCs w:val="15"/>
                <w:color w:val="auto"/>
              </w:rPr>
              <w:t>St. Tammany Transfer</w:t>
            </w:r>
          </w:p>
        </w:tc>
      </w:tr>
      <w:tr>
        <w:trPr>
          <w:trHeight w:val="515"/>
        </w:trPr>
        <w:tc>
          <w:tcPr>
            <w:tcW w:w="1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5" w:name="page6"/>
    <w:bookmarkEnd w:id="5"/>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1160" w:type="dxa"/>
        <w:tblCellMar>
          <w:top w:w="0" w:type="dxa"/>
          <w:left w:w="0" w:type="dxa"/>
          <w:bottom w:w="0" w:type="dxa"/>
          <w:right w:w="0" w:type="dxa"/>
        </w:tblCellMar>
      </w:tblPr>
      <w:tr>
        <w:trPr>
          <w:trHeight w:val="177"/>
        </w:trPr>
        <w:tc>
          <w:tcPr>
            <w:tcW w:w="102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5"/>
                <w:szCs w:val="15"/>
                <w:color w:val="auto"/>
              </w:rPr>
              <w:t>Tennessee/Alabama/Kentucky</w:t>
            </w:r>
          </w:p>
        </w:tc>
        <w:tc>
          <w:tcPr>
            <w:tcW w:w="2600" w:type="dxa"/>
            <w:vAlign w:val="bottom"/>
          </w:tcPr>
          <w:p>
            <w:pPr>
              <w:ind w:left="1160"/>
              <w:spacing w:after="0"/>
              <w:rPr>
                <w:sz w:val="20"/>
                <w:szCs w:val="20"/>
                <w:color w:val="auto"/>
              </w:rPr>
            </w:pPr>
            <w:r>
              <w:rPr>
                <w:rFonts w:ascii="Arial" w:cs="Arial" w:eastAsia="Arial" w:hAnsi="Arial"/>
                <w:sz w:val="15"/>
                <w:szCs w:val="15"/>
                <w:color w:val="auto"/>
              </w:rPr>
              <w:t>Nashville Transfer</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5"/>
                <w:szCs w:val="15"/>
                <w:color w:val="auto"/>
              </w:rPr>
              <w:t>Carolinas</w:t>
            </w:r>
          </w:p>
        </w:tc>
        <w:tc>
          <w:tcPr>
            <w:tcW w:w="2600" w:type="dxa"/>
            <w:vAlign w:val="bottom"/>
          </w:tcPr>
          <w:p>
            <w:pPr>
              <w:ind w:left="1160"/>
              <w:spacing w:after="0"/>
              <w:rPr>
                <w:sz w:val="20"/>
                <w:szCs w:val="20"/>
                <w:color w:val="auto"/>
              </w:rPr>
            </w:pPr>
            <w:r>
              <w:rPr>
                <w:rFonts w:ascii="Arial" w:cs="Arial" w:eastAsia="Arial" w:hAnsi="Arial"/>
                <w:sz w:val="15"/>
                <w:szCs w:val="15"/>
                <w:color w:val="auto"/>
              </w:rPr>
              <w:t>Asheville Transfer</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20"/>
                <w:szCs w:val="20"/>
                <w:color w:val="auto"/>
              </w:rPr>
            </w:pPr>
            <w:r>
              <w:rPr>
                <w:rFonts w:ascii="Arial" w:cs="Arial" w:eastAsia="Arial" w:hAnsi="Arial"/>
                <w:sz w:val="15"/>
                <w:szCs w:val="15"/>
                <w:color w:val="auto"/>
              </w:rPr>
              <w:t>West</w:t>
            </w:r>
          </w:p>
        </w:tc>
        <w:tc>
          <w:tcPr>
            <w:tcW w:w="3040" w:type="dxa"/>
            <w:vAlign w:val="bottom"/>
          </w:tcPr>
          <w:p>
            <w:pPr>
              <w:ind w:left="80"/>
              <w:spacing w:after="0"/>
              <w:rPr>
                <w:sz w:val="20"/>
                <w:szCs w:val="20"/>
                <w:color w:val="auto"/>
              </w:rPr>
            </w:pPr>
            <w:r>
              <w:rPr>
                <w:rFonts w:ascii="Arial" w:cs="Arial" w:eastAsia="Arial" w:hAnsi="Arial"/>
                <w:sz w:val="15"/>
                <w:szCs w:val="15"/>
                <w:color w:val="auto"/>
              </w:rPr>
              <w:t>Los Angeles</w:t>
            </w:r>
          </w:p>
        </w:tc>
        <w:tc>
          <w:tcPr>
            <w:tcW w:w="2600" w:type="dxa"/>
            <w:vAlign w:val="bottom"/>
          </w:tcPr>
          <w:p>
            <w:pPr>
              <w:ind w:left="1160"/>
              <w:spacing w:after="0"/>
              <w:rPr>
                <w:sz w:val="20"/>
                <w:szCs w:val="20"/>
                <w:color w:val="auto"/>
              </w:rPr>
            </w:pPr>
            <w:r>
              <w:rPr>
                <w:rFonts w:ascii="Arial" w:cs="Arial" w:eastAsia="Arial" w:hAnsi="Arial"/>
                <w:sz w:val="15"/>
                <w:szCs w:val="15"/>
                <w:color w:val="auto"/>
              </w:rPr>
              <w:t>Carson Transfer</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5"/>
                <w:szCs w:val="15"/>
                <w:color w:val="auto"/>
              </w:rPr>
              <w:t>North Bay</w:t>
            </w:r>
          </w:p>
        </w:tc>
        <w:tc>
          <w:tcPr>
            <w:tcW w:w="2600" w:type="dxa"/>
            <w:vAlign w:val="bottom"/>
          </w:tcPr>
          <w:p>
            <w:pPr>
              <w:ind w:left="1160"/>
              <w:spacing w:after="0"/>
              <w:rPr>
                <w:sz w:val="20"/>
                <w:szCs w:val="20"/>
                <w:color w:val="auto"/>
              </w:rPr>
            </w:pPr>
            <w:r>
              <w:rPr>
                <w:rFonts w:ascii="Arial" w:cs="Arial" w:eastAsia="Arial" w:hAnsi="Arial"/>
                <w:sz w:val="15"/>
                <w:szCs w:val="15"/>
                <w:color w:val="auto"/>
              </w:rPr>
              <w:t>Davis Street Transfer</w:t>
            </w:r>
          </w:p>
        </w:tc>
        <w:tc>
          <w:tcPr>
            <w:tcW w:w="0" w:type="dxa"/>
            <w:vAlign w:val="bottom"/>
          </w:tcPr>
          <w:p>
            <w:pPr>
              <w:spacing w:after="0"/>
              <w:rPr>
                <w:sz w:val="1"/>
                <w:szCs w:val="1"/>
                <w:color w:val="auto"/>
              </w:rPr>
            </w:pPr>
          </w:p>
        </w:tc>
      </w:tr>
      <w:tr>
        <w:trPr>
          <w:trHeight w:val="177"/>
        </w:trPr>
        <w:tc>
          <w:tcPr>
            <w:tcW w:w="1020" w:type="dxa"/>
            <w:vAlign w:val="bottom"/>
          </w:tcPr>
          <w:p>
            <w:pPr>
              <w:spacing w:after="0"/>
              <w:rPr>
                <w:sz w:val="15"/>
                <w:szCs w:val="15"/>
                <w:color w:val="auto"/>
              </w:rPr>
            </w:pPr>
          </w:p>
        </w:tc>
        <w:tc>
          <w:tcPr>
            <w:tcW w:w="3040" w:type="dxa"/>
            <w:vAlign w:val="bottom"/>
          </w:tcPr>
          <w:p>
            <w:pPr>
              <w:ind w:left="80"/>
              <w:spacing w:after="0"/>
              <w:rPr>
                <w:sz w:val="20"/>
                <w:szCs w:val="20"/>
                <w:color w:val="auto"/>
              </w:rPr>
            </w:pPr>
            <w:r>
              <w:rPr>
                <w:rFonts w:ascii="Arial" w:cs="Arial" w:eastAsia="Arial" w:hAnsi="Arial"/>
                <w:sz w:val="15"/>
                <w:szCs w:val="15"/>
                <w:color w:val="auto"/>
              </w:rPr>
              <w:t>San Diego/Orange County</w:t>
            </w:r>
          </w:p>
        </w:tc>
        <w:tc>
          <w:tcPr>
            <w:tcW w:w="2600" w:type="dxa"/>
            <w:vAlign w:val="bottom"/>
          </w:tcPr>
          <w:p>
            <w:pPr>
              <w:ind w:left="1160"/>
              <w:spacing w:after="0"/>
              <w:rPr>
                <w:sz w:val="20"/>
                <w:szCs w:val="20"/>
                <w:color w:val="auto"/>
              </w:rPr>
            </w:pPr>
            <w:r>
              <w:rPr>
                <w:rFonts w:ascii="Arial" w:cs="Arial" w:eastAsia="Arial" w:hAnsi="Arial"/>
                <w:sz w:val="15"/>
                <w:szCs w:val="15"/>
                <w:color w:val="auto"/>
                <w:w w:val="87"/>
              </w:rPr>
              <w:t>Orange County Transfer</w:t>
            </w:r>
          </w:p>
        </w:tc>
        <w:tc>
          <w:tcPr>
            <w:tcW w:w="0" w:type="dxa"/>
            <w:vAlign w:val="bottom"/>
          </w:tcPr>
          <w:p>
            <w:pPr>
              <w:spacing w:after="0"/>
              <w:rPr>
                <w:sz w:val="1"/>
                <w:szCs w:val="1"/>
                <w:color w:val="auto"/>
              </w:rPr>
            </w:pPr>
          </w:p>
        </w:tc>
      </w:tr>
      <w:tr>
        <w:trPr>
          <w:trHeight w:val="187"/>
        </w:trPr>
        <w:tc>
          <w:tcPr>
            <w:tcW w:w="1020" w:type="dxa"/>
            <w:vAlign w:val="bottom"/>
            <w:vMerge w:val="restart"/>
          </w:tcPr>
          <w:p>
            <w:pPr>
              <w:spacing w:after="0"/>
              <w:rPr>
                <w:sz w:val="20"/>
                <w:szCs w:val="20"/>
                <w:color w:val="auto"/>
              </w:rPr>
            </w:pPr>
            <w:r>
              <w:rPr>
                <w:rFonts w:ascii="Arial" w:cs="Arial" w:eastAsia="Arial" w:hAnsi="Arial"/>
                <w:sz w:val="15"/>
                <w:szCs w:val="15"/>
                <w:b w:val="1"/>
                <w:bCs w:val="1"/>
                <w:color w:val="auto"/>
              </w:rPr>
              <w:t>Market Areas:</w:t>
            </w:r>
          </w:p>
        </w:tc>
        <w:tc>
          <w:tcPr>
            <w:tcW w:w="3040" w:type="dxa"/>
            <w:vAlign w:val="bottom"/>
          </w:tcPr>
          <w:p>
            <w:pPr>
              <w:ind w:left="80"/>
              <w:spacing w:after="0"/>
              <w:rPr>
                <w:sz w:val="20"/>
                <w:szCs w:val="20"/>
                <w:color w:val="auto"/>
              </w:rPr>
            </w:pPr>
            <w:r>
              <w:rPr>
                <w:rFonts w:ascii="Arial" w:cs="Arial" w:eastAsia="Arial" w:hAnsi="Arial"/>
                <w:sz w:val="15"/>
                <w:szCs w:val="15"/>
                <w:color w:val="auto"/>
              </w:rPr>
              <w:t>Sacramento</w:t>
            </w:r>
          </w:p>
        </w:tc>
        <w:tc>
          <w:tcPr>
            <w:tcW w:w="2600" w:type="dxa"/>
            <w:vAlign w:val="bottom"/>
          </w:tcPr>
          <w:p>
            <w:pPr>
              <w:ind w:left="1160"/>
              <w:spacing w:after="0"/>
              <w:rPr>
                <w:sz w:val="20"/>
                <w:szCs w:val="20"/>
                <w:color w:val="auto"/>
              </w:rPr>
            </w:pPr>
            <w:r>
              <w:rPr>
                <w:rFonts w:ascii="Arial" w:cs="Arial" w:eastAsia="Arial" w:hAnsi="Arial"/>
                <w:sz w:val="15"/>
                <w:szCs w:val="15"/>
                <w:color w:val="auto"/>
              </w:rPr>
              <w:t>Fresno Transfer</w:t>
            </w:r>
          </w:p>
        </w:tc>
        <w:tc>
          <w:tcPr>
            <w:tcW w:w="0" w:type="dxa"/>
            <w:vAlign w:val="bottom"/>
          </w:tcPr>
          <w:p>
            <w:pPr>
              <w:spacing w:after="0"/>
              <w:rPr>
                <w:sz w:val="1"/>
                <w:szCs w:val="1"/>
                <w:color w:val="auto"/>
              </w:rPr>
            </w:pPr>
          </w:p>
        </w:tc>
      </w:tr>
      <w:tr>
        <w:trPr>
          <w:trHeight w:val="166"/>
        </w:trPr>
        <w:tc>
          <w:tcPr>
            <w:tcW w:w="1020" w:type="dxa"/>
            <w:vAlign w:val="bottom"/>
            <w:vMerge w:val="continue"/>
          </w:tcPr>
          <w:p>
            <w:pPr>
              <w:spacing w:after="0"/>
              <w:rPr>
                <w:sz w:val="14"/>
                <w:szCs w:val="14"/>
                <w:color w:val="auto"/>
              </w:rPr>
            </w:pPr>
          </w:p>
        </w:tc>
        <w:tc>
          <w:tcPr>
            <w:tcW w:w="30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rPr>
                <w:sz w:val="20"/>
                <w:szCs w:val="20"/>
                <w:color w:val="auto"/>
              </w:rPr>
            </w:pPr>
            <w:r>
              <w:rPr>
                <w:rFonts w:ascii="Arial" w:cs="Arial" w:eastAsia="Arial" w:hAnsi="Arial"/>
                <w:sz w:val="15"/>
                <w:szCs w:val="15"/>
                <w:color w:val="auto"/>
              </w:rPr>
              <w:t>East</w:t>
            </w:r>
          </w:p>
        </w:tc>
        <w:tc>
          <w:tcPr>
            <w:tcW w:w="3040" w:type="dxa"/>
            <w:vAlign w:val="bottom"/>
          </w:tcPr>
          <w:p>
            <w:pPr>
              <w:ind w:left="80"/>
              <w:spacing w:after="0"/>
              <w:rPr>
                <w:sz w:val="20"/>
                <w:szCs w:val="20"/>
                <w:color w:val="auto"/>
              </w:rPr>
            </w:pPr>
            <w:r>
              <w:rPr>
                <w:rFonts w:ascii="Arial" w:cs="Arial" w:eastAsia="Arial" w:hAnsi="Arial"/>
                <w:sz w:val="15"/>
                <w:szCs w:val="15"/>
                <w:color w:val="auto"/>
              </w:rPr>
              <w:t>Virginia/Maryland</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rPr>
                <w:sz w:val="20"/>
                <w:szCs w:val="20"/>
                <w:color w:val="auto"/>
              </w:rPr>
            </w:pPr>
            <w:r>
              <w:rPr>
                <w:rFonts w:ascii="Arial" w:cs="Arial" w:eastAsia="Arial" w:hAnsi="Arial"/>
                <w:sz w:val="15"/>
                <w:szCs w:val="15"/>
                <w:color w:val="auto"/>
              </w:rPr>
              <w:t>Midwest</w:t>
            </w:r>
          </w:p>
        </w:tc>
        <w:tc>
          <w:tcPr>
            <w:tcW w:w="3040" w:type="dxa"/>
            <w:vAlign w:val="bottom"/>
          </w:tcPr>
          <w:p>
            <w:pPr>
              <w:ind w:left="80"/>
              <w:spacing w:after="0"/>
              <w:rPr>
                <w:sz w:val="20"/>
                <w:szCs w:val="20"/>
                <w:color w:val="auto"/>
              </w:rPr>
            </w:pPr>
            <w:r>
              <w:rPr>
                <w:rFonts w:ascii="Arial" w:cs="Arial" w:eastAsia="Arial" w:hAnsi="Arial"/>
                <w:sz w:val="15"/>
                <w:szCs w:val="15"/>
                <w:color w:val="auto"/>
              </w:rPr>
              <w:t>Michigan</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020" w:type="dxa"/>
            <w:vAlign w:val="bottom"/>
          </w:tcPr>
          <w:p>
            <w:pPr>
              <w:spacing w:after="0"/>
              <w:rPr>
                <w:sz w:val="20"/>
                <w:szCs w:val="20"/>
                <w:color w:val="auto"/>
              </w:rPr>
            </w:pPr>
            <w:r>
              <w:rPr>
                <w:rFonts w:ascii="Arial" w:cs="Arial" w:eastAsia="Arial" w:hAnsi="Arial"/>
                <w:sz w:val="15"/>
                <w:szCs w:val="15"/>
                <w:color w:val="auto"/>
              </w:rPr>
              <w:t>South</w:t>
            </w:r>
          </w:p>
        </w:tc>
        <w:tc>
          <w:tcPr>
            <w:tcW w:w="3040" w:type="dxa"/>
            <w:vAlign w:val="bottom"/>
          </w:tcPr>
          <w:p>
            <w:pPr>
              <w:ind w:left="80"/>
              <w:spacing w:after="0"/>
              <w:rPr>
                <w:sz w:val="20"/>
                <w:szCs w:val="20"/>
                <w:color w:val="auto"/>
              </w:rPr>
            </w:pPr>
            <w:r>
              <w:rPr>
                <w:rFonts w:ascii="Arial" w:cs="Arial" w:eastAsia="Arial" w:hAnsi="Arial"/>
                <w:sz w:val="15"/>
                <w:szCs w:val="15"/>
                <w:color w:val="auto"/>
              </w:rPr>
              <w:t>Houston</w:t>
            </w:r>
          </w:p>
        </w:tc>
        <w:tc>
          <w:tcPr>
            <w:tcW w:w="2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20" w:type="dxa"/>
            <w:vAlign w:val="bottom"/>
          </w:tcPr>
          <w:p>
            <w:pPr>
              <w:spacing w:after="0"/>
              <w:rPr>
                <w:sz w:val="20"/>
                <w:szCs w:val="20"/>
                <w:color w:val="auto"/>
              </w:rPr>
            </w:pPr>
            <w:r>
              <w:rPr>
                <w:rFonts w:ascii="Arial" w:cs="Arial" w:eastAsia="Arial" w:hAnsi="Arial"/>
                <w:sz w:val="15"/>
                <w:szCs w:val="15"/>
                <w:color w:val="auto"/>
              </w:rPr>
              <w:t>West</w:t>
            </w:r>
          </w:p>
        </w:tc>
        <w:tc>
          <w:tcPr>
            <w:tcW w:w="3040" w:type="dxa"/>
            <w:vAlign w:val="bottom"/>
          </w:tcPr>
          <w:p>
            <w:pPr>
              <w:ind w:left="80"/>
              <w:spacing w:after="0"/>
              <w:rPr>
                <w:sz w:val="20"/>
                <w:szCs w:val="20"/>
                <w:color w:val="auto"/>
              </w:rPr>
            </w:pPr>
            <w:r>
              <w:rPr>
                <w:rFonts w:ascii="Arial" w:cs="Arial" w:eastAsia="Arial" w:hAnsi="Arial"/>
                <w:sz w:val="15"/>
                <w:szCs w:val="15"/>
                <w:color w:val="auto"/>
              </w:rPr>
              <w:t>Arizona</w:t>
            </w: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60" w:firstLine="181"/>
        <w:spacing w:after="0" w:line="313" w:lineRule="auto"/>
        <w:rPr>
          <w:sz w:val="20"/>
          <w:szCs w:val="20"/>
          <w:color w:val="auto"/>
        </w:rPr>
      </w:pPr>
      <w:r>
        <w:rPr>
          <w:rFonts w:ascii="Arial" w:cs="Arial" w:eastAsia="Arial" w:hAnsi="Arial"/>
          <w:sz w:val="13"/>
          <w:szCs w:val="13"/>
          <w:color w:val="auto"/>
        </w:rPr>
        <w:t>The price increases at the added transfer stations and landfills will be on municipal solid waste (“MSW”) and/or construction and demolition (“C&amp;D”) waste, and will be effective immediately. The Company expects that the price increases generally will range from 2.5% to 7.5%. However, some customers will be temporarily exempted from the price increase, either because of a recent price increase or certain other factors. Pricing for customers under contract will be increased pursuant to the terms of the customers’ agreements.</w:t>
      </w:r>
    </w:p>
    <w:p>
      <w:pPr>
        <w:spacing w:after="0" w:line="89" w:lineRule="exact"/>
        <w:rPr>
          <w:sz w:val="20"/>
          <w:szCs w:val="20"/>
          <w:color w:val="auto"/>
        </w:rPr>
      </w:pPr>
    </w:p>
    <w:p>
      <w:pPr>
        <w:ind w:right="60" w:firstLine="181"/>
        <w:spacing w:after="0" w:line="266" w:lineRule="auto"/>
        <w:rPr>
          <w:sz w:val="20"/>
          <w:szCs w:val="20"/>
          <w:color w:val="auto"/>
        </w:rPr>
      </w:pPr>
      <w:r>
        <w:rPr>
          <w:rFonts w:ascii="Arial" w:cs="Arial" w:eastAsia="Arial" w:hAnsi="Arial"/>
          <w:sz w:val="15"/>
          <w:szCs w:val="15"/>
          <w:color w:val="auto"/>
        </w:rPr>
        <w:t>The tonnage received at 65 landfills and 46 transfer stations sites now included in the study represent approximately 21% of the Company’s total MSW and C&amp;D volumes for 2004. All price increases implemented since January 1, 2005 will be included in any future reports of the results of the study.</w:t>
      </w:r>
    </w:p>
    <w:p>
      <w:pPr>
        <w:spacing w:after="0" w:line="115" w:lineRule="exact"/>
        <w:rPr>
          <w:sz w:val="20"/>
          <w:szCs w:val="20"/>
          <w:color w:val="auto"/>
        </w:rPr>
      </w:pPr>
    </w:p>
    <w:p>
      <w:pPr>
        <w:ind w:firstLine="184"/>
        <w:spacing w:after="0" w:line="271" w:lineRule="auto"/>
        <w:rPr>
          <w:sz w:val="20"/>
          <w:szCs w:val="20"/>
          <w:color w:val="auto"/>
        </w:rPr>
      </w:pPr>
      <w:r>
        <w:rPr>
          <w:rFonts w:ascii="Arial" w:cs="Arial" w:eastAsia="Arial" w:hAnsi="Arial"/>
          <w:sz w:val="14"/>
          <w:szCs w:val="14"/>
          <w:i w:val="1"/>
          <w:iCs w:val="1"/>
          <w:color w:val="auto"/>
        </w:rPr>
        <w:t>Certain statements contained in Item 7 of this Form 8-K include statements that are “forward-looking statements.” There are risks that the Company faces that could cause actual results to be materially different from those that may be set forth in forward-looking statements made by the Company. There also may be additional risks that the Company does not presently know or that it currently believes are immaterial which could also impair its business and results of operations. You are cautioned not to place undue reliance on these forward-looking statements, which speak only as of their dates. The Company undertakes no obligation to publicly update or revise any forward-looking statements, whether as a result of new information, future events or otherwise. Additional information regarding factors that could materially affect results and the accuracy of the forward-looking statements contained herein may be found in Part I, Item 1 of the Company’s Annual Report on Form 10-K for the year ended December 31, 2004.</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(c) Exhibits</w:t>
      </w:r>
    </w:p>
    <w:p>
      <w:pPr>
        <w:spacing w:after="0" w:line="148" w:lineRule="exact"/>
        <w:rPr>
          <w:sz w:val="20"/>
          <w:szCs w:val="20"/>
          <w:color w:val="auto"/>
        </w:rPr>
      </w:pPr>
    </w:p>
    <w:p>
      <w:pPr>
        <w:spacing w:after="0"/>
        <w:tabs>
          <w:tab w:leader="none" w:pos="1060" w:val="left"/>
        </w:tabs>
        <w:rPr>
          <w:sz w:val="20"/>
          <w:szCs w:val="20"/>
          <w:color w:val="auto"/>
        </w:rPr>
      </w:pPr>
      <w:r>
        <w:rPr>
          <w:rFonts w:ascii="Arial" w:cs="Arial" w:eastAsia="Arial" w:hAnsi="Arial"/>
          <w:sz w:val="15"/>
          <w:szCs w:val="15"/>
          <w:color w:val="auto"/>
        </w:rPr>
        <w:t>Exhibit 99:</w:t>
      </w:r>
      <w:r>
        <w:rPr>
          <w:sz w:val="20"/>
          <w:szCs w:val="20"/>
          <w:color w:val="auto"/>
        </w:rPr>
        <w:tab/>
      </w:r>
      <w:r>
        <w:rPr>
          <w:rFonts w:ascii="Arial" w:cs="Arial" w:eastAsia="Arial" w:hAnsi="Arial"/>
          <w:sz w:val="13"/>
          <w:szCs w:val="13"/>
          <w:color w:val="auto"/>
        </w:rPr>
        <w:t>Press Release dated April 28,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328930</wp:posOffset>
            </wp:positionV>
            <wp:extent cx="7277100"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7100" cy="19685"/>
                    </a:xfrm>
                    <a:prstGeom prst="rect">
                      <a:avLst/>
                    </a:prstGeom>
                    <a:noFill/>
                  </pic:spPr>
                </pic:pic>
              </a:graphicData>
            </a:graphic>
          </wp:anchor>
        </w:drawing>
      </w:r>
    </w:p>
    <w:p>
      <w:pPr>
        <w:sectPr>
          <w:pgSz w:w="11900" w:h="16838" w:orient="portrait"/>
          <w:cols w:equalWidth="0" w:num="1">
            <w:col w:w="11440"/>
          </w:cols>
          <w:pgMar w:left="220" w:top="368" w:right="239" w:bottom="1440" w:gutter="0" w:footer="0" w:header="0"/>
        </w:sectPr>
      </w:pPr>
    </w:p>
    <w:bookmarkStart w:id="6" w:name="page7"/>
    <w:bookmarkEnd w:id="6"/>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Pursuant to the requirements of the Securities Exchange Act of 1934, the registrant has caused this report to be signed on its behalf by the undersigned, hereunto duly authorized.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20" w:type="dxa"/>
            <w:vAlign w:val="bottom"/>
          </w:tcPr>
          <w:p>
            <w:pPr>
              <w:spacing w:after="0"/>
              <w:rPr>
                <w:sz w:val="16"/>
                <w:szCs w:val="16"/>
                <w:color w:val="auto"/>
              </w:rPr>
            </w:pPr>
          </w:p>
        </w:tc>
        <w:tc>
          <w:tcPr>
            <w:tcW w:w="6460" w:type="dxa"/>
            <w:vAlign w:val="bottom"/>
            <w:gridSpan w:val="2"/>
          </w:tcPr>
          <w:p>
            <w:pPr>
              <w:ind w:left="2100"/>
              <w:spacing w:after="0"/>
              <w:rPr>
                <w:sz w:val="20"/>
                <w:szCs w:val="20"/>
                <w:color w:val="auto"/>
              </w:rPr>
            </w:pPr>
            <w:r>
              <w:rPr>
                <w:rFonts w:ascii="Arial" w:cs="Arial" w:eastAsia="Arial" w:hAnsi="Arial"/>
                <w:sz w:val="15"/>
                <w:szCs w:val="15"/>
                <w:color w:val="auto"/>
              </w:rPr>
              <w:t>WASTE MANAGEMENT, INC.</w:t>
            </w:r>
          </w:p>
        </w:tc>
        <w:tc>
          <w:tcPr>
            <w:tcW w:w="1680" w:type="dxa"/>
            <w:vAlign w:val="bottom"/>
          </w:tcPr>
          <w:p>
            <w:pPr>
              <w:spacing w:after="0"/>
              <w:rPr>
                <w:sz w:val="16"/>
                <w:szCs w:val="16"/>
                <w:color w:val="auto"/>
              </w:rPr>
            </w:pPr>
          </w:p>
        </w:tc>
      </w:tr>
      <w:tr>
        <w:trPr>
          <w:trHeight w:val="353"/>
        </w:trPr>
        <w:tc>
          <w:tcPr>
            <w:tcW w:w="3320" w:type="dxa"/>
            <w:vAlign w:val="bottom"/>
          </w:tcPr>
          <w:p>
            <w:pPr>
              <w:spacing w:after="0"/>
              <w:rPr>
                <w:sz w:val="20"/>
                <w:szCs w:val="20"/>
                <w:color w:val="auto"/>
              </w:rPr>
            </w:pPr>
            <w:r>
              <w:rPr>
                <w:rFonts w:ascii="Arial" w:cs="Arial" w:eastAsia="Arial" w:hAnsi="Arial"/>
                <w:sz w:val="15"/>
                <w:szCs w:val="15"/>
                <w:color w:val="auto"/>
              </w:rPr>
              <w:t>Date: April 28, 2005</w:t>
            </w:r>
          </w:p>
        </w:tc>
        <w:tc>
          <w:tcPr>
            <w:tcW w:w="6460" w:type="dxa"/>
            <w:vAlign w:val="bottom"/>
            <w:gridSpan w:val="2"/>
          </w:tcPr>
          <w:p>
            <w:pPr>
              <w:ind w:left="2100"/>
              <w:spacing w:after="0"/>
              <w:rPr>
                <w:sz w:val="20"/>
                <w:szCs w:val="20"/>
                <w:color w:val="auto"/>
              </w:rPr>
            </w:pPr>
            <w:r>
              <w:rPr>
                <w:rFonts w:ascii="Arial" w:cs="Arial" w:eastAsia="Arial" w:hAnsi="Arial"/>
                <w:sz w:val="15"/>
                <w:szCs w:val="15"/>
                <w:color w:val="auto"/>
              </w:rPr>
              <w:t>By: /s/ Rick L Wittenbraker</w:t>
            </w:r>
          </w:p>
        </w:tc>
        <w:tc>
          <w:tcPr>
            <w:tcW w:w="1680" w:type="dxa"/>
            <w:vAlign w:val="bottom"/>
          </w:tcPr>
          <w:p>
            <w:pPr>
              <w:spacing w:after="0"/>
              <w:rPr>
                <w:sz w:val="24"/>
                <w:szCs w:val="24"/>
                <w:color w:val="auto"/>
              </w:rPr>
            </w:pPr>
          </w:p>
        </w:tc>
      </w:tr>
      <w:tr>
        <w:trPr>
          <w:trHeight w:val="157"/>
        </w:trPr>
        <w:tc>
          <w:tcPr>
            <w:tcW w:w="33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4080" w:type="dxa"/>
            <w:vAlign w:val="bottom"/>
            <w:tcBorders>
              <w:top w:val="single" w:sz="8" w:color="auto"/>
            </w:tcBorders>
          </w:tcPr>
          <w:p>
            <w:pPr>
              <w:spacing w:after="0" w:line="157" w:lineRule="exact"/>
              <w:rPr>
                <w:sz w:val="20"/>
                <w:szCs w:val="20"/>
                <w:color w:val="auto"/>
              </w:rPr>
            </w:pPr>
            <w:r>
              <w:rPr>
                <w:rFonts w:ascii="Arial" w:cs="Arial" w:eastAsia="Arial" w:hAnsi="Arial"/>
                <w:sz w:val="15"/>
                <w:szCs w:val="15"/>
                <w:color w:val="auto"/>
              </w:rPr>
              <w:t>Rick L Wittenbraker</w:t>
            </w:r>
          </w:p>
        </w:tc>
        <w:tc>
          <w:tcPr>
            <w:tcW w:w="1680" w:type="dxa"/>
            <w:vAlign w:val="bottom"/>
          </w:tcPr>
          <w:p>
            <w:pPr>
              <w:spacing w:after="0"/>
              <w:rPr>
                <w:sz w:val="13"/>
                <w:szCs w:val="13"/>
                <w:color w:val="auto"/>
              </w:rPr>
            </w:pPr>
          </w:p>
        </w:tc>
      </w:tr>
      <w:tr>
        <w:trPr>
          <w:trHeight w:val="187"/>
        </w:trPr>
        <w:tc>
          <w:tcPr>
            <w:tcW w:w="3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80" w:type="dxa"/>
            <w:vAlign w:val="bottom"/>
          </w:tcPr>
          <w:p>
            <w:pPr>
              <w:spacing w:after="0"/>
              <w:rPr>
                <w:sz w:val="20"/>
                <w:szCs w:val="20"/>
                <w:color w:val="auto"/>
              </w:rPr>
            </w:pPr>
            <w:r>
              <w:rPr>
                <w:rFonts w:ascii="Arial" w:cs="Arial" w:eastAsia="Arial" w:hAnsi="Arial"/>
                <w:sz w:val="15"/>
                <w:szCs w:val="15"/>
                <w:color w:val="auto"/>
              </w:rPr>
              <w:t>Senior Vice President</w:t>
            </w:r>
          </w:p>
        </w:tc>
        <w:tc>
          <w:tcPr>
            <w:tcW w:w="1680" w:type="dxa"/>
            <w:vAlign w:val="bottom"/>
          </w:tcPr>
          <w:p>
            <w:pPr>
              <w:spacing w:after="0"/>
              <w:rPr>
                <w:sz w:val="16"/>
                <w:szCs w:val="16"/>
                <w:color w:val="auto"/>
              </w:rPr>
            </w:pPr>
          </w:p>
        </w:tc>
      </w:tr>
      <w:tr>
        <w:trPr>
          <w:trHeight w:val="504"/>
        </w:trPr>
        <w:tc>
          <w:tcPr>
            <w:tcW w:w="3320" w:type="dxa"/>
            <w:vAlign w:val="bottom"/>
            <w:tcBorders>
              <w:bottom w:val="single" w:sz="8" w:color="808080"/>
            </w:tcBorders>
          </w:tcPr>
          <w:p>
            <w:pPr>
              <w:spacing w:after="0"/>
              <w:rPr>
                <w:sz w:val="24"/>
                <w:szCs w:val="24"/>
                <w:color w:val="auto"/>
              </w:rPr>
            </w:pPr>
          </w:p>
        </w:tc>
        <w:tc>
          <w:tcPr>
            <w:tcW w:w="238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7266940</wp:posOffset>
            </wp:positionH>
            <wp:positionV relativeFrom="paragraph">
              <wp:posOffset>-12700</wp:posOffset>
            </wp:positionV>
            <wp:extent cx="1270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60"/>
          </w:cols>
          <w:pgMar w:left="220" w:top="368" w:right="219" w:bottom="1440" w:gutter="0" w:footer="0" w:header="0"/>
        </w:sectPr>
      </w:pPr>
    </w:p>
    <w:bookmarkStart w:id="7" w:name="page8"/>
    <w:bookmarkEnd w:id="7"/>
    <w:p>
      <w:pPr>
        <w:spacing w:after="0"/>
        <w:rPr>
          <w:rFonts w:ascii="Arial" w:cs="Arial" w:eastAsia="Arial" w:hAnsi="Arial"/>
          <w:sz w:val="15"/>
          <w:szCs w:val="15"/>
          <w:b w:val="1"/>
          <w:bCs w:val="1"/>
          <w:u w:val="single" w:color="auto"/>
          <w:color w:val="0000EE"/>
        </w:rPr>
      </w:pPr>
      <w:hyperlink w:anchor="page3">
        <w:r>
          <w:rPr>
            <w:rFonts w:ascii="Arial" w:cs="Arial" w:eastAsia="Arial" w:hAnsi="Arial"/>
            <w:sz w:val="15"/>
            <w:szCs w:val="15"/>
            <w:b w:val="1"/>
            <w:bCs w:val="1"/>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89"/>
              </w:rPr>
              <w:t>Exhibit Index</w:t>
            </w:r>
          </w:p>
        </w:tc>
      </w:tr>
      <w:tr>
        <w:trPr>
          <w:trHeight w:val="477"/>
        </w:trPr>
        <w:tc>
          <w:tcPr>
            <w:tcW w:w="1040" w:type="dxa"/>
            <w:vAlign w:val="bottom"/>
          </w:tcPr>
          <w:p>
            <w:pPr>
              <w:spacing w:after="0"/>
              <w:rPr>
                <w:sz w:val="20"/>
                <w:szCs w:val="20"/>
                <w:color w:val="auto"/>
              </w:rPr>
            </w:pPr>
            <w:r>
              <w:rPr>
                <w:rFonts w:ascii="Arial" w:cs="Arial" w:eastAsia="Arial" w:hAnsi="Arial"/>
                <w:sz w:val="15"/>
                <w:szCs w:val="15"/>
                <w:b w:val="1"/>
                <w:bCs w:val="1"/>
                <w:color w:val="auto"/>
                <w:w w:val="91"/>
              </w:rPr>
              <w:t>Exhibit Number</w:t>
            </w:r>
          </w:p>
        </w:tc>
        <w:tc>
          <w:tcPr>
            <w:tcW w:w="5120" w:type="dxa"/>
            <w:vAlign w:val="bottom"/>
            <w:gridSpan w:val="4"/>
          </w:tcPr>
          <w:p>
            <w:pPr>
              <w:ind w:left="2980"/>
              <w:spacing w:after="0"/>
              <w:rPr>
                <w:sz w:val="20"/>
                <w:szCs w:val="20"/>
                <w:color w:val="auto"/>
              </w:rPr>
            </w:pPr>
            <w:r>
              <w:rPr>
                <w:rFonts w:ascii="Arial" w:cs="Arial" w:eastAsia="Arial" w:hAnsi="Arial"/>
                <w:sz w:val="15"/>
                <w:szCs w:val="15"/>
                <w:b w:val="1"/>
                <w:bCs w:val="1"/>
                <w:color w:val="auto"/>
              </w:rPr>
              <w:t>Description</w:t>
            </w:r>
          </w:p>
        </w:tc>
      </w:tr>
      <w:tr>
        <w:trPr>
          <w:trHeight w:val="20"/>
        </w:trPr>
        <w:tc>
          <w:tcPr>
            <w:tcW w:w="10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366"/>
        </w:trPr>
        <w:tc>
          <w:tcPr>
            <w:tcW w:w="1040" w:type="dxa"/>
            <w:vAlign w:val="bottom"/>
          </w:tcPr>
          <w:p>
            <w:pPr>
              <w:spacing w:after="0"/>
              <w:rPr>
                <w:sz w:val="20"/>
                <w:szCs w:val="20"/>
                <w:color w:val="auto"/>
              </w:rPr>
            </w:pPr>
            <w:r>
              <w:rPr>
                <w:rFonts w:ascii="Arial" w:cs="Arial" w:eastAsia="Arial" w:hAnsi="Arial"/>
                <w:sz w:val="15"/>
                <w:szCs w:val="15"/>
                <w:color w:val="auto"/>
              </w:rPr>
              <w:t>99</w:t>
            </w:r>
          </w:p>
        </w:tc>
        <w:tc>
          <w:tcPr>
            <w:tcW w:w="5120" w:type="dxa"/>
            <w:vAlign w:val="bottom"/>
            <w:gridSpan w:val="4"/>
          </w:tcPr>
          <w:p>
            <w:pPr>
              <w:ind w:left="2980"/>
              <w:spacing w:after="0"/>
              <w:rPr>
                <w:sz w:val="20"/>
                <w:szCs w:val="20"/>
                <w:color w:val="auto"/>
              </w:rPr>
            </w:pPr>
            <w:r>
              <w:rPr>
                <w:rFonts w:ascii="Arial" w:cs="Arial" w:eastAsia="Arial" w:hAnsi="Arial"/>
                <w:sz w:val="15"/>
                <w:szCs w:val="15"/>
                <w:color w:val="auto"/>
                <w:w w:val="89"/>
              </w:rPr>
              <w:t>Press Release dated April 28, 2005</w:t>
            </w:r>
          </w:p>
        </w:tc>
      </w:tr>
    </w:tbl>
    <w:p>
      <w:pPr>
        <w:sectPr>
          <w:pgSz w:w="11900" w:h="16838" w:orient="portrait"/>
          <w:cols w:equalWidth="0" w:num="1">
            <w:col w:w="10239"/>
          </w:cols>
          <w:pgMar w:left="220" w:top="368" w:right="1440" w:bottom="1440" w:gutter="0" w:footer="0" w:header="0"/>
        </w:sectPr>
      </w:pPr>
    </w:p>
    <w:bookmarkStart w:id="8" w:name="page9"/>
    <w:bookmarkEnd w:id="8"/>
    <w:p>
      <w:pPr>
        <w:ind w:left="780"/>
        <w:spacing w:after="0"/>
        <w:rPr>
          <w:sz w:val="20"/>
          <w:szCs w:val="20"/>
          <w:color w:val="auto"/>
        </w:rPr>
      </w:pPr>
      <w:r>
        <w:rPr>
          <w:rFonts w:ascii="Courier New" w:cs="Courier New" w:eastAsia="Courier New" w:hAnsi="Courier New"/>
          <w:sz w:val="14"/>
          <w:szCs w:val="14"/>
          <w:color w:val="auto"/>
        </w:rPr>
        <w:t>(WASTE MANAGEMcENT LOGO)</w:t>
      </w:r>
    </w:p>
    <w:p>
      <w:pPr>
        <w:spacing w:after="0" w:line="338"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FOR FURTHER INFORMATION: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ANALYSTS:</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GREG NIKKEL</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713.265.1358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MEDIA:</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HEATHER BROWNE</w:t>
      </w:r>
    </w:p>
    <w:p>
      <w:pPr>
        <w:spacing w:after="0" w:line="7"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713.265.1514</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WMI #05-10</w:t>
      </w:r>
    </w:p>
    <w:p>
      <w:pPr>
        <w:spacing w:after="0" w:line="33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WASTE MANAGEMENT ANNOUNCES FIRST QUARTER 2005 EARNINGS AND</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REAFFIRMS GUIDANCE ON FULL YEAR FINANCIAL PROJECTIONS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PRICING INITIATIVES DRIVE REVENUE GROWTH FROM YIELD TO FIVE-YEAR HIGH OF 2.1%</w:t>
      </w:r>
    </w:p>
    <w:p>
      <w:pPr>
        <w:spacing w:after="0" w:line="338"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HOUSTON - APRIL 28, 2005 - Waste Management, Inc. (NYSE: WMI) today announced financial results for its first quarter ended March 31, 2005. Revenues for the quarter were $3.04 billion as compared with $2.90 billion in the year ago period, or an increase of 4.9%. Net income for the quarter was $150 million, or $0.26 per diluted share, as compared with $152 million, or $0.26 per diluted share in the prior year period. In the 2004 quarter, net income, before considering a favorable $8 million cumulative effect of change in accounting principle, was $144 million, or $0.25 per diluted share.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for the first quarter of 2005 increased 4.2% as compared with the net income for the first quarter of 2004 before considering the favorable cumulative effect of change in accounting principle in 2004. The cumulative effect of change in accounting principle in 2004 was related entirely to final implementation of Financial Accounting Standards Board Interpretation No. 46, Consolidation of Variable Interest Entities ("FIN 46").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"Our first quarter results reflect the strong progress we have made in improving our pricing in all of our lines of business and in our ability to control costs of maintenance, workers compensation, and salaries and wages," stated David P. Steiner, Chief Executive Officer of Waste Management. "Our performance in the quarter was right on track with our expectations and we are confident that we will achieve our 2005 financial goals."</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Steiner added, "We were pleased with our internal revenue growth due to higher yield. At 2.1% for the quarter, this matches the highest level we have seen in the past five years. Yield was higher across our entire business as we saw improvements in all collection lines of business, in the three primary landfill waste streams, and across our transfer stations and waste-to-energy facilities. The revenue increase due to yield grew 2.9% if you include the favorable impact of our fuel surcharge program. As we see continued cost pressures in our operations, we will maintain our focus on increasing prices to recover those costs for the remainder of 2005 and beyond."</w:t>
      </w:r>
    </w:p>
    <w:p>
      <w:pPr>
        <w:sectPr>
          <w:pgSz w:w="11900" w:h="16838" w:orient="portrait"/>
          <w:cols w:equalWidth="0" w:num="1">
            <w:col w:w="10239"/>
          </w:cols>
          <w:pgMar w:left="220" w:top="30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KEY HIGHLIGHTS FOR THE QUARTER</w:t>
      </w:r>
    </w:p>
    <w:p>
      <w:pPr>
        <w:spacing w:after="0" w:line="7" w:lineRule="exact"/>
        <w:rPr>
          <w:sz w:val="20"/>
          <w:szCs w:val="20"/>
          <w:color w:val="auto"/>
        </w:rPr>
      </w:pPr>
    </w:p>
    <w:p>
      <w:pPr>
        <w:ind w:left="520" w:hanging="253"/>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operating activities of $508 million.</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Free cash flow (a) of $420 million.</w:t>
      </w:r>
    </w:p>
    <w:p>
      <w:pPr>
        <w:spacing w:after="0" w:line="7"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expenditures of $185 million.</w:t>
      </w:r>
    </w:p>
    <w:p>
      <w:pPr>
        <w:spacing w:after="0" w:line="7" w:lineRule="exact"/>
        <w:rPr>
          <w:rFonts w:ascii="Courier New" w:cs="Courier New" w:eastAsia="Courier New" w:hAnsi="Courier New"/>
          <w:sz w:val="14"/>
          <w:szCs w:val="14"/>
          <w:color w:val="auto"/>
        </w:rPr>
      </w:pPr>
    </w:p>
    <w:p>
      <w:pPr>
        <w:ind w:left="520" w:right="3419" w:hanging="253"/>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Internal revenue growth on base business of 3.1%, with 2.1% of that from average yield and 1.0% from volume. The yield component excludes combined positive impacts of 0.9% related to higher recycling commodity prices, higher fuel surcharges and changes in electricity rates at Independent Power Production facilities.</w:t>
      </w:r>
    </w:p>
    <w:p>
      <w:pPr>
        <w:spacing w:after="0" w:line="2" w:lineRule="exact"/>
        <w:rPr>
          <w:rFonts w:ascii="Courier New" w:cs="Courier New" w:eastAsia="Courier New" w:hAnsi="Courier New"/>
          <w:sz w:val="14"/>
          <w:szCs w:val="14"/>
          <w:color w:val="auto"/>
        </w:rPr>
      </w:pPr>
    </w:p>
    <w:p>
      <w:pPr>
        <w:ind w:left="520" w:right="3599" w:hanging="253"/>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Acquisitions net of divestitures contributed 0.6% to higher revenues in the quarter.</w:t>
      </w:r>
    </w:p>
    <w:p>
      <w:pPr>
        <w:ind w:left="520" w:right="3599" w:hanging="253"/>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Price increases improved to 4.0% on our commercial customer base and to 3.2% on our total collection customer base.</w:t>
      </w:r>
    </w:p>
    <w:p>
      <w:pPr>
        <w:ind w:left="520" w:right="3419" w:hanging="253"/>
        <w:spacing w:after="0" w:line="255"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$213 million returned to shareholders in the form of $114 million in cash dividends and $99 million in common stock repurchases.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noted several items which impacted the current quarter's results:</w:t>
      </w:r>
    </w:p>
    <w:p>
      <w:pPr>
        <w:spacing w:after="0" w:line="7" w:lineRule="exact"/>
        <w:rPr>
          <w:sz w:val="20"/>
          <w:szCs w:val="20"/>
          <w:color w:val="auto"/>
        </w:rPr>
      </w:pPr>
    </w:p>
    <w:p>
      <w:pPr>
        <w:ind w:left="520" w:right="367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$0.05 per diluted share gain related to the divestiture of the Ridge landfill in Canada, which closed in January of 2005.</w:t>
      </w:r>
    </w:p>
    <w:p>
      <w:pPr>
        <w:ind w:left="520" w:right="3679" w:hanging="253"/>
        <w:spacing w:after="0" w:line="250"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$0.03 per diluted share charge to settle a lawsuit with a group of shareholders who had opted not to participate in the settlement of the class action lawsuit against us related to 1998 and 1999 activity.</w:t>
      </w:r>
    </w:p>
    <w:p>
      <w:pPr>
        <w:spacing w:after="0" w:line="1" w:lineRule="exact"/>
        <w:rPr>
          <w:rFonts w:ascii="Courier New" w:cs="Courier New" w:eastAsia="Courier New" w:hAnsi="Courier New"/>
          <w:sz w:val="14"/>
          <w:szCs w:val="14"/>
          <w:color w:val="auto"/>
        </w:rPr>
      </w:pPr>
    </w:p>
    <w:p>
      <w:pPr>
        <w:ind w:left="520" w:right="3599" w:hanging="253"/>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$0.02 per diluted share decrease in earnings related to the cost of a seven-week strike in New Jersey and accelerated expenses under our new long-term incentive plan for those employees eligible for retirement.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Steiner continued, "There were a number of other encouraging factors in our first quarter results. Net cash provided by operating activities and free cash flow were both strong for the quarter. We returned $213 million to shareholders in the form of our $0.20 per share quarterly dividend and our share repurchase program. Higher volumes also contributed 1.0% to the increase in revenues, even in light of the unusually wet weather that occurred in a number of our key markets. We also improved productivity in our commercial and industrial lines of business, which is an important component of our cost control initiatives.</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expect the momentum of our pricing programs to carry forward through the remainder of the year. We reported today that, based on the success of our landfill pricing study during the first quarter, we will expand that study to include 23 transfer stations, plus a total of 58 landfills and transfer stations in four Market Areas. Today we also announced a seasonal price increase plan for the temporary roll-off segment of our business, similar to seasonal pricing done by other industries during periods of peak demand."</w:t>
      </w:r>
    </w:p>
    <w:p>
      <w:pPr>
        <w:spacing w:after="0" w:line="164" w:lineRule="exact"/>
        <w:rPr>
          <w:sz w:val="20"/>
          <w:szCs w:val="20"/>
          <w:color w:val="auto"/>
        </w:rPr>
      </w:pPr>
    </w:p>
    <w:p>
      <w:pPr>
        <w:ind w:right="3779"/>
        <w:spacing w:after="0" w:line="251" w:lineRule="auto"/>
        <w:rPr>
          <w:sz w:val="20"/>
          <w:szCs w:val="20"/>
          <w:color w:val="auto"/>
        </w:rPr>
      </w:pPr>
      <w:r>
        <w:rPr>
          <w:rFonts w:ascii="Courier New" w:cs="Courier New" w:eastAsia="Courier New" w:hAnsi="Courier New"/>
          <w:sz w:val="14"/>
          <w:szCs w:val="14"/>
          <w:color w:val="auto"/>
        </w:rPr>
        <w:t>Steiner concluded, "We are confident about the outlook for our price and operational initiatives and we reaffirm our full-year financial projections which we issued on February 10th of this year. In reaffirming our earnings projection, we note that it is within the mid-to-upper end of the analysts' current range of $1.50 to $1.60 per diluted share."</w:t>
      </w:r>
    </w:p>
    <w:p>
      <w:pPr>
        <w:spacing w:after="0" w:line="165"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60" w:right="3339" w:firstLine="7"/>
        <w:spacing w:after="0" w:line="251" w:lineRule="auto"/>
        <w:tabs>
          <w:tab w:leader="none" w:pos="604"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included its free cash flow, which is a non-GAAP financial measure, herein because it believes that investors are interested in the cash produced by the Company from non-financing activities that is available for uses such as the Company's acquisition program, its share repurchase program, its scheduled debt reduction and the payment of dividends. The Company defines free cash flow as:</w:t>
      </w:r>
    </w:p>
    <w:p>
      <w:pPr>
        <w:sectPr>
          <w:pgSz w:w="11900" w:h="16838" w:orient="portrait"/>
          <w:cols w:equalWidth="0" w:num="1">
            <w:col w:w="10239"/>
          </w:cols>
          <w:pgMar w:left="220" w:top="451" w:right="1440" w:bottom="1440" w:gutter="0" w:footer="0" w:header="0"/>
        </w:sectPr>
      </w:pPr>
    </w:p>
    <w:bookmarkStart w:id="10" w:name="page11"/>
    <w:bookmarkEnd w:id="10"/>
    <w:p>
      <w:pPr>
        <w:ind w:left="520" w:hanging="253"/>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cash provided by operating activities</w:t>
      </w:r>
    </w:p>
    <w:p>
      <w:pPr>
        <w:spacing w:after="0" w:line="172" w:lineRule="exact"/>
        <w:rPr>
          <w:rFonts w:ascii="Courier New" w:cs="Courier New" w:eastAsia="Courier New" w:hAnsi="Courier New"/>
          <w:sz w:val="14"/>
          <w:szCs w:val="14"/>
          <w:color w:val="auto"/>
        </w:rPr>
      </w:pPr>
    </w:p>
    <w:p>
      <w:pPr>
        <w:ind w:left="520" w:hanging="253"/>
        <w:spacing w:after="0"/>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Less, capital expenditures</w:t>
      </w:r>
    </w:p>
    <w:p>
      <w:pPr>
        <w:spacing w:after="0" w:line="172" w:lineRule="exact"/>
        <w:rPr>
          <w:rFonts w:ascii="Courier New" w:cs="Courier New" w:eastAsia="Courier New" w:hAnsi="Courier New"/>
          <w:sz w:val="14"/>
          <w:szCs w:val="14"/>
          <w:color w:val="auto"/>
        </w:rPr>
      </w:pPr>
    </w:p>
    <w:p>
      <w:pPr>
        <w:ind w:left="520" w:right="3419" w:hanging="253"/>
        <w:spacing w:after="0" w:line="255" w:lineRule="auto"/>
        <w:tabs>
          <w:tab w:leader="none" w:pos="52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proceeds from divestitures of businesses, net of cash divested, and other sales of assets</w:t>
      </w:r>
    </w:p>
    <w:p>
      <w:pPr>
        <w:spacing w:after="0" w:line="160" w:lineRule="exact"/>
        <w:rPr>
          <w:sz w:val="20"/>
          <w:szCs w:val="20"/>
          <w:color w:val="auto"/>
        </w:rPr>
      </w:pPr>
    </w:p>
    <w:p>
      <w:pPr>
        <w:ind w:left="260" w:right="3339"/>
        <w:spacing w:after="0" w:line="252" w:lineRule="auto"/>
        <w:rPr>
          <w:sz w:val="20"/>
          <w:szCs w:val="20"/>
          <w:color w:val="auto"/>
        </w:rPr>
      </w:pPr>
      <w:r>
        <w:rPr>
          <w:rFonts w:ascii="Courier New" w:cs="Courier New" w:eastAsia="Courier New" w:hAnsi="Courier New"/>
          <w:sz w:val="14"/>
          <w:szCs w:val="14"/>
          <w:color w:val="auto"/>
        </w:rPr>
        <w:t>The Company's definition of free cash flow may not be comparable to similarly titled measures presented by other companies. The Company has reconciled its free cash flow as presented herein to cash flow from operations, which is the most comparable GAAP measure, in the accompanying schedules.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The Company has scheduled an investor and analyst conference call for later this morning to discuss the results of today's earnings announcement. The information in this press release should be read in conjunction with the information on the conference call. The call will begin at 9:00 a.m. Eastern time, 8:00 a.m. Central time, and is open to the public. To listen to the conference call, which will be broadcast live over the Internet, go to the Waste Management Website at http://www.wm.com, and select "First Quarter 2005 Earnings Webcast." You may also listen to the conference call by telephone by contacting the conference call operator at (877) 710-6139, 5-10 minutes prior to the scheduled start, and asking for the "Waste Management Conference Call - Call ID 4978881." US/Canada Dial-In #: (877) 710-6139. Int'l/Local Dial-In #: (706) 643-7398. For those unable to listen to the live call, a replay will be available 24 hours a day beginning at approximately 10:00 a.m. CT April 28th through 5:00 p.m. CT on May 12th. To hear a replay of the call over the Internet, access the Waste Management Website at http://www.wm.com. To hear a telephonic replay of the call, dial (800) 642-1687 or (706) 645-9291 and enter reservation code 4978881.</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Waste Management, Inc. is its industry's leading provider of comprehensive waste management and environmental services. Based in Houston, the Company serves municipal, commercial, industrial, and residential customers throughout North America.</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Certain statements contained in this press release include statements that are "forward-looking statements." Outlined below are some of the risks that the Company faces and that could affect our financial statements for 2005 and beyond and that could cause actual results to be materially different from those that may be set forth in forward-looking statements made by the Company. However, they are not the only risks that the Company faces. There may be additional risks that we do not presently know or that we currently believe are immaterial which could also impair our business. We caution you not to place undue reliance on these forward-looking statements, which speak only as of their dates. We undertake no obligation to publicly update or revise any forward-looking statements, whether as a result of new information, future events or otherwise. In addition, the Company, from time to time, provides estimates of financial and other data relating to future periods. Such estimates and other information are the Company's expectations at the point in time of issuance but may change at some future point in time. By issuing such estimates the Company has no obligation, and is not undertaking any obligation, to update such estimates or provide any other information relating to such estimates. The following are some of the risks we face:</w:t>
      </w:r>
    </w:p>
    <w:p>
      <w:pPr>
        <w:spacing w:after="0" w:line="339" w:lineRule="exact"/>
        <w:rPr>
          <w:sz w:val="20"/>
          <w:szCs w:val="20"/>
          <w:color w:val="auto"/>
        </w:rPr>
      </w:pPr>
    </w:p>
    <w:p>
      <w:pPr>
        <w:ind w:left="520" w:right="3339" w:hanging="253"/>
        <w:spacing w:after="0" w:line="252"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competition may have on our profitability or cash flows, including the negative impact to our yield on base business resulting from price roll-backs and lower than average pricing to retain and attract customers;</w:t>
      </w:r>
    </w:p>
    <w:p>
      <w:pPr>
        <w:spacing w:after="0" w:line="162" w:lineRule="exact"/>
        <w:rPr>
          <w:rFonts w:ascii="Courier New" w:cs="Courier New" w:eastAsia="Courier New" w:hAnsi="Courier New"/>
          <w:sz w:val="14"/>
          <w:szCs w:val="14"/>
          <w:color w:val="auto"/>
        </w:rPr>
      </w:pPr>
    </w:p>
    <w:p>
      <w:pPr>
        <w:ind w:left="520" w:right="3419" w:hanging="253"/>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inability to maintain or expand margins as volumes increase if we are unable to control variable costs or our fixed cost base increases;</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increases in employee-related costs and expenses, including health care and other employee benefits such as unemployment insurance and workers' compensation, as well as the costs and expenses associated with attracting and retaining qualified personnel;</w:t>
      </w:r>
    </w:p>
    <w:p>
      <w:pPr>
        <w:spacing w:after="0" w:line="162" w:lineRule="exact"/>
        <w:rPr>
          <w:rFonts w:ascii="Courier New" w:cs="Courier New" w:eastAsia="Courier New" w:hAnsi="Courier New"/>
          <w:sz w:val="14"/>
          <w:szCs w:val="14"/>
          <w:color w:val="auto"/>
        </w:rPr>
      </w:pPr>
    </w:p>
    <w:p>
      <w:pPr>
        <w:ind w:left="520" w:right="3419" w:hanging="253"/>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increases in expenses due to fuel price increases or fuel supply shortages;</w:t>
      </w:r>
    </w:p>
    <w:p>
      <w:pPr>
        <w:spacing w:after="0" w:line="159" w:lineRule="exact"/>
        <w:rPr>
          <w:rFonts w:ascii="Courier New" w:cs="Courier New" w:eastAsia="Courier New" w:hAnsi="Courier New"/>
          <w:sz w:val="14"/>
          <w:szCs w:val="14"/>
          <w:color w:val="auto"/>
        </w:rPr>
      </w:pPr>
    </w:p>
    <w:p>
      <w:pPr>
        <w:ind w:left="520" w:right="3679" w:hanging="253"/>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that fluctuating commodity prices may have on our operating revenues and expenses;</w:t>
      </w:r>
    </w:p>
    <w:p>
      <w:pPr>
        <w:spacing w:after="0" w:line="159"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effects of a weak economy, including the resulting decreases in volumes of waste generated;</w:t>
      </w:r>
    </w:p>
    <w:p>
      <w:pPr>
        <w:spacing w:after="0" w:line="159" w:lineRule="exact"/>
        <w:rPr>
          <w:rFonts w:ascii="Courier New" w:cs="Courier New" w:eastAsia="Courier New" w:hAnsi="Courier New"/>
          <w:sz w:val="14"/>
          <w:szCs w:val="14"/>
          <w:color w:val="auto"/>
        </w:rPr>
      </w:pPr>
    </w:p>
    <w:p>
      <w:pPr>
        <w:ind w:left="520" w:right="3339" w:hanging="253"/>
        <w:spacing w:after="0" w:line="252"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external factors beyond our control, such as higher interest rates and the possible inability of insurers to meet their obligations, both of which may cause increased expenses;</w:t>
      </w:r>
    </w:p>
    <w:p>
      <w:pPr>
        <w:spacing w:after="0" w:line="162" w:lineRule="exact"/>
        <w:rPr>
          <w:rFonts w:ascii="Courier New" w:cs="Courier New" w:eastAsia="Courier New" w:hAnsi="Courier New"/>
          <w:sz w:val="14"/>
          <w:szCs w:val="14"/>
          <w:color w:val="auto"/>
        </w:rPr>
      </w:pPr>
    </w:p>
    <w:p>
      <w:pPr>
        <w:ind w:left="520" w:right="3519" w:hanging="253"/>
        <w:spacing w:after="0" w:line="255" w:lineRule="auto"/>
        <w:tabs>
          <w:tab w:leader="none" w:pos="52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the weather has on our quarter to quarter results, as well as the effect of extremely harsh weather on our operations;</w:t>
      </w:r>
    </w:p>
    <w:p>
      <w:pPr>
        <w:sectPr>
          <w:pgSz w:w="11900" w:h="16838" w:orient="portrait"/>
          <w:cols w:equalWidth="0" w:num="1">
            <w:col w:w="10239"/>
          </w:cols>
          <w:pgMar w:left="220" w:top="451" w:right="1440" w:bottom="1440" w:gutter="0" w:footer="0" w:header="0"/>
        </w:sectPr>
      </w:pPr>
    </w:p>
    <w:bookmarkStart w:id="11" w:name="page12"/>
    <w:bookmarkEnd w:id="11"/>
    <w:p>
      <w:pPr>
        <w:ind w:left="253" w:right="3419" w:hanging="253"/>
        <w:spacing w:after="0" w:line="252"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changes in our estimates of site remediation requirements, final capping, closure and post-closure obligations, compliance and regulatory developments;</w:t>
      </w:r>
    </w:p>
    <w:p>
      <w:pPr>
        <w:spacing w:after="0" w:line="162" w:lineRule="exact"/>
        <w:rPr>
          <w:rFonts w:ascii="Courier New" w:cs="Courier New" w:eastAsia="Courier New" w:hAnsi="Courier New"/>
          <w:sz w:val="14"/>
          <w:szCs w:val="14"/>
          <w:color w:val="auto"/>
        </w:rPr>
      </w:pPr>
    </w:p>
    <w:p>
      <w:pPr>
        <w:ind w:left="253" w:right="3419" w:hanging="253"/>
        <w:spacing w:after="0" w:line="252"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possible impact of regulations on our business, including the cost to comply with regulatory requirements and the potential liabilities associated with disposal operations;</w:t>
      </w:r>
    </w:p>
    <w:p>
      <w:pPr>
        <w:spacing w:after="0" w:line="162" w:lineRule="exact"/>
        <w:rPr>
          <w:rFonts w:ascii="Courier New" w:cs="Courier New" w:eastAsia="Courier New" w:hAnsi="Courier New"/>
          <w:sz w:val="14"/>
          <w:szCs w:val="14"/>
          <w:color w:val="auto"/>
        </w:rPr>
      </w:pPr>
    </w:p>
    <w:p>
      <w:pPr>
        <w:ind w:left="253" w:right="4199" w:hanging="253"/>
        <w:spacing w:after="0" w:line="255"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obtain and maintain permits needed to operate our facilities;</w:t>
      </w:r>
    </w:p>
    <w:p>
      <w:pPr>
        <w:spacing w:after="0" w:line="159" w:lineRule="exact"/>
        <w:rPr>
          <w:rFonts w:ascii="Courier New" w:cs="Courier New" w:eastAsia="Courier New" w:hAnsi="Courier New"/>
          <w:sz w:val="14"/>
          <w:szCs w:val="14"/>
          <w:color w:val="auto"/>
        </w:rPr>
      </w:pPr>
    </w:p>
    <w:p>
      <w:pPr>
        <w:ind w:left="253" w:right="4019" w:hanging="253"/>
        <w:spacing w:after="0" w:line="255"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 of limitations or bans on disposal or transportation of out-of-state waste or certain categories of waste;</w:t>
      </w:r>
    </w:p>
    <w:p>
      <w:pPr>
        <w:spacing w:after="0" w:line="159" w:lineRule="exact"/>
        <w:rPr>
          <w:rFonts w:ascii="Courier New" w:cs="Courier New" w:eastAsia="Courier New" w:hAnsi="Courier New"/>
          <w:sz w:val="14"/>
          <w:szCs w:val="14"/>
          <w:color w:val="auto"/>
        </w:rPr>
      </w:pPr>
    </w:p>
    <w:p>
      <w:pPr>
        <w:ind w:left="253" w:right="3679" w:hanging="253"/>
        <w:spacing w:after="0" w:line="255"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charges against earnings as a result of shut-down operations, uncompleted development or expansion projects or other events;</w:t>
      </w:r>
    </w:p>
    <w:p>
      <w:pPr>
        <w:spacing w:after="0" w:line="159" w:lineRule="exact"/>
        <w:rPr>
          <w:rFonts w:ascii="Courier New" w:cs="Courier New" w:eastAsia="Courier New" w:hAnsi="Courier New"/>
          <w:sz w:val="14"/>
          <w:szCs w:val="14"/>
          <w:color w:val="auto"/>
        </w:rPr>
      </w:pPr>
    </w:p>
    <w:p>
      <w:pPr>
        <w:ind w:left="253" w:right="3339" w:hanging="253"/>
        <w:spacing w:after="0" w:line="252"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that trends toward requiring recycling, waste reduction at the source and prohibiting the disposal of certain types of wastes could have on volumes of waste going to landfills and waste-to-energy facilities;</w:t>
      </w:r>
    </w:p>
    <w:p>
      <w:pPr>
        <w:spacing w:after="0" w:line="162" w:lineRule="exact"/>
        <w:rPr>
          <w:rFonts w:ascii="Courier New" w:cs="Courier New" w:eastAsia="Courier New" w:hAnsi="Courier New"/>
          <w:sz w:val="14"/>
          <w:szCs w:val="14"/>
          <w:color w:val="auto"/>
        </w:rPr>
      </w:pPr>
    </w:p>
    <w:p>
      <w:pPr>
        <w:ind w:left="253" w:right="3519" w:hanging="253"/>
        <w:spacing w:after="0" w:line="255"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diversions of management's attention and increases in operating expenses due to efforts by labor unions to organize our employees;</w:t>
      </w:r>
    </w:p>
    <w:p>
      <w:pPr>
        <w:spacing w:after="0" w:line="159" w:lineRule="exact"/>
        <w:rPr>
          <w:rFonts w:ascii="Courier New" w:cs="Courier New" w:eastAsia="Courier New" w:hAnsi="Courier New"/>
          <w:sz w:val="14"/>
          <w:szCs w:val="14"/>
          <w:color w:val="auto"/>
        </w:rPr>
      </w:pPr>
    </w:p>
    <w:p>
      <w:pPr>
        <w:ind w:left="253" w:hanging="253"/>
        <w:spacing w:after="0"/>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litigation or threatened litigation;</w:t>
      </w:r>
    </w:p>
    <w:p>
      <w:pPr>
        <w:spacing w:after="0" w:line="172" w:lineRule="exact"/>
        <w:rPr>
          <w:rFonts w:ascii="Courier New" w:cs="Courier New" w:eastAsia="Courier New" w:hAnsi="Courier New"/>
          <w:sz w:val="14"/>
          <w:szCs w:val="14"/>
          <w:color w:val="auto"/>
        </w:rPr>
      </w:pPr>
    </w:p>
    <w:p>
      <w:pPr>
        <w:ind w:left="253" w:right="3419" w:hanging="253"/>
        <w:spacing w:after="0" w:line="252"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for additional capital if cash flows are less than we expect or capital expenditures are more than we expect, and the possibility that we cannot obtain additional capital on acceptable terms if needed;</w:t>
      </w:r>
    </w:p>
    <w:p>
      <w:pPr>
        <w:spacing w:after="0" w:line="162" w:lineRule="exact"/>
        <w:rPr>
          <w:rFonts w:ascii="Courier New" w:cs="Courier New" w:eastAsia="Courier New" w:hAnsi="Courier New"/>
          <w:sz w:val="14"/>
          <w:szCs w:val="14"/>
          <w:color w:val="auto"/>
        </w:rPr>
      </w:pPr>
    </w:p>
    <w:p>
      <w:pPr>
        <w:ind w:left="253" w:right="4019" w:hanging="253"/>
        <w:spacing w:after="0" w:line="255"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errors or problems upon implementation of new information technology systems; and</w:t>
      </w:r>
    </w:p>
    <w:p>
      <w:pPr>
        <w:spacing w:after="0" w:line="159" w:lineRule="exact"/>
        <w:rPr>
          <w:rFonts w:ascii="Courier New" w:cs="Courier New" w:eastAsia="Courier New" w:hAnsi="Courier New"/>
          <w:sz w:val="14"/>
          <w:szCs w:val="14"/>
          <w:color w:val="auto"/>
        </w:rPr>
      </w:pPr>
    </w:p>
    <w:p>
      <w:pPr>
        <w:ind w:left="253" w:right="3599" w:hanging="253"/>
        <w:spacing w:after="0" w:line="252" w:lineRule="auto"/>
        <w:tabs>
          <w:tab w:leader="none" w:pos="2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possible fluctuations in quarterly results of operations or adverse impacts on our results of operations as a result of the adoption of new accounting standards or interpretations.</w:t>
      </w:r>
    </w:p>
    <w:p>
      <w:pPr>
        <w:spacing w:after="0" w:line="163" w:lineRule="exact"/>
        <w:rPr>
          <w:sz w:val="20"/>
          <w:szCs w:val="20"/>
          <w:color w:val="auto"/>
        </w:rPr>
      </w:pPr>
    </w:p>
    <w:p>
      <w:pPr>
        <w:ind w:left="173" w:right="3339"/>
        <w:spacing w:after="0" w:line="252" w:lineRule="auto"/>
        <w:rPr>
          <w:sz w:val="20"/>
          <w:szCs w:val="20"/>
          <w:color w:val="auto"/>
        </w:rPr>
      </w:pPr>
      <w:r>
        <w:rPr>
          <w:rFonts w:ascii="Courier New" w:cs="Courier New" w:eastAsia="Courier New" w:hAnsi="Courier New"/>
          <w:sz w:val="14"/>
          <w:szCs w:val="14"/>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2004.</w:t>
      </w:r>
    </w:p>
    <w:p>
      <w:pPr>
        <w:spacing w:after="0" w:line="328" w:lineRule="exact"/>
        <w:rPr>
          <w:sz w:val="20"/>
          <w:szCs w:val="20"/>
          <w:color w:val="auto"/>
        </w:rPr>
      </w:pPr>
    </w:p>
    <w:p>
      <w:pPr>
        <w:ind w:left="3013"/>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72"/>
          </w:cols>
          <w:pgMar w:left="487" w:top="451" w:right="1440" w:bottom="1440" w:gutter="0" w:footer="0" w:header="0"/>
        </w:sectPr>
      </w:pPr>
    </w:p>
    <w:bookmarkStart w:id="12" w:name="page13"/>
    <w:bookmarkEnd w:id="12"/>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STATEMENTS OF OPERATIONS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QUARTERS ENDED MARCH 31,</w:t>
            </w:r>
          </w:p>
        </w:tc>
      </w:tr>
      <w:tr>
        <w:trPr>
          <w:trHeight w:val="166"/>
        </w:trPr>
        <w:tc>
          <w:tcPr>
            <w:tcW w:w="5860" w:type="dxa"/>
            <w:vAlign w:val="bottom"/>
          </w:tcPr>
          <w:p>
            <w:pPr>
              <w:spacing w:after="0"/>
              <w:rPr>
                <w:sz w:val="14"/>
                <w:szCs w:val="14"/>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4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Operating revenues</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$ 3,038</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$ 2,896</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Costs and expenses:</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Operating (exclusive of depreciation</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860"/>
              <w:spacing w:after="0"/>
              <w:rPr>
                <w:sz w:val="20"/>
                <w:szCs w:val="20"/>
                <w:color w:val="auto"/>
              </w:rPr>
            </w:pPr>
            <w:r>
              <w:rPr>
                <w:rFonts w:ascii="Courier New" w:cs="Courier New" w:eastAsia="Courier New" w:hAnsi="Courier New"/>
                <w:sz w:val="14"/>
                <w:szCs w:val="14"/>
                <w:color w:val="auto"/>
              </w:rPr>
              <w:t>and amortization shown below)</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2,044</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1,920</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Selling, general and administrative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330</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amortization</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321</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325</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Asset impairments and unusual items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2,672</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2,552</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from operations</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366</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344</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Interest expense</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(113)</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Interest income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Equity in net losses of unconsolidated entities</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Minority interest</w:t>
            </w: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Other, net</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w:t>
            </w:r>
          </w:p>
        </w:tc>
        <w:tc>
          <w:tcPr>
            <w:tcW w:w="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cumulative effect of</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change in accounting principle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206</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net of income tax expense of $5 for 2004</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586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Income before cumulative effect of change in accounting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860"/>
              <w:spacing w:after="0"/>
              <w:rPr>
                <w:sz w:val="20"/>
                <w:szCs w:val="20"/>
                <w:color w:val="auto"/>
              </w:rPr>
            </w:pPr>
            <w:r>
              <w:rPr>
                <w:rFonts w:ascii="Courier New" w:cs="Courier New" w:eastAsia="Courier New" w:hAnsi="Courier New"/>
                <w:sz w:val="14"/>
                <w:szCs w:val="14"/>
                <w:color w:val="auto"/>
              </w:rPr>
              <w:t>principle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0.26</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Income before cumulative effect of change in accounting</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5860" w:type="dxa"/>
            <w:vAlign w:val="bottom"/>
          </w:tcPr>
          <w:p>
            <w:pPr>
              <w:ind w:left="860"/>
              <w:spacing w:after="0"/>
              <w:rPr>
                <w:sz w:val="20"/>
                <w:szCs w:val="20"/>
                <w:color w:val="auto"/>
              </w:rPr>
            </w:pPr>
            <w:r>
              <w:rPr>
                <w:rFonts w:ascii="Courier New" w:cs="Courier New" w:eastAsia="Courier New" w:hAnsi="Courier New"/>
                <w:sz w:val="14"/>
                <w:szCs w:val="14"/>
                <w:color w:val="auto"/>
              </w:rPr>
              <w:t>principle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480" w:type="dxa"/>
            <w:vAlign w:val="bottom"/>
          </w:tcPr>
          <w:p>
            <w:pPr>
              <w:spacing w:after="0"/>
              <w:rPr>
                <w:sz w:val="14"/>
                <w:szCs w:val="1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620"/>
              <w:spacing w:after="0"/>
              <w:rPr>
                <w:sz w:val="20"/>
                <w:szCs w:val="20"/>
                <w:color w:val="auto"/>
              </w:rPr>
            </w:pPr>
            <w:r>
              <w:rPr>
                <w:rFonts w:ascii="Courier New" w:cs="Courier New" w:eastAsia="Courier New" w:hAnsi="Courier New"/>
                <w:sz w:val="14"/>
                <w:szCs w:val="14"/>
                <w:color w:val="auto"/>
              </w:rPr>
              <w:t>Net income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0.26</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Weighted average basic common shares outstanding</w:t>
            </w:r>
          </w:p>
        </w:tc>
        <w:tc>
          <w:tcPr>
            <w:tcW w:w="480" w:type="dxa"/>
            <w:vAlign w:val="bottom"/>
          </w:tcPr>
          <w:p>
            <w:pPr>
              <w:spacing w:after="0"/>
              <w:rPr>
                <w:sz w:val="24"/>
                <w:szCs w:val="2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568.8</w:t>
            </w:r>
          </w:p>
        </w:tc>
        <w:tc>
          <w:tcPr>
            <w:tcW w:w="44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577.3</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Weighted average diluted common shares outstanding</w:t>
            </w:r>
          </w:p>
        </w:tc>
        <w:tc>
          <w:tcPr>
            <w:tcW w:w="480" w:type="dxa"/>
            <w:vAlign w:val="bottom"/>
          </w:tcPr>
          <w:p>
            <w:pPr>
              <w:spacing w:after="0"/>
              <w:rPr>
                <w:sz w:val="24"/>
                <w:szCs w:val="24"/>
                <w:color w:val="auto"/>
              </w:rPr>
            </w:pP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572.8</w:t>
            </w:r>
          </w:p>
        </w:tc>
        <w:tc>
          <w:tcPr>
            <w:tcW w:w="440" w:type="dxa"/>
            <w:vAlign w:val="bottom"/>
          </w:tcPr>
          <w:p>
            <w:pPr>
              <w:spacing w:after="0"/>
              <w:rPr>
                <w:sz w:val="24"/>
                <w:szCs w:val="2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582.8</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586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0.19</w:t>
            </w:r>
          </w:p>
        </w:tc>
      </w:tr>
      <w:tr>
        <w:trPr>
          <w:trHeight w:val="166"/>
        </w:trPr>
        <w:tc>
          <w:tcPr>
            <w:tcW w:w="5860" w:type="dxa"/>
            <w:vAlign w:val="bottom"/>
          </w:tcPr>
          <w:p>
            <w:pPr>
              <w:spacing w:after="0"/>
              <w:rPr>
                <w:sz w:val="14"/>
                <w:szCs w:val="14"/>
                <w:color w:val="auto"/>
              </w:rPr>
            </w:pP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3"/>
        </w:trPr>
        <w:tc>
          <w:tcPr>
            <w:tcW w:w="5860" w:type="dxa"/>
            <w:vAlign w:val="bottom"/>
          </w:tcPr>
          <w:p>
            <w:pPr>
              <w:ind w:left="3280"/>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39"/>
          </w:cols>
          <w:pgMar w:left="220" w:top="451" w:right="1440" w:bottom="1440" w:gutter="0" w:footer="0" w:header="0"/>
        </w:sectPr>
      </w:pPr>
    </w:p>
    <w:bookmarkStart w:id="13" w:name="page14"/>
    <w:bookmarkEnd w:id="13"/>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EARNINGS PER SHARE</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MILLIONS, EXCEPT PER SHARE AMOUNTS)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QUARTERS ENDED MARCH 31,</w:t>
            </w:r>
          </w:p>
        </w:tc>
      </w:tr>
      <w:tr>
        <w:trPr>
          <w:trHeight w:val="166"/>
        </w:trPr>
        <w:tc>
          <w:tcPr>
            <w:tcW w:w="6420" w:type="dxa"/>
            <w:vAlign w:val="bottom"/>
          </w:tcPr>
          <w:p>
            <w:pPr>
              <w:spacing w:after="0"/>
              <w:rPr>
                <w:sz w:val="14"/>
                <w:szCs w:val="14"/>
                <w:color w:val="auto"/>
              </w:rPr>
            </w:pPr>
          </w:p>
        </w:tc>
        <w:tc>
          <w:tcPr>
            <w:tcW w:w="2640" w:type="dxa"/>
            <w:vAlign w:val="bottom"/>
            <w:gridSpan w:val="4"/>
          </w:tcPr>
          <w:p>
            <w:pPr>
              <w:ind w:left="560"/>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42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EPS CALCULATION:</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497"/>
        </w:trPr>
        <w:tc>
          <w:tcPr>
            <w:tcW w:w="6420" w:type="dxa"/>
            <w:vAlign w:val="bottom"/>
          </w:tcPr>
          <w:p>
            <w:pPr>
              <w:spacing w:after="0"/>
              <w:rPr>
                <w:sz w:val="20"/>
                <w:szCs w:val="20"/>
                <w:color w:val="auto"/>
              </w:rPr>
            </w:pPr>
            <w:r>
              <w:rPr>
                <w:rFonts w:ascii="Courier New" w:cs="Courier New" w:eastAsia="Courier New" w:hAnsi="Courier New"/>
                <w:sz w:val="14"/>
                <w:szCs w:val="14"/>
                <w:color w:val="auto"/>
              </w:rPr>
              <w:t>Number of common shares outstanding at end of period</w:t>
            </w:r>
          </w:p>
        </w:tc>
        <w:tc>
          <w:tcPr>
            <w:tcW w:w="70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568.3</w:t>
            </w:r>
          </w:p>
        </w:tc>
        <w:tc>
          <w:tcPr>
            <w:tcW w:w="42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579.7</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Effect of using weighted average common shares outstanding</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Weighted average basic common shares outstanding</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568.8</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577.3</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Dilutive effect of equity-based compensation awards, warrants</w:t>
            </w: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6420" w:type="dxa"/>
            <w:vAlign w:val="bottom"/>
          </w:tcPr>
          <w:p>
            <w:pPr>
              <w:ind w:left="520"/>
              <w:spacing w:after="0"/>
              <w:rPr>
                <w:sz w:val="20"/>
                <w:szCs w:val="20"/>
                <w:color w:val="auto"/>
              </w:rPr>
            </w:pPr>
            <w:r>
              <w:rPr>
                <w:rFonts w:ascii="Courier New" w:cs="Courier New" w:eastAsia="Courier New" w:hAnsi="Courier New"/>
                <w:sz w:val="14"/>
                <w:szCs w:val="14"/>
                <w:color w:val="auto"/>
              </w:rPr>
              <w:t>and other contingently issuable shares</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spacing w:after="0"/>
              <w:rPr>
                <w:sz w:val="20"/>
                <w:szCs w:val="20"/>
                <w:color w:val="auto"/>
              </w:rPr>
            </w:pPr>
            <w:r>
              <w:rPr>
                <w:rFonts w:ascii="Courier New" w:cs="Courier New" w:eastAsia="Courier New" w:hAnsi="Courier New"/>
                <w:sz w:val="14"/>
                <w:szCs w:val="14"/>
                <w:color w:val="auto"/>
              </w:rPr>
              <w:t>Weighted average diluted common shares outstanding</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572.8</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582.8</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Basic earnings per common share:</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0.26</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6420" w:type="dxa"/>
            <w:vAlign w:val="bottom"/>
          </w:tcPr>
          <w:p>
            <w:pPr>
              <w:spacing w:after="0"/>
              <w:rPr>
                <w:sz w:val="20"/>
                <w:szCs w:val="20"/>
                <w:color w:val="auto"/>
              </w:rPr>
            </w:pPr>
            <w:r>
              <w:rPr>
                <w:rFonts w:ascii="Courier New" w:cs="Courier New" w:eastAsia="Courier New" w:hAnsi="Courier New"/>
                <w:sz w:val="14"/>
                <w:szCs w:val="14"/>
                <w:color w:val="auto"/>
              </w:rPr>
              <w:t>Diluted earnings per common share:</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Income before cumulative effect of change in accounting principle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0.25</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70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0.01</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2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7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0.26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0.26</w:t>
            </w:r>
          </w:p>
        </w:tc>
      </w:tr>
      <w:tr>
        <w:trPr>
          <w:trHeight w:val="166"/>
        </w:trPr>
        <w:tc>
          <w:tcPr>
            <w:tcW w:w="6420" w:type="dxa"/>
            <w:vAlign w:val="bottom"/>
          </w:tcPr>
          <w:p>
            <w:pPr>
              <w:spacing w:after="0"/>
              <w:rPr>
                <w:sz w:val="14"/>
                <w:szCs w:val="14"/>
                <w:color w:val="auto"/>
              </w:rPr>
            </w:pP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28"/>
        </w:trPr>
        <w:tc>
          <w:tcPr>
            <w:tcW w:w="6420" w:type="dxa"/>
            <w:vAlign w:val="bottom"/>
          </w:tcPr>
          <w:p>
            <w:pPr>
              <w:ind w:left="3280"/>
              <w:spacing w:after="0"/>
              <w:rPr>
                <w:sz w:val="20"/>
                <w:szCs w:val="20"/>
                <w:color w:val="auto"/>
              </w:rPr>
            </w:pPr>
            <w:r>
              <w:rPr>
                <w:rFonts w:ascii="Courier New" w:cs="Courier New" w:eastAsia="Courier New" w:hAnsi="Courier New"/>
                <w:sz w:val="14"/>
                <w:szCs w:val="14"/>
                <w:color w:val="auto"/>
              </w:rPr>
              <w:t>(2)</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CONDENSED CONSOLIDATED BALANCE SHEETS</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MARCH 31,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(UNAUDITED)</w:t>
            </w:r>
          </w:p>
        </w:tc>
        <w:tc>
          <w:tcPr>
            <w:tcW w:w="1160" w:type="dxa"/>
            <w:vAlign w:val="bottom"/>
          </w:tcPr>
          <w:p>
            <w:pPr>
              <w:spacing w:after="0"/>
              <w:rPr>
                <w:sz w:val="14"/>
                <w:szCs w:val="1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Cash and cash equivalents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441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424</w:t>
            </w: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Receivables, net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1,834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1,949</w:t>
            </w: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446</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2,682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2,819</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11,378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11,476</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Goodwill</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5,340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5,301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intangible assets, net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1,101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1,157</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300"/>
              <w:spacing w:after="0"/>
              <w:rPr>
                <w:sz w:val="20"/>
                <w:szCs w:val="20"/>
                <w:color w:val="auto"/>
              </w:rPr>
            </w:pPr>
            <w:r>
              <w:rPr>
                <w:rFonts w:ascii="Courier New" w:cs="Courier New" w:eastAsia="Courier New" w:hAnsi="Courier New"/>
                <w:sz w:val="14"/>
                <w:szCs w:val="14"/>
                <w:color w:val="auto"/>
              </w:rPr>
              <w:t>Total assets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$20,658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$20,905</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4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Accounts payable, accrued liabilities and</w:t>
            </w:r>
          </w:p>
        </w:tc>
        <w:tc>
          <w:tcPr>
            <w:tcW w:w="14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900" w:type="dxa"/>
            <w:vAlign w:val="bottom"/>
          </w:tcPr>
          <w:p>
            <w:pPr>
              <w:ind w:left="960"/>
              <w:spacing w:after="0"/>
              <w:rPr>
                <w:sz w:val="20"/>
                <w:szCs w:val="20"/>
                <w:color w:val="auto"/>
              </w:rPr>
            </w:pPr>
            <w:r>
              <w:rPr>
                <w:rFonts w:ascii="Courier New" w:cs="Courier New" w:eastAsia="Courier New" w:hAnsi="Courier New"/>
                <w:sz w:val="14"/>
                <w:szCs w:val="14"/>
                <w:color w:val="auto"/>
              </w:rPr>
              <w:t>deferred revenues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$ 2,699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$ 2,821</w:t>
            </w:r>
          </w:p>
        </w:tc>
      </w:tr>
      <w:tr>
        <w:trPr>
          <w:trHeight w:val="166"/>
        </w:trPr>
        <w:tc>
          <w:tcPr>
            <w:tcW w:w="5900" w:type="dxa"/>
            <w:vAlign w:val="bottom"/>
          </w:tcPr>
          <w:p>
            <w:pPr>
              <w:ind w:left="700"/>
              <w:spacing w:after="0"/>
              <w:rPr>
                <w:sz w:val="20"/>
                <w:szCs w:val="20"/>
                <w:color w:val="auto"/>
              </w:rPr>
            </w:pPr>
            <w:r>
              <w:rPr>
                <w:rFonts w:ascii="Courier New" w:cs="Courier New" w:eastAsia="Courier New" w:hAnsi="Courier New"/>
                <w:sz w:val="14"/>
                <w:szCs w:val="14"/>
                <w:color w:val="auto"/>
              </w:rPr>
              <w:t>Current portion of long-term debt</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300"/>
              <w:spacing w:after="0"/>
              <w:rPr>
                <w:sz w:val="20"/>
                <w:szCs w:val="20"/>
                <w:color w:val="auto"/>
              </w:rPr>
            </w:pPr>
            <w:r>
              <w:rPr>
                <w:rFonts w:ascii="Courier New" w:cs="Courier New" w:eastAsia="Courier New" w:hAnsi="Courier New"/>
                <w:sz w:val="14"/>
                <w:szCs w:val="14"/>
                <w:color w:val="auto"/>
              </w:rPr>
              <w:t>Total current liabilities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3,018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3,205</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Long-term debt, less current portion</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8,067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3,341</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3,265</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14,426</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14,652</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Minority interest in subsidiaries and variable interest entities</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5,943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5,971</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ind w:left="13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$20,658</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$20,905</w:t>
            </w:r>
          </w:p>
        </w:tc>
      </w:tr>
      <w:tr>
        <w:trPr>
          <w:trHeight w:val="166"/>
        </w:trPr>
        <w:tc>
          <w:tcPr>
            <w:tcW w:w="5900" w:type="dxa"/>
            <w:vAlign w:val="bottom"/>
          </w:tcPr>
          <w:p>
            <w:pPr>
              <w:spacing w:after="0"/>
              <w:rPr>
                <w:sz w:val="14"/>
                <w:szCs w:val="14"/>
                <w:color w:val="auto"/>
              </w:rPr>
            </w:pPr>
          </w:p>
        </w:tc>
        <w:tc>
          <w:tcPr>
            <w:tcW w:w="14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left="520" w:right="4279" w:hanging="519"/>
        <w:spacing w:after="0" w:line="255" w:lineRule="auto"/>
        <w:tabs>
          <w:tab w:leader="none" w:pos="500" w:val="left"/>
        </w:tabs>
        <w:rPr>
          <w:sz w:val="20"/>
          <w:szCs w:val="20"/>
          <w:color w:val="auto"/>
        </w:rPr>
      </w:pPr>
      <w:r>
        <w:rPr>
          <w:rFonts w:ascii="Courier New" w:cs="Courier New" w:eastAsia="Courier New" w:hAnsi="Courier New"/>
          <w:sz w:val="14"/>
          <w:szCs w:val="14"/>
          <w:color w:val="auto"/>
        </w:rPr>
        <w:t>Note:</w:t>
        <w:tab/>
        <w:t>Prior year information has been reclassified to conform to 2005 presentation.</w:t>
      </w:r>
    </w:p>
    <w:p>
      <w:pPr>
        <w:sectPr>
          <w:pgSz w:w="11900" w:h="16838" w:orient="portrait"/>
          <w:cols w:equalWidth="0" w:num="1">
            <w:col w:w="10239"/>
          </w:cols>
          <w:pgMar w:left="220" w:top="782" w:right="1440" w:bottom="1440" w:gutter="0" w:footer="0" w:header="0"/>
        </w:sectPr>
      </w:pPr>
    </w:p>
    <w:bookmarkStart w:id="15" w:name="page16"/>
    <w:bookmarkEnd w:id="15"/>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CONDENSED CONSOLIDATED STATEMENTS OF CASH FLOWS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(IN MILLIONS)</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spacing w:after="0"/>
              <w:rPr>
                <w:sz w:val="14"/>
                <w:szCs w:val="14"/>
                <w:color w:val="auto"/>
              </w:rPr>
            </w:pPr>
          </w:p>
        </w:tc>
        <w:tc>
          <w:tcPr>
            <w:tcW w:w="1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QUARTERS ENDED</w:t>
            </w:r>
          </w:p>
        </w:tc>
      </w:tr>
      <w:tr>
        <w:trPr>
          <w:trHeight w:val="166"/>
        </w:trPr>
        <w:tc>
          <w:tcPr>
            <w:tcW w:w="6760" w:type="dxa"/>
            <w:vAlign w:val="bottom"/>
          </w:tcPr>
          <w:p>
            <w:pPr>
              <w:spacing w:after="0"/>
              <w:rPr>
                <w:sz w:val="14"/>
                <w:szCs w:val="14"/>
                <w:color w:val="auto"/>
              </w:rPr>
            </w:pPr>
          </w:p>
        </w:tc>
        <w:tc>
          <w:tcPr>
            <w:tcW w:w="16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760" w:type="dxa"/>
            <w:vAlign w:val="bottom"/>
          </w:tcPr>
          <w:p>
            <w:pPr>
              <w:spacing w:after="0"/>
              <w:rPr>
                <w:sz w:val="14"/>
                <w:szCs w:val="14"/>
                <w:color w:val="auto"/>
              </w:rPr>
            </w:pPr>
          </w:p>
        </w:tc>
        <w:tc>
          <w:tcPr>
            <w:tcW w:w="16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Net income</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$ 150</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$ 152</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760" w:type="dxa"/>
            <w:vAlign w:val="bottom"/>
          </w:tcPr>
          <w:p>
            <w:pPr>
              <w:ind w:left="780"/>
              <w:spacing w:after="0"/>
              <w:rPr>
                <w:sz w:val="20"/>
                <w:szCs w:val="20"/>
                <w:color w:val="auto"/>
              </w:rPr>
            </w:pPr>
            <w:r>
              <w:rPr>
                <w:rFonts w:ascii="Courier New" w:cs="Courier New" w:eastAsia="Courier New" w:hAnsi="Courier New"/>
                <w:sz w:val="14"/>
                <w:szCs w:val="14"/>
                <w:color w:val="auto"/>
              </w:rPr>
              <w:t>provided by operating activities: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760" w:type="dxa"/>
            <w:vAlign w:val="bottom"/>
          </w:tcPr>
          <w:p>
            <w:pPr>
              <w:ind w:left="2160"/>
              <w:spacing w:after="0"/>
              <w:rPr>
                <w:sz w:val="20"/>
                <w:szCs w:val="20"/>
                <w:color w:val="auto"/>
              </w:rPr>
            </w:pPr>
            <w:r>
              <w:rPr>
                <w:rFonts w:ascii="Courier New" w:cs="Courier New" w:eastAsia="Courier New" w:hAnsi="Courier New"/>
                <w:sz w:val="14"/>
                <w:szCs w:val="14"/>
                <w:color w:val="auto"/>
              </w:rPr>
              <w:t>Cumulative effect of change in accounting principle</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r>
        <w:trPr>
          <w:trHeight w:val="166"/>
        </w:trPr>
        <w:tc>
          <w:tcPr>
            <w:tcW w:w="6760" w:type="dxa"/>
            <w:vAlign w:val="bottom"/>
          </w:tcPr>
          <w:p>
            <w:pPr>
              <w:ind w:left="2160"/>
              <w:spacing w:after="0"/>
              <w:rPr>
                <w:sz w:val="20"/>
                <w:szCs w:val="20"/>
                <w:color w:val="auto"/>
              </w:rPr>
            </w:pPr>
            <w:r>
              <w:rPr>
                <w:rFonts w:ascii="Courier New" w:cs="Courier New" w:eastAsia="Courier New" w:hAnsi="Courier New"/>
                <w:sz w:val="14"/>
                <w:szCs w:val="14"/>
                <w:color w:val="auto"/>
              </w:rPr>
              <w:t>Depreciation and amortization</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w:t>
            </w:r>
          </w:p>
        </w:tc>
      </w:tr>
      <w:tr>
        <w:trPr>
          <w:trHeight w:val="166"/>
        </w:trPr>
        <w:tc>
          <w:tcPr>
            <w:tcW w:w="6760" w:type="dxa"/>
            <w:vAlign w:val="bottom"/>
          </w:tcPr>
          <w:p>
            <w:pPr>
              <w:ind w:left="2160"/>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w:t>
            </w:r>
          </w:p>
        </w:tc>
      </w:tr>
      <w:tr>
        <w:trPr>
          <w:trHeight w:val="166"/>
        </w:trPr>
        <w:tc>
          <w:tcPr>
            <w:tcW w:w="6760" w:type="dxa"/>
            <w:vAlign w:val="bottom"/>
          </w:tcPr>
          <w:p>
            <w:pPr>
              <w:ind w:left="2160"/>
              <w:spacing w:after="0"/>
              <w:rPr>
                <w:sz w:val="20"/>
                <w:szCs w:val="20"/>
                <w:color w:val="auto"/>
              </w:rPr>
            </w:pPr>
            <w:r>
              <w:rPr>
                <w:rFonts w:ascii="Courier New" w:cs="Courier New" w:eastAsia="Courier New" w:hAnsi="Courier New"/>
                <w:sz w:val="14"/>
                <w:szCs w:val="14"/>
                <w:color w:val="auto"/>
              </w:rPr>
              <w:t>Change in operating assets and liabilities, net of</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760" w:type="dxa"/>
            <w:vAlign w:val="bottom"/>
          </w:tcPr>
          <w:p>
            <w:pPr>
              <w:ind w:left="2340"/>
              <w:spacing w:after="0"/>
              <w:rPr>
                <w:sz w:val="20"/>
                <w:szCs w:val="20"/>
                <w:color w:val="auto"/>
              </w:rPr>
            </w:pPr>
            <w:r>
              <w:rPr>
                <w:rFonts w:ascii="Courier New" w:cs="Courier New" w:eastAsia="Courier New" w:hAnsi="Courier New"/>
                <w:sz w:val="14"/>
                <w:szCs w:val="14"/>
                <w:color w:val="auto"/>
              </w:rPr>
              <w:t>effects of acquisitions and divestitures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508</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470</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Acquisitions of businesses, net of cash acquired</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Capital expenditures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Purchases of short-term investments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Proceeds from sales of short-term investments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Other, net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cash used in investing activities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(501)</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9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New borrowings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347</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Debt repayments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Common stock repurchases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Cash dividends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Exercise of common stock options and warrants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r>
        <w:trPr>
          <w:trHeight w:val="166"/>
        </w:trPr>
        <w:tc>
          <w:tcPr>
            <w:tcW w:w="6760" w:type="dxa"/>
            <w:vAlign w:val="bottom"/>
          </w:tcPr>
          <w:p>
            <w:pPr>
              <w:ind w:left="620"/>
              <w:spacing w:after="0"/>
              <w:rPr>
                <w:sz w:val="20"/>
                <w:szCs w:val="20"/>
                <w:color w:val="auto"/>
              </w:rPr>
            </w:pPr>
            <w:r>
              <w:rPr>
                <w:rFonts w:ascii="Courier New" w:cs="Courier New" w:eastAsia="Courier New" w:hAnsi="Courier New"/>
                <w:sz w:val="14"/>
                <w:szCs w:val="14"/>
                <w:color w:val="auto"/>
              </w:rPr>
              <w:t>Other, net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Net cash provided by (used in) financing activities</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 cash equivalents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6760" w:type="dxa"/>
            <w:vAlign w:val="bottom"/>
          </w:tcPr>
          <w:p>
            <w:pPr>
              <w:spacing w:after="0"/>
              <w:rPr>
                <w:sz w:val="20"/>
                <w:szCs w:val="20"/>
                <w:color w:val="auto"/>
              </w:rPr>
            </w:pPr>
            <w:r>
              <w:rPr>
                <w:rFonts w:ascii="Courier New" w:cs="Courier New" w:eastAsia="Courier New" w:hAnsi="Courier New"/>
                <w:sz w:val="14"/>
                <w:szCs w:val="14"/>
                <w:color w:val="auto"/>
              </w:rPr>
              <w:t>Increase in cash and cash equivalents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$ 441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$ 393</w:t>
            </w:r>
          </w:p>
        </w:tc>
      </w:tr>
      <w:tr>
        <w:trPr>
          <w:trHeight w:val="166"/>
        </w:trPr>
        <w:tc>
          <w:tcPr>
            <w:tcW w:w="6760" w:type="dxa"/>
            <w:vAlign w:val="bottom"/>
          </w:tcPr>
          <w:p>
            <w:pPr>
              <w:spacing w:after="0"/>
              <w:rPr>
                <w:sz w:val="14"/>
                <w:szCs w:val="14"/>
                <w:color w:val="auto"/>
              </w:rPr>
            </w:pP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279"/>
        <w:spacing w:after="0" w:line="255" w:lineRule="auto"/>
        <w:rPr>
          <w:sz w:val="20"/>
          <w:szCs w:val="20"/>
          <w:color w:val="auto"/>
        </w:rPr>
      </w:pPr>
      <w:r>
        <w:rPr>
          <w:rFonts w:ascii="Courier New" w:cs="Courier New" w:eastAsia="Courier New" w:hAnsi="Courier New"/>
          <w:sz w:val="14"/>
          <w:szCs w:val="14"/>
          <w:color w:val="auto"/>
        </w:rPr>
        <w:t>Note: Prior year information has been reclassified to conform to 2005 presentation.</w:t>
      </w:r>
    </w:p>
    <w:p>
      <w:pPr>
        <w:spacing w:after="0" w:line="32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451" w:right="1440" w:bottom="1440" w:gutter="0" w:footer="0" w:header="0"/>
        </w:sectPr>
      </w:pPr>
    </w:p>
    <w:bookmarkStart w:id="16" w:name="page17"/>
    <w:bookmarkEnd w:id="16"/>
    <w:p>
      <w:pPr>
        <w:jc w:val="center"/>
        <w:ind w:right="414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SUMMARY DATA SHEET</w:t>
      </w:r>
    </w:p>
    <w:p>
      <w:pPr>
        <w:spacing w:after="0" w:line="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(DOLLAR AMOUNTS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ind w:left="3020"/>
              <w:spacing w:after="0"/>
              <w:rPr>
                <w:sz w:val="20"/>
                <w:szCs w:val="20"/>
                <w:color w:val="auto"/>
              </w:rPr>
            </w:pPr>
            <w:r>
              <w:rPr>
                <w:rFonts w:ascii="Courier New" w:cs="Courier New" w:eastAsia="Courier New" w:hAnsi="Courier New"/>
                <w:sz w:val="14"/>
                <w:szCs w:val="14"/>
                <w:color w:val="auto"/>
              </w:rPr>
              <w:t>(UNAUDITED)</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828"/>
        </w:trPr>
        <w:tc>
          <w:tcPr>
            <w:tcW w:w="5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QUARTERS ENDED</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0" w:type="dxa"/>
            <w:vAlign w:val="bottom"/>
            <w:gridSpan w:val="6"/>
          </w:tcPr>
          <w:p>
            <w:pPr>
              <w:ind w:left="200"/>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MARCH 31,</w:t>
            </w: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DECEMBER 31,</w:t>
            </w: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260" w:type="dxa"/>
            <w:vAlign w:val="bottom"/>
          </w:tcPr>
          <w:p>
            <w:pPr>
              <w:spacing w:after="0"/>
              <w:rPr>
                <w:sz w:val="14"/>
                <w:szCs w:val="14"/>
                <w:color w:val="auto"/>
              </w:rPr>
            </w:pPr>
          </w:p>
        </w:tc>
        <w:tc>
          <w:tcPr>
            <w:tcW w:w="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REVENUES BY LINES OF BUSINESS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NASW:</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Collection</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$ 2,057</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$ 2,141</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$ 1,964</w:t>
            </w: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Landfill</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676</w:t>
            </w:r>
          </w:p>
        </w:tc>
        <w:tc>
          <w:tcPr>
            <w:tcW w:w="4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762</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664</w:t>
            </w: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Transfer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387</w:t>
            </w:r>
          </w:p>
        </w:tc>
        <w:tc>
          <w:tcPr>
            <w:tcW w:w="4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422</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369</w:t>
            </w: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Wheelabrator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202</w:t>
            </w:r>
          </w:p>
        </w:tc>
        <w:tc>
          <w:tcPr>
            <w:tcW w:w="4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210</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w:t>
            </w: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Recycling and other</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w:t>
            </w:r>
          </w:p>
        </w:tc>
        <w:tc>
          <w:tcPr>
            <w:tcW w:w="480" w:type="dxa"/>
            <w:vAlign w:val="bottom"/>
          </w:tcPr>
          <w:p>
            <w:pPr>
              <w:spacing w:after="0"/>
              <w:rPr>
                <w:sz w:val="14"/>
                <w:szCs w:val="14"/>
                <w:color w:val="auto"/>
              </w:rPr>
            </w:pP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281</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r>
      <w:tr>
        <w:trPr>
          <w:trHeight w:val="166"/>
        </w:trPr>
        <w:tc>
          <w:tcPr>
            <w:tcW w:w="5820" w:type="dxa"/>
            <w:vAlign w:val="bottom"/>
          </w:tcPr>
          <w:p>
            <w:pPr>
              <w:ind w:left="2080"/>
              <w:spacing w:after="0"/>
              <w:rPr>
                <w:sz w:val="20"/>
                <w:szCs w:val="20"/>
                <w:color w:val="auto"/>
              </w:rPr>
            </w:pPr>
            <w:r>
              <w:rPr>
                <w:rFonts w:ascii="Courier New" w:cs="Courier New" w:eastAsia="Courier New" w:hAnsi="Courier New"/>
                <w:sz w:val="14"/>
                <w:szCs w:val="14"/>
                <w:color w:val="auto"/>
              </w:rPr>
              <w:t>Intercompany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w:t>
            </w:r>
          </w:p>
        </w:tc>
        <w:tc>
          <w:tcPr>
            <w:tcW w:w="4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(608)</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(546)</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3200"/>
              <w:spacing w:after="0"/>
              <w:rPr>
                <w:sz w:val="20"/>
                <w:szCs w:val="20"/>
                <w:color w:val="auto"/>
              </w:rPr>
            </w:pPr>
            <w:r>
              <w:rPr>
                <w:rFonts w:ascii="Courier New" w:cs="Courier New" w:eastAsia="Courier New" w:hAnsi="Courier New"/>
                <w:sz w:val="14"/>
                <w:szCs w:val="14"/>
                <w:color w:val="auto"/>
              </w:rPr>
              <w:t>Operating revenues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$ 3,038</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$ 3,208</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$ 2,896</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INTERNAL GROWTH OF OPERATING REVENUES FROM COMPARABLE PRIOR PERIODS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Internal growth</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w:t>
            </w:r>
          </w:p>
        </w:tc>
        <w:tc>
          <w:tcPr>
            <w:tcW w:w="480" w:type="dxa"/>
            <w:vAlign w:val="bottom"/>
          </w:tcPr>
          <w:p>
            <w:pPr>
              <w:spacing w:after="0"/>
              <w:rPr>
                <w:sz w:val="24"/>
                <w:szCs w:val="2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2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w:t>
            </w:r>
          </w:p>
        </w:tc>
      </w:tr>
      <w:tr>
        <w:trPr>
          <w:trHeight w:val="166"/>
        </w:trPr>
        <w:tc>
          <w:tcPr>
            <w:tcW w:w="7640" w:type="dxa"/>
            <w:vAlign w:val="bottom"/>
            <w:gridSpan w:val="3"/>
          </w:tcPr>
          <w:p>
            <w:pPr>
              <w:ind w:left="1980"/>
              <w:spacing w:after="0"/>
              <w:rPr>
                <w:sz w:val="20"/>
                <w:szCs w:val="20"/>
                <w:color w:val="auto"/>
              </w:rPr>
            </w:pPr>
            <w:r>
              <w:rPr>
                <w:rFonts w:ascii="Courier New" w:cs="Courier New" w:eastAsia="Courier New" w:hAnsi="Courier New"/>
                <w:sz w:val="14"/>
                <w:szCs w:val="14"/>
                <w:color w:val="auto"/>
              </w:rPr>
              <w:t>Less: Yield changes due to recycling commodities, electricity</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ind w:left="2160"/>
              <w:spacing w:after="0"/>
              <w:rPr>
                <w:sz w:val="20"/>
                <w:szCs w:val="20"/>
                <w:color w:val="auto"/>
              </w:rPr>
            </w:pPr>
            <w:r>
              <w:rPr>
                <w:rFonts w:ascii="Courier New" w:cs="Courier New" w:eastAsia="Courier New" w:hAnsi="Courier New"/>
                <w:sz w:val="14"/>
                <w:szCs w:val="14"/>
                <w:color w:val="auto"/>
              </w:rPr>
              <w:t>(IPP) and fuel surcharge</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w:t>
            </w:r>
          </w:p>
        </w:tc>
        <w:tc>
          <w:tcPr>
            <w:tcW w:w="4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3200"/>
              <w:spacing w:after="0"/>
              <w:rPr>
                <w:sz w:val="20"/>
                <w:szCs w:val="20"/>
                <w:color w:val="auto"/>
              </w:rPr>
            </w:pPr>
            <w:r>
              <w:rPr>
                <w:rFonts w:ascii="Courier New" w:cs="Courier New" w:eastAsia="Courier New" w:hAnsi="Courier New"/>
                <w:sz w:val="14"/>
                <w:szCs w:val="14"/>
                <w:color w:val="auto"/>
              </w:rPr>
              <w:t>Adjusted internal growth</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480" w:type="dxa"/>
            <w:vAlign w:val="bottom"/>
          </w:tcPr>
          <w:p>
            <w:pPr>
              <w:spacing w:after="0"/>
              <w:rPr>
                <w:sz w:val="14"/>
                <w:szCs w:val="14"/>
                <w:color w:val="auto"/>
              </w:rPr>
            </w:pP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ACQUISITION SUMMARY (a)</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Gross annualized revenue acquired</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Total consideration</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Cash paid for acquisitions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RECYCLING SEGMENT SUPPLEMENTAL DATA (b)</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20" w:type="dxa"/>
            <w:vAlign w:val="bottom"/>
          </w:tcPr>
          <w:p>
            <w:pPr>
              <w:ind w:left="1980"/>
              <w:spacing w:after="0"/>
              <w:rPr>
                <w:sz w:val="20"/>
                <w:szCs w:val="20"/>
                <w:color w:val="auto"/>
              </w:rPr>
            </w:pPr>
            <w:r>
              <w:rPr>
                <w:rFonts w:ascii="Courier New" w:cs="Courier New" w:eastAsia="Courier New" w:hAnsi="Courier New"/>
                <w:sz w:val="14"/>
                <w:szCs w:val="14"/>
                <w:color w:val="auto"/>
              </w:rPr>
              <w:t>Operating revenues</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179</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7640" w:type="dxa"/>
            <w:vAlign w:val="bottom"/>
            <w:gridSpan w:val="3"/>
          </w:tcPr>
          <w:p>
            <w:pPr>
              <w:ind w:left="1980"/>
              <w:spacing w:after="0"/>
              <w:rPr>
                <w:sz w:val="20"/>
                <w:szCs w:val="20"/>
                <w:color w:val="auto"/>
              </w:rPr>
            </w:pPr>
            <w:r>
              <w:rPr>
                <w:rFonts w:ascii="Courier New" w:cs="Courier New" w:eastAsia="Courier New" w:hAnsi="Courier New"/>
                <w:sz w:val="14"/>
                <w:szCs w:val="14"/>
                <w:color w:val="auto"/>
              </w:rPr>
              <w:t>Operating expenses (exclusive of depreciation and amortization)</w:t>
            </w:r>
          </w:p>
        </w:tc>
        <w:tc>
          <w:tcPr>
            <w:tcW w:w="340" w:type="dxa"/>
            <w:vAlign w:val="bottom"/>
          </w:tcPr>
          <w:p>
            <w:pPr>
              <w:ind w:left="20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159</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r>
      <w:tr>
        <w:trPr>
          <w:trHeight w:val="166"/>
        </w:trPr>
        <w:tc>
          <w:tcPr>
            <w:tcW w:w="5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828"/>
        </w:trPr>
        <w:tc>
          <w:tcPr>
            <w:tcW w:w="5820" w:type="dxa"/>
            <w:vAlign w:val="bottom"/>
          </w:tcPr>
          <w:p>
            <w:pPr>
              <w:spacing w:after="0"/>
              <w:rPr>
                <w:sz w:val="24"/>
                <w:szCs w:val="24"/>
                <w:color w:val="auto"/>
              </w:rPr>
            </w:pPr>
          </w:p>
        </w:tc>
        <w:tc>
          <w:tcPr>
            <w:tcW w:w="18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QUARTERS ENDED</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588"/>
              <w:spacing w:after="0"/>
              <w:rPr>
                <w:sz w:val="20"/>
                <w:szCs w:val="20"/>
                <w:color w:val="auto"/>
              </w:rPr>
            </w:pPr>
            <w:r>
              <w:rPr>
                <w:rFonts w:ascii="Courier New" w:cs="Courier New" w:eastAsia="Courier New" w:hAnsi="Courier New"/>
                <w:sz w:val="14"/>
                <w:szCs w:val="14"/>
                <w:color w:val="auto"/>
              </w:rPr>
              <w:t>MARCH 31,</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182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FREE CASH FLOW ANALYSIS (c)</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1"/>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$ 508</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$ 470</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w:t>
            </w:r>
          </w:p>
        </w:tc>
        <w:tc>
          <w:tcPr>
            <w:tcW w:w="10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(181)</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Proceeds from divestitures of businesses, net of</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cash divested, and other sales of assets</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20"/>
                <w:szCs w:val="20"/>
                <w:color w:val="auto"/>
              </w:rPr>
            </w:pPr>
            <w:r>
              <w:rPr>
                <w:rFonts w:ascii="Courier New" w:cs="Courier New" w:eastAsia="Courier New" w:hAnsi="Courier New"/>
                <w:sz w:val="14"/>
                <w:szCs w:val="14"/>
                <w:color w:val="auto"/>
              </w:rPr>
              <w:t>Free cash flow</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$ 420</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$ 311</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582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35" w:lineRule="exact"/>
        <w:rPr>
          <w:sz w:val="20"/>
          <w:szCs w:val="20"/>
          <w:color w:val="auto"/>
        </w:rPr>
      </w:pPr>
    </w:p>
    <w:p>
      <w:pPr>
        <w:ind w:left="440" w:right="414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amounts associated with business acquisitions consummated during the indicated periods.</w:t>
      </w:r>
    </w:p>
    <w:p>
      <w:pPr>
        <w:spacing w:after="0" w:line="159" w:lineRule="exact"/>
        <w:rPr>
          <w:rFonts w:ascii="Courier New" w:cs="Courier New" w:eastAsia="Courier New" w:hAnsi="Courier New"/>
          <w:sz w:val="14"/>
          <w:szCs w:val="14"/>
          <w:color w:val="auto"/>
        </w:rPr>
      </w:pPr>
    </w:p>
    <w:p>
      <w:pPr>
        <w:ind w:left="440" w:right="4220" w:hanging="432"/>
        <w:spacing w:after="0" w:line="255"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provided is after the elimination of intercompany revenues and related expenses.</w:t>
      </w:r>
    </w:p>
    <w:p>
      <w:pPr>
        <w:spacing w:after="0" w:line="159" w:lineRule="exact"/>
        <w:rPr>
          <w:rFonts w:ascii="Courier New" w:cs="Courier New" w:eastAsia="Courier New" w:hAnsi="Courier New"/>
          <w:sz w:val="14"/>
          <w:szCs w:val="14"/>
          <w:color w:val="auto"/>
        </w:rPr>
      </w:pPr>
    </w:p>
    <w:p>
      <w:pPr>
        <w:ind w:left="440" w:right="4220" w:hanging="432"/>
        <w:spacing w:after="0" w:line="25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 We continue to project full-year 2005 free cash flow to be in the range of $1.1 billion to $1.2 billion, based on estimated net cash provided by operating activities in the range of $2.25 billion to $2.35 billion, capital expenditures of between $1.25 bilion and $1.35 billion, and proceeds from divestitures, net of cash divested and other sales of assets of $125 milion to $150 million.</w:t>
      </w:r>
    </w:p>
    <w:p>
      <w:pPr>
        <w:spacing w:after="0" w:line="329"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1040"/>
          </w:cols>
          <w:pgMar w:left="220" w:top="451" w:right="639" w:bottom="94" w:gutter="0" w:footer="0" w:header="0"/>
        </w:sectPr>
      </w:pPr>
    </w:p>
    <w:bookmarkStart w:id="17" w:name="page18"/>
    <w:bookmarkEnd w:id="17"/>
    <w:p>
      <w:pPr>
        <w:jc w:val="center"/>
        <w:ind w:right="3339"/>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SUMMARY DATA SHEET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(DOLLAR AMOUNTS 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ind w:left="3020"/>
              <w:spacing w:after="0"/>
              <w:rPr>
                <w:sz w:val="20"/>
                <w:szCs w:val="20"/>
                <w:color w:val="auto"/>
              </w:rPr>
            </w:pPr>
            <w:r>
              <w:rPr>
                <w:rFonts w:ascii="Courier New" w:cs="Courier New" w:eastAsia="Courier New" w:hAnsi="Courier New"/>
                <w:sz w:val="14"/>
                <w:szCs w:val="14"/>
                <w:color w:val="auto"/>
              </w:rPr>
              <w:t>(UNAUDITED)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28"/>
        </w:trPr>
        <w:tc>
          <w:tcPr>
            <w:tcW w:w="5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QUARTERS ENDED</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80" w:type="dxa"/>
            <w:vAlign w:val="bottom"/>
          </w:tcPr>
          <w:p>
            <w:pPr>
              <w:spacing w:after="0"/>
              <w:rPr>
                <w:sz w:val="14"/>
                <w:szCs w:val="14"/>
                <w:color w:val="auto"/>
              </w:rPr>
            </w:pPr>
          </w:p>
        </w:tc>
        <w:tc>
          <w:tcPr>
            <w:tcW w:w="3740" w:type="dxa"/>
            <w:vAlign w:val="bottom"/>
            <w:gridSpan w:val="6"/>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MARCH 31,</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5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34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Cash and cash equivalents (a)</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441</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424</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393</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Debt-to-total capital ratio:</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80" w:type="dxa"/>
            <w:vAlign w:val="bottom"/>
          </w:tcPr>
          <w:p>
            <w:pPr>
              <w:ind w:left="1480"/>
              <w:spacing w:after="0"/>
              <w:rPr>
                <w:sz w:val="20"/>
                <w:szCs w:val="20"/>
                <w:color w:val="auto"/>
              </w:rPr>
            </w:pPr>
            <w:r>
              <w:rPr>
                <w:rFonts w:ascii="Courier New" w:cs="Courier New" w:eastAsia="Courier New" w:hAnsi="Courier New"/>
                <w:sz w:val="14"/>
                <w:szCs w:val="14"/>
                <w:color w:val="auto"/>
              </w:rPr>
              <w:t>Long-term indebtedness, including current</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80" w:type="dxa"/>
            <w:vAlign w:val="bottom"/>
          </w:tcPr>
          <w:p>
            <w:pPr>
              <w:ind w:left="1740"/>
              <w:spacing w:after="0"/>
              <w:rPr>
                <w:sz w:val="20"/>
                <w:szCs w:val="20"/>
                <w:color w:val="auto"/>
              </w:rPr>
            </w:pPr>
            <w:r>
              <w:rPr>
                <w:rFonts w:ascii="Courier New" w:cs="Courier New" w:eastAsia="Courier New" w:hAnsi="Courier New"/>
                <w:sz w:val="14"/>
                <w:szCs w:val="14"/>
                <w:color w:val="auto"/>
              </w:rPr>
              <w:t>portion</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8,386</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8,566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9,020</w:t>
            </w:r>
          </w:p>
        </w:tc>
      </w:tr>
      <w:tr>
        <w:trPr>
          <w:trHeight w:val="166"/>
        </w:trPr>
        <w:tc>
          <w:tcPr>
            <w:tcW w:w="5480" w:type="dxa"/>
            <w:vAlign w:val="bottom"/>
          </w:tcPr>
          <w:p>
            <w:pPr>
              <w:ind w:left="1480"/>
              <w:spacing w:after="0"/>
              <w:rPr>
                <w:sz w:val="20"/>
                <w:szCs w:val="20"/>
                <w:color w:val="auto"/>
              </w:rPr>
            </w:pPr>
            <w:r>
              <w:rPr>
                <w:rFonts w:ascii="Courier New" w:cs="Courier New" w:eastAsia="Courier New" w:hAnsi="Courier New"/>
                <w:sz w:val="14"/>
                <w:szCs w:val="14"/>
                <w:color w:val="auto"/>
              </w:rPr>
              <w:t>Total equity (a)</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5,943</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5,971</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5,712</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ind w:left="1740"/>
              <w:spacing w:after="0"/>
              <w:rPr>
                <w:sz w:val="20"/>
                <w:szCs w:val="20"/>
                <w:color w:val="auto"/>
              </w:rPr>
            </w:pPr>
            <w:r>
              <w:rPr>
                <w:rFonts w:ascii="Courier New" w:cs="Courier New" w:eastAsia="Courier New" w:hAnsi="Courier New"/>
                <w:sz w:val="14"/>
                <w:szCs w:val="14"/>
                <w:color w:val="auto"/>
              </w:rPr>
              <w:t>Total capital</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14,329</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14,537</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14,732</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ind w:left="1480"/>
              <w:spacing w:after="0"/>
              <w:rPr>
                <w:sz w:val="20"/>
                <w:szCs w:val="20"/>
                <w:color w:val="auto"/>
              </w:rPr>
            </w:pPr>
            <w:r>
              <w:rPr>
                <w:rFonts w:ascii="Courier New" w:cs="Courier New" w:eastAsia="Courier New" w:hAnsi="Courier New"/>
                <w:sz w:val="14"/>
                <w:szCs w:val="14"/>
                <w:color w:val="auto"/>
              </w:rPr>
              <w:t>Debt-to-total capital (a)</w:t>
            </w:r>
          </w:p>
        </w:tc>
        <w:tc>
          <w:tcPr>
            <w:tcW w:w="3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58.5%</w:t>
            </w:r>
          </w:p>
        </w:tc>
        <w:tc>
          <w:tcPr>
            <w:tcW w:w="480" w:type="dxa"/>
            <w:vAlign w:val="bottom"/>
          </w:tcPr>
          <w:p>
            <w:pPr>
              <w:spacing w:after="0"/>
              <w:rPr>
                <w:sz w:val="24"/>
                <w:szCs w:val="2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61.2%</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OTHER OPERATIONAL DATA</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Internalization of waste, based on disposal costs</w:t>
            </w:r>
          </w:p>
        </w:tc>
        <w:tc>
          <w:tcPr>
            <w:tcW w:w="38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65.1%</w:t>
            </w:r>
          </w:p>
        </w:tc>
        <w:tc>
          <w:tcPr>
            <w:tcW w:w="480" w:type="dxa"/>
            <w:vAlign w:val="bottom"/>
          </w:tcPr>
          <w:p>
            <w:pPr>
              <w:spacing w:after="0"/>
              <w:rPr>
                <w:sz w:val="24"/>
                <w:szCs w:val="2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65.0%</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64.5%</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Total landfill disposal volumes (tons in millions) (a)</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w:t>
            </w:r>
          </w:p>
        </w:tc>
        <w:tc>
          <w:tcPr>
            <w:tcW w:w="4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30.6</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Total waste to energy disposal volumes (tons in millions) (a)</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Total disposal volumes (tons in millions)</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32.5</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Active landfills</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4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Landfills reporting volume</w:t>
            </w:r>
          </w:p>
        </w:tc>
        <w:tc>
          <w:tcPr>
            <w:tcW w:w="3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264</w:t>
            </w:r>
          </w:p>
        </w:tc>
        <w:tc>
          <w:tcPr>
            <w:tcW w:w="480" w:type="dxa"/>
            <w:vAlign w:val="bottom"/>
          </w:tcPr>
          <w:p>
            <w:pPr>
              <w:spacing w:after="0"/>
              <w:rPr>
                <w:sz w:val="24"/>
                <w:szCs w:val="2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w:t>
            </w:r>
          </w:p>
        </w:tc>
        <w:tc>
          <w:tcPr>
            <w:tcW w:w="34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5480" w:type="dxa"/>
            <w:vAlign w:val="bottom"/>
          </w:tcPr>
          <w:p>
            <w:pPr>
              <w:spacing w:after="0"/>
              <w:rPr>
                <w:sz w:val="20"/>
                <w:szCs w:val="20"/>
                <w:color w:val="auto"/>
              </w:rPr>
            </w:pPr>
            <w:r>
              <w:rPr>
                <w:rFonts w:ascii="Courier New" w:cs="Courier New" w:eastAsia="Courier New" w:hAnsi="Courier New"/>
                <w:sz w:val="14"/>
                <w:szCs w:val="14"/>
                <w:color w:val="auto"/>
              </w:rPr>
              <w:t>AMORTIZATION AND SFAS NO. 143 EXPENSES FOR</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LANDFILLS INCLUDED IN OPERATING GROUPS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Non - SFAS No. 143 amortization expense</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87.7</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99.5</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Amortization expense related to SFAS No. 143 obligations (b)</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14.0</w:t>
            </w:r>
          </w:p>
        </w:tc>
        <w:tc>
          <w:tcPr>
            <w:tcW w:w="480" w:type="dxa"/>
            <w:vAlign w:val="bottom"/>
          </w:tcPr>
          <w:p>
            <w:pPr>
              <w:spacing w:after="0"/>
              <w:rPr>
                <w:sz w:val="14"/>
                <w:szCs w:val="14"/>
                <w:color w:val="auto"/>
              </w:rPr>
            </w:pP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19.6</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ind w:left="1480"/>
              <w:spacing w:after="0"/>
              <w:rPr>
                <w:sz w:val="20"/>
                <w:szCs w:val="20"/>
                <w:color w:val="auto"/>
              </w:rPr>
            </w:pPr>
            <w:r>
              <w:rPr>
                <w:rFonts w:ascii="Courier New" w:cs="Courier New" w:eastAsia="Courier New" w:hAnsi="Courier New"/>
                <w:sz w:val="14"/>
                <w:szCs w:val="14"/>
                <w:color w:val="auto"/>
              </w:rPr>
              <w:t>Total amortization expense</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101.7</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95.0</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106.3</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Accretion and other related expense</w:t>
            </w:r>
          </w:p>
        </w:tc>
        <w:tc>
          <w:tcPr>
            <w:tcW w:w="3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48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w:t>
            </w:r>
          </w:p>
        </w:tc>
        <w:tc>
          <w:tcPr>
            <w:tcW w:w="34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Landfill amortization, accretion and other related expense</w:t>
            </w:r>
          </w:p>
        </w:tc>
        <w:tc>
          <w:tcPr>
            <w:tcW w:w="3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114.8</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109.2</w:t>
            </w:r>
          </w:p>
        </w:tc>
        <w:tc>
          <w:tcPr>
            <w:tcW w:w="3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116.1</w:t>
            </w:r>
          </w:p>
        </w:tc>
      </w:tr>
      <w:tr>
        <w:trPr>
          <w:trHeight w:val="166"/>
        </w:trPr>
        <w:tc>
          <w:tcPr>
            <w:tcW w:w="5480" w:type="dxa"/>
            <w:vAlign w:val="bottom"/>
          </w:tcPr>
          <w:p>
            <w:pPr>
              <w:spacing w:after="0"/>
              <w:rPr>
                <w:sz w:val="14"/>
                <w:szCs w:val="14"/>
                <w:color w:val="auto"/>
              </w:rPr>
            </w:pPr>
          </w:p>
        </w:tc>
        <w:tc>
          <w:tcPr>
            <w:tcW w:w="12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5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440" w:right="4199" w:hanging="432"/>
        <w:spacing w:after="0" w:line="255"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period information has been reclassified to conform to 2005 presentation.</w:t>
      </w:r>
    </w:p>
    <w:p>
      <w:pPr>
        <w:spacing w:after="0" w:line="159" w:lineRule="exact"/>
        <w:rPr>
          <w:rFonts w:ascii="Courier New" w:cs="Courier New" w:eastAsia="Courier New" w:hAnsi="Courier New"/>
          <w:sz w:val="14"/>
          <w:szCs w:val="14"/>
          <w:color w:val="auto"/>
        </w:rPr>
      </w:pPr>
    </w:p>
    <w:p>
      <w:pPr>
        <w:ind w:left="440" w:right="3339" w:hanging="432"/>
        <w:spacing w:after="0" w:line="251"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in the quarter ended December 31, 2004 results was a $23 million reduction in landfill amortization expense. This reduction was related primarily to adjustments to our fully accrued landfill final capping obligations and was a result of fourth quarter event-driven changes as well as changes in certain estimates as a result of our annual landfill review process.</w:t>
      </w:r>
    </w:p>
    <w:p>
      <w:pPr>
        <w:spacing w:after="0" w:line="33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451" w:right="1440" w:bottom="1440" w:gutter="0" w:footer="0" w:header="0"/>
        </w:sectPr>
      </w:pPr>
    </w:p>
    <w:bookmarkStart w:id="18" w:name="page19"/>
    <w:bookmarkEnd w:id="18"/>
    <w:p>
      <w:pPr>
        <w:ind w:left="6120"/>
        <w:spacing w:after="0"/>
        <w:rPr>
          <w:sz w:val="20"/>
          <w:szCs w:val="20"/>
          <w:color w:val="auto"/>
        </w:rPr>
      </w:pPr>
      <w:r>
        <w:rPr>
          <w:rFonts w:ascii="Courier New" w:cs="Courier New" w:eastAsia="Courier New" w:hAnsi="Courier New"/>
          <w:sz w:val="14"/>
          <w:szCs w:val="14"/>
          <w:color w:val="auto"/>
        </w:rPr>
        <w:t>EXHIBIT 1</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ANALYSIS OF OPERATING EXPENSES</w:t>
      </w:r>
    </w:p>
    <w:p>
      <w:pPr>
        <w:spacing w:after="0" w:line="173"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This schedule is being provided to reflect more detail regarding expense items included in operating expense categories and to disclose the current quarter reclassifications between categories to be reported in the Company's first quarter 2005 Form 10-Q filing. We are providing this information and have made these reclassifications to improve our investors' understanding of the business and with the hope it will lead to further standardization of presentation format within the solid waste industry.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EXPENSE CATEGORIES -</w:t>
      </w:r>
    </w:p>
    <w:p>
      <w:pPr>
        <w:spacing w:after="0" w:line="200" w:lineRule="exact"/>
        <w:rPr>
          <w:sz w:val="20"/>
          <w:szCs w:val="20"/>
          <w:color w:val="auto"/>
        </w:rPr>
      </w:pPr>
    </w:p>
    <w:p>
      <w:pPr>
        <w:spacing w:after="0" w:line="30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TRANSFER AND DISPOSAL</w:t>
      </w:r>
    </w:p>
    <w:p>
      <w:pPr>
        <w:spacing w:after="0" w:line="7" w:lineRule="exact"/>
        <w:rPr>
          <w:sz w:val="20"/>
          <w:szCs w:val="20"/>
          <w:color w:val="auto"/>
        </w:rPr>
      </w:pPr>
    </w:p>
    <w:p>
      <w:pPr>
        <w:ind w:left="100"/>
        <w:spacing w:after="0"/>
        <w:tabs>
          <w:tab w:leader="none" w:pos="3520" w:val="left"/>
          <w:tab w:leader="none" w:pos="4900" w:val="left"/>
          <w:tab w:leader="none" w:pos="7140" w:val="left"/>
          <w:tab w:leader="none" w:pos="9300" w:val="left"/>
        </w:tabs>
        <w:rPr>
          <w:sz w:val="20"/>
          <w:szCs w:val="20"/>
          <w:color w:val="auto"/>
        </w:rPr>
      </w:pPr>
      <w:r>
        <w:rPr>
          <w:rFonts w:ascii="Courier New" w:cs="Courier New" w:eastAsia="Courier New" w:hAnsi="Courier New"/>
          <w:sz w:val="14"/>
          <w:szCs w:val="14"/>
          <w:color w:val="auto"/>
        </w:rPr>
        <w:t>LABOR AND RELATED BENEFITS</w:t>
      </w:r>
      <w:r>
        <w:rPr>
          <w:sz w:val="20"/>
          <w:szCs w:val="20"/>
          <w:color w:val="auto"/>
        </w:rPr>
        <w:tab/>
      </w:r>
      <w:r>
        <w:rPr>
          <w:rFonts w:ascii="Courier New" w:cs="Courier New" w:eastAsia="Courier New" w:hAnsi="Courier New"/>
          <w:sz w:val="14"/>
          <w:szCs w:val="14"/>
          <w:color w:val="auto"/>
        </w:rPr>
        <w:t>COSTS</w:t>
      </w:r>
      <w:r>
        <w:rPr>
          <w:sz w:val="20"/>
          <w:szCs w:val="20"/>
          <w:color w:val="auto"/>
        </w:rPr>
        <w:tab/>
      </w:r>
      <w:r>
        <w:rPr>
          <w:rFonts w:ascii="Courier New" w:cs="Courier New" w:eastAsia="Courier New" w:hAnsi="Courier New"/>
          <w:sz w:val="14"/>
          <w:szCs w:val="14"/>
          <w:color w:val="auto"/>
        </w:rPr>
        <w:t>MAINTENANCE AND REPAIRS</w:t>
      </w:r>
      <w:r>
        <w:rPr>
          <w:sz w:val="20"/>
          <w:szCs w:val="20"/>
          <w:color w:val="auto"/>
        </w:rPr>
        <w:tab/>
      </w:r>
      <w:r>
        <w:rPr>
          <w:rFonts w:ascii="Courier New" w:cs="Courier New" w:eastAsia="Courier New" w:hAnsi="Courier New"/>
          <w:sz w:val="14"/>
          <w:szCs w:val="14"/>
          <w:color w:val="auto"/>
        </w:rPr>
        <w:t>SUBCONTRACTOR COSTS</w:t>
      </w:r>
      <w:r>
        <w:rPr>
          <w:sz w:val="20"/>
          <w:szCs w:val="20"/>
          <w:color w:val="auto"/>
        </w:rPr>
        <w:tab/>
      </w:r>
      <w:r>
        <w:rPr>
          <w:rFonts w:ascii="Courier New" w:cs="Courier New" w:eastAsia="Courier New" w:hAnsi="Courier New"/>
          <w:sz w:val="14"/>
          <w:szCs w:val="14"/>
          <w:color w:val="auto"/>
        </w:rPr>
        <w:t>COST OF GOODS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Salaries &amp; wages</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Disposal to landfill</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Maintenance and</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Primarily independent</w:t>
            </w:r>
          </w:p>
        </w:tc>
        <w:tc>
          <w:tcPr>
            <w:tcW w:w="2380" w:type="dxa"/>
            <w:vAlign w:val="bottom"/>
          </w:tcPr>
          <w:p>
            <w:pPr>
              <w:ind w:left="60"/>
              <w:spacing w:after="0"/>
              <w:rPr>
                <w:sz w:val="20"/>
                <w:szCs w:val="20"/>
                <w:color w:val="auto"/>
              </w:rPr>
            </w:pPr>
            <w:r>
              <w:rPr>
                <w:rFonts w:ascii="Courier New" w:cs="Courier New" w:eastAsia="Courier New" w:hAnsi="Courier New"/>
                <w:sz w:val="14"/>
                <w:szCs w:val="14"/>
                <w:color w:val="auto"/>
              </w:rPr>
              <w:t>Primarily rebates paid</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Overtime</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Disposal to transfer</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repairs labor</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haulers who transport</w:t>
            </w: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to suppliers associated</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Bonus</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station</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Tires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our waste to disposal</w:t>
            </w: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with recycling</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Safety bonus</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Disposal to other</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Parts &amp; supplies</w:t>
            </w:r>
          </w:p>
        </w:tc>
        <w:tc>
          <w:tcPr>
            <w:tcW w:w="2060" w:type="dxa"/>
            <w:vAlign w:val="bottom"/>
          </w:tcPr>
          <w:p>
            <w:pPr>
              <w:ind w:left="220"/>
              <w:spacing w:after="0"/>
              <w:rPr>
                <w:sz w:val="20"/>
                <w:szCs w:val="20"/>
                <w:color w:val="auto"/>
              </w:rPr>
            </w:pPr>
            <w:r>
              <w:rPr>
                <w:rFonts w:ascii="Courier New" w:cs="Courier New" w:eastAsia="Courier New" w:hAnsi="Courier New"/>
                <w:sz w:val="14"/>
                <w:szCs w:val="14"/>
                <w:color w:val="auto"/>
              </w:rPr>
              <w:t>facilities</w:t>
            </w: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commodities</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Commissions</w:t>
            </w:r>
          </w:p>
        </w:tc>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facility</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Lubricants</w:t>
            </w:r>
          </w:p>
        </w:tc>
        <w:tc>
          <w:tcPr>
            <w:tcW w:w="2060" w:type="dxa"/>
            <w:vAlign w:val="bottom"/>
          </w:tcPr>
          <w:p>
            <w:pPr>
              <w:spacing w:after="0"/>
              <w:rPr>
                <w:sz w:val="14"/>
                <w:szCs w:val="14"/>
                <w:color w:val="auto"/>
              </w:rPr>
            </w:pPr>
          </w:p>
        </w:tc>
        <w:tc>
          <w:tcPr>
            <w:tcW w:w="2380" w:type="dxa"/>
            <w:vAlign w:val="bottom"/>
          </w:tcPr>
          <w:p>
            <w:pPr>
              <w:ind w:left="60"/>
              <w:spacing w:after="0"/>
              <w:rPr>
                <w:sz w:val="20"/>
                <w:szCs w:val="20"/>
                <w:color w:val="auto"/>
              </w:rPr>
            </w:pPr>
            <w:r>
              <w:rPr>
                <w:rFonts w:ascii="Courier New" w:cs="Courier New" w:eastAsia="Courier New" w:hAnsi="Courier New"/>
                <w:sz w:val="14"/>
                <w:szCs w:val="14"/>
                <w:color w:val="auto"/>
              </w:rPr>
              <w:t>Costs associated with</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compensation</w:t>
            </w:r>
          </w:p>
        </w:tc>
        <w:tc>
          <w:tcPr>
            <w:tcW w:w="22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Building maintenance</w:t>
            </w:r>
          </w:p>
        </w:tc>
        <w:tc>
          <w:tcPr>
            <w:tcW w:w="2060" w:type="dxa"/>
            <w:vAlign w:val="bottom"/>
          </w:tcPr>
          <w:p>
            <w:pPr>
              <w:spacing w:after="0"/>
              <w:rPr>
                <w:sz w:val="14"/>
                <w:szCs w:val="1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the operation of IPP</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Compensated absences</w:t>
            </w:r>
          </w:p>
        </w:tc>
        <w:tc>
          <w:tcPr>
            <w:tcW w:w="22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Third party maintenance</w:t>
            </w:r>
          </w:p>
        </w:tc>
        <w:tc>
          <w:tcPr>
            <w:tcW w:w="2060" w:type="dxa"/>
            <w:vAlign w:val="bottom"/>
          </w:tcPr>
          <w:p>
            <w:pPr>
              <w:spacing w:after="0"/>
              <w:rPr>
                <w:sz w:val="14"/>
                <w:szCs w:val="1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facilities - wood waste,</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Vacation wages</w:t>
            </w:r>
          </w:p>
        </w:tc>
        <w:tc>
          <w:tcPr>
            <w:tcW w:w="2200" w:type="dxa"/>
            <w:vAlign w:val="bottom"/>
          </w:tcPr>
          <w:p>
            <w:pPr>
              <w:spacing w:after="0"/>
              <w:rPr>
                <w:sz w:val="14"/>
                <w:szCs w:val="14"/>
                <w:color w:val="auto"/>
              </w:rPr>
            </w:pPr>
          </w:p>
        </w:tc>
        <w:tc>
          <w:tcPr>
            <w:tcW w:w="2060" w:type="dxa"/>
            <w:vAlign w:val="bottom"/>
          </w:tcPr>
          <w:p>
            <w:pPr>
              <w:ind w:left="300"/>
              <w:spacing w:after="0"/>
              <w:rPr>
                <w:sz w:val="20"/>
                <w:szCs w:val="20"/>
                <w:color w:val="auto"/>
              </w:rPr>
            </w:pPr>
            <w:r>
              <w:rPr>
                <w:rFonts w:ascii="Courier New" w:cs="Courier New" w:eastAsia="Courier New" w:hAnsi="Courier New"/>
                <w:sz w:val="14"/>
                <w:szCs w:val="14"/>
                <w:color w:val="auto"/>
              </w:rPr>
              <w:t>services</w:t>
            </w:r>
          </w:p>
        </w:tc>
        <w:tc>
          <w:tcPr>
            <w:tcW w:w="2060" w:type="dxa"/>
            <w:vAlign w:val="bottom"/>
          </w:tcPr>
          <w:p>
            <w:pPr>
              <w:spacing w:after="0"/>
              <w:rPr>
                <w:sz w:val="14"/>
                <w:szCs w:val="1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natural gas, oil &amp; coal</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Severance</w:t>
            </w:r>
          </w:p>
        </w:tc>
        <w:tc>
          <w:tcPr>
            <w:tcW w:w="22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Container maintenance</w:t>
            </w:r>
          </w:p>
        </w:tc>
        <w:tc>
          <w:tcPr>
            <w:tcW w:w="2060" w:type="dxa"/>
            <w:vAlign w:val="bottom"/>
          </w:tcPr>
          <w:p>
            <w:pPr>
              <w:spacing w:after="0"/>
              <w:rPr>
                <w:sz w:val="14"/>
                <w:szCs w:val="14"/>
                <w:color w:val="auto"/>
              </w:rPr>
            </w:pPr>
          </w:p>
        </w:tc>
        <w:tc>
          <w:tcPr>
            <w:tcW w:w="2380" w:type="dxa"/>
            <w:vAlign w:val="bottom"/>
          </w:tcPr>
          <w:p>
            <w:pPr>
              <w:ind w:left="320"/>
              <w:spacing w:after="0"/>
              <w:rPr>
                <w:sz w:val="20"/>
                <w:szCs w:val="20"/>
                <w:color w:val="auto"/>
              </w:rPr>
            </w:pPr>
            <w:r>
              <w:rPr>
                <w:rFonts w:ascii="Courier New" w:cs="Courier New" w:eastAsia="Courier New" w:hAnsi="Courier New"/>
                <w:sz w:val="14"/>
                <w:szCs w:val="14"/>
                <w:color w:val="auto"/>
              </w:rPr>
              <w:t>and tires</w:t>
            </w: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Group insurance</w:t>
            </w:r>
          </w:p>
        </w:tc>
        <w:tc>
          <w:tcPr>
            <w:tcW w:w="2200" w:type="dxa"/>
            <w:vAlign w:val="bottom"/>
          </w:tcPr>
          <w:p>
            <w:pPr>
              <w:spacing w:after="0"/>
              <w:rPr>
                <w:sz w:val="14"/>
                <w:szCs w:val="14"/>
                <w:color w:val="auto"/>
              </w:rPr>
            </w:pP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Other maintenance</w:t>
            </w: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Employer 401k matching</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Union dues</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Safety program expense</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Pension expense</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Employee vehicle costs</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Payroll tax expense</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Contract labor</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Other employee costs</w:t>
            </w:r>
          </w:p>
        </w:tc>
        <w:tc>
          <w:tcPr>
            <w:tcW w:w="22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497"/>
        </w:trPr>
        <w:tc>
          <w:tcPr>
            <w:tcW w:w="2680" w:type="dxa"/>
            <w:vAlign w:val="bottom"/>
          </w:tcPr>
          <w:p>
            <w:pPr>
              <w:spacing w:after="0"/>
              <w:rPr>
                <w:sz w:val="20"/>
                <w:szCs w:val="20"/>
                <w:color w:val="auto"/>
              </w:rPr>
            </w:pPr>
            <w:r>
              <w:rPr>
                <w:rFonts w:ascii="Courier New" w:cs="Courier New" w:eastAsia="Courier New" w:hAnsi="Courier New"/>
                <w:sz w:val="14"/>
                <w:szCs w:val="14"/>
                <w:color w:val="auto"/>
              </w:rPr>
              <w:t>RECLASSIFICATIONS -</w:t>
            </w:r>
          </w:p>
        </w:tc>
        <w:tc>
          <w:tcPr>
            <w:tcW w:w="2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663"/>
        </w:trPr>
        <w:tc>
          <w:tcPr>
            <w:tcW w:w="2680" w:type="dxa"/>
            <w:vAlign w:val="bottom"/>
          </w:tcPr>
          <w:p>
            <w:pPr>
              <w:ind w:left="360"/>
              <w:spacing w:after="0"/>
              <w:rPr>
                <w:sz w:val="20"/>
                <w:szCs w:val="20"/>
                <w:color w:val="auto"/>
              </w:rPr>
            </w:pPr>
            <w:r>
              <w:rPr>
                <w:rFonts w:ascii="Courier New" w:cs="Courier New" w:eastAsia="Courier New" w:hAnsi="Courier New"/>
                <w:sz w:val="14"/>
                <w:szCs w:val="14"/>
                <w:color w:val="auto"/>
              </w:rPr>
              <w:t>REMOVED FROM CATEGORY</w:t>
            </w:r>
          </w:p>
        </w:tc>
        <w:tc>
          <w:tcPr>
            <w:tcW w:w="4260" w:type="dxa"/>
            <w:vAlign w:val="bottom"/>
            <w:gridSpan w:val="2"/>
          </w:tcPr>
          <w:p>
            <w:pPr>
              <w:ind w:left="1800"/>
              <w:spacing w:after="0"/>
              <w:rPr>
                <w:sz w:val="20"/>
                <w:szCs w:val="20"/>
                <w:color w:val="auto"/>
              </w:rPr>
            </w:pPr>
            <w:r>
              <w:rPr>
                <w:rFonts w:ascii="Courier New" w:cs="Courier New" w:eastAsia="Courier New" w:hAnsi="Courier New"/>
                <w:sz w:val="14"/>
                <w:szCs w:val="14"/>
                <w:color w:val="auto"/>
              </w:rPr>
              <w:t>ADDED TO CATEGORY</w:t>
            </w: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w w:val="98"/>
              </w:rPr>
              <w:t>- ------------------------------</w:t>
            </w:r>
          </w:p>
        </w:tc>
        <w:tc>
          <w:tcPr>
            <w:tcW w:w="426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w:t>
            </w: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331"/>
        </w:trPr>
        <w:tc>
          <w:tcPr>
            <w:tcW w:w="2680" w:type="dxa"/>
            <w:vAlign w:val="bottom"/>
          </w:tcPr>
          <w:p>
            <w:pPr>
              <w:spacing w:after="0"/>
              <w:rPr>
                <w:sz w:val="20"/>
                <w:szCs w:val="20"/>
                <w:color w:val="auto"/>
              </w:rPr>
            </w:pPr>
            <w:r>
              <w:rPr>
                <w:rFonts w:ascii="Courier New" w:cs="Courier New" w:eastAsia="Courier New" w:hAnsi="Courier New"/>
                <w:sz w:val="14"/>
                <w:szCs w:val="14"/>
                <w:color w:val="auto"/>
              </w:rPr>
              <w:t>Maintenance and repairs</w:t>
            </w:r>
          </w:p>
        </w:tc>
        <w:tc>
          <w:tcPr>
            <w:tcW w:w="2200" w:type="dxa"/>
            <w:vAlign w:val="bottom"/>
          </w:tcPr>
          <w:p>
            <w:pPr>
              <w:ind w:left="1200"/>
              <w:spacing w:after="0"/>
              <w:rPr>
                <w:sz w:val="20"/>
                <w:szCs w:val="20"/>
                <w:color w:val="auto"/>
              </w:rPr>
            </w:pPr>
            <w:r>
              <w:rPr>
                <w:rFonts w:ascii="Courier New" w:cs="Courier New" w:eastAsia="Courier New" w:hAnsi="Courier New"/>
                <w:sz w:val="14"/>
                <w:szCs w:val="14"/>
                <w:color w:val="auto"/>
              </w:rPr>
              <w:t>Maintenance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and repairs labor</w:t>
            </w:r>
          </w:p>
        </w:tc>
        <w:tc>
          <w:tcPr>
            <w:tcW w:w="20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labor (moved to Maintenance</w:t>
            </w:r>
          </w:p>
        </w:tc>
        <w:tc>
          <w:tcPr>
            <w:tcW w:w="426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(moved from Labor and related</w:t>
            </w: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166"/>
        </w:trPr>
        <w:tc>
          <w:tcPr>
            <w:tcW w:w="2680" w:type="dxa"/>
            <w:vAlign w:val="bottom"/>
          </w:tcPr>
          <w:p>
            <w:pPr>
              <w:spacing w:after="0"/>
              <w:rPr>
                <w:sz w:val="20"/>
                <w:szCs w:val="20"/>
                <w:color w:val="auto"/>
              </w:rPr>
            </w:pPr>
            <w:r>
              <w:rPr>
                <w:rFonts w:ascii="Courier New" w:cs="Courier New" w:eastAsia="Courier New" w:hAnsi="Courier New"/>
                <w:sz w:val="14"/>
                <w:szCs w:val="14"/>
                <w:color w:val="auto"/>
              </w:rPr>
              <w:t>and repairs)</w:t>
            </w:r>
          </w:p>
        </w:tc>
        <w:tc>
          <w:tcPr>
            <w:tcW w:w="2200" w:type="dxa"/>
            <w:vAlign w:val="bottom"/>
          </w:tcPr>
          <w:p>
            <w:pPr>
              <w:ind w:left="1200"/>
              <w:spacing w:after="0"/>
              <w:rPr>
                <w:sz w:val="20"/>
                <w:szCs w:val="20"/>
                <w:color w:val="auto"/>
              </w:rPr>
            </w:pPr>
            <w:r>
              <w:rPr>
                <w:rFonts w:ascii="Courier New" w:cs="Courier New" w:eastAsia="Courier New" w:hAnsi="Courier New"/>
                <w:sz w:val="14"/>
                <w:szCs w:val="14"/>
                <w:color w:val="auto"/>
              </w:rPr>
              <w:t>benefits)</w:t>
            </w:r>
          </w:p>
        </w:tc>
        <w:tc>
          <w:tcPr>
            <w:tcW w:w="20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80" w:type="dxa"/>
            <w:vAlign w:val="bottom"/>
          </w:tcPr>
          <w:p>
            <w:pPr>
              <w:spacing w:after="0"/>
              <w:rPr>
                <w:sz w:val="14"/>
                <w:szCs w:val="14"/>
                <w:color w:val="auto"/>
              </w:rPr>
            </w:pP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Workers' compensation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(moved to Risk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w:t>
      </w:r>
    </w:p>
    <w:p>
      <w:pPr>
        <w:spacing w:after="0" w:line="338"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Page 7 of 8</w:t>
      </w:r>
    </w:p>
    <w:p>
      <w:pPr>
        <w:sectPr>
          <w:pgSz w:w="11900" w:h="16838" w:orient="portrait"/>
          <w:cols w:equalWidth="0" w:num="1">
            <w:col w:w="11540"/>
          </w:cols>
          <w:pgMar w:left="220" w:top="451" w:right="139" w:bottom="1440" w:gutter="0" w:footer="0" w:header="0"/>
        </w:sectPr>
      </w:pPr>
    </w:p>
    <w:bookmarkStart w:id="19" w:name="page20"/>
    <w:bookmarkEnd w:id="19"/>
    <w:p>
      <w:pPr>
        <w:ind w:left="6120"/>
        <w:spacing w:after="0"/>
        <w:rPr>
          <w:sz w:val="20"/>
          <w:szCs w:val="20"/>
          <w:color w:val="auto"/>
        </w:rPr>
      </w:pPr>
      <w:r>
        <w:rPr>
          <w:rFonts w:ascii="Courier New" w:cs="Courier New" w:eastAsia="Courier New" w:hAnsi="Courier New"/>
          <w:sz w:val="14"/>
          <w:szCs w:val="14"/>
          <w:color w:val="auto"/>
        </w:rPr>
        <w:t>EXHIBIT 1</w:t>
      </w:r>
    </w:p>
    <w:p>
      <w:pPr>
        <w:spacing w:after="0" w:line="173"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WASTE MANAGEMENT, INC.</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ANALYSIS OF OPERATING EXPENSES</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(CONTINUED)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tabs>
          <w:tab w:leader="none" w:pos="660" w:val="left"/>
          <w:tab w:leader="none" w:pos="240" w:val="left"/>
        </w:tabs>
        <w:rPr>
          <w:sz w:val="20"/>
          <w:szCs w:val="20"/>
          <w:color w:val="auto"/>
        </w:rPr>
      </w:pPr>
      <w:r>
        <w:rPr>
          <w:rFonts w:ascii="Courier New" w:cs="Courier New" w:eastAsia="Courier New" w:hAnsi="Courier New"/>
          <w:sz w:val="14"/>
          <w:szCs w:val="14"/>
          <w:color w:val="auto"/>
        </w:rPr>
        <w:t>DISPOSAL AND FRANCHISE</w:t>
      </w:r>
      <w:r>
        <w:rPr>
          <w:sz w:val="20"/>
          <w:szCs w:val="20"/>
          <w:color w:val="auto"/>
        </w:rPr>
        <w:tab/>
      </w:r>
      <w:r>
        <w:rPr>
          <w:rFonts w:ascii="Courier New" w:cs="Courier New" w:eastAsia="Courier New" w:hAnsi="Courier New"/>
          <w:sz w:val="14"/>
          <w:szCs w:val="14"/>
          <w:color w:val="auto"/>
        </w:rPr>
        <w:t>LANDFILL OPERATING COSTS</w:t>
      </w:r>
      <w:r>
        <w:rPr>
          <w:sz w:val="20"/>
          <w:szCs w:val="20"/>
          <w:color w:val="auto"/>
        </w:rPr>
        <w:tab/>
      </w:r>
      <w:r>
        <w:rPr>
          <w:rFonts w:ascii="Courier New" w:cs="Courier New" w:eastAsia="Courier New" w:hAnsi="Courier New"/>
          <w:sz w:val="14"/>
          <w:szCs w:val="14"/>
          <w:color w:val="auto"/>
        </w:rPr>
        <w:t>RISK MANAGEMENT</w:t>
      </w:r>
    </w:p>
    <w:p>
      <w:pPr>
        <w:spacing w:after="0" w:line="7" w:lineRule="exact"/>
        <w:rPr>
          <w:sz w:val="20"/>
          <w:szCs w:val="20"/>
          <w:color w:val="auto"/>
        </w:rPr>
      </w:pPr>
    </w:p>
    <w:p>
      <w:pPr>
        <w:jc w:val="center"/>
        <w:ind w:right="-19"/>
        <w:spacing w:after="0"/>
        <w:tabs>
          <w:tab w:leader="none" w:pos="1620" w:val="left"/>
          <w:tab w:leader="none" w:pos="1460" w:val="left"/>
          <w:tab w:leader="none" w:pos="760" w:val="left"/>
          <w:tab w:leader="none" w:pos="1180" w:val="left"/>
        </w:tabs>
        <w:rPr>
          <w:sz w:val="20"/>
          <w:szCs w:val="20"/>
          <w:color w:val="auto"/>
        </w:rPr>
      </w:pPr>
      <w:r>
        <w:rPr>
          <w:rFonts w:ascii="Courier New" w:cs="Courier New" w:eastAsia="Courier New" w:hAnsi="Courier New"/>
          <w:sz w:val="14"/>
          <w:szCs w:val="14"/>
          <w:color w:val="auto"/>
        </w:rPr>
        <w:t>FUEL</w:t>
      </w:r>
      <w:r>
        <w:rPr>
          <w:sz w:val="20"/>
          <w:szCs w:val="20"/>
          <w:color w:val="auto"/>
        </w:rPr>
        <w:tab/>
      </w:r>
      <w:r>
        <w:rPr>
          <w:rFonts w:ascii="Courier New" w:cs="Courier New" w:eastAsia="Courier New" w:hAnsi="Courier New"/>
          <w:sz w:val="14"/>
          <w:szCs w:val="14"/>
          <w:color w:val="auto"/>
        </w:rPr>
        <w:t>FEES AND TAXES</w:t>
      </w:r>
      <w:r>
        <w:rPr>
          <w:sz w:val="20"/>
          <w:szCs w:val="20"/>
          <w:color w:val="auto"/>
        </w:rPr>
        <w:tab/>
      </w:r>
      <w:r>
        <w:rPr>
          <w:rFonts w:ascii="Courier New" w:cs="Courier New" w:eastAsia="Courier New" w:hAnsi="Courier New"/>
          <w:sz w:val="14"/>
          <w:szCs w:val="14"/>
          <w:color w:val="auto"/>
        </w:rPr>
        <w:t>(NEW CATEGORY)</w:t>
      </w:r>
      <w:r>
        <w:rPr>
          <w:sz w:val="20"/>
          <w:szCs w:val="20"/>
          <w:color w:val="auto"/>
        </w:rPr>
        <w:tab/>
      </w:r>
      <w:r>
        <w:rPr>
          <w:rFonts w:ascii="Courier New" w:cs="Courier New" w:eastAsia="Courier New" w:hAnsi="Courier New"/>
          <w:sz w:val="14"/>
          <w:szCs w:val="14"/>
          <w:color w:val="auto"/>
        </w:rPr>
        <w:t>(NEW CATEGORY)</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 ---------------------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All types of fuel - diesel,</w:t>
            </w: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Disposal fees &amp; taxes</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Interest accretion on asset</w:t>
            </w:r>
          </w:p>
        </w:tc>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Workers' compensation</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Property</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taxes</w:t>
            </w: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gasoline, propane,</w:t>
            </w: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Municipal franchise fees</w:t>
            </w:r>
          </w:p>
        </w:tc>
        <w:tc>
          <w:tcPr>
            <w:tcW w:w="2540" w:type="dxa"/>
            <w:vAlign w:val="bottom"/>
          </w:tcPr>
          <w:p>
            <w:pPr>
              <w:ind w:left="320"/>
              <w:spacing w:after="0"/>
              <w:rPr>
                <w:sz w:val="20"/>
                <w:szCs w:val="20"/>
                <w:color w:val="auto"/>
              </w:rPr>
            </w:pPr>
            <w:r>
              <w:rPr>
                <w:rFonts w:ascii="Courier New" w:cs="Courier New" w:eastAsia="Courier New" w:hAnsi="Courier New"/>
                <w:sz w:val="14"/>
                <w:szCs w:val="14"/>
                <w:color w:val="auto"/>
              </w:rPr>
              <w:t>retirement obligations</w:t>
            </w:r>
          </w:p>
        </w:tc>
        <w:tc>
          <w:tcPr>
            <w:tcW w:w="1940" w:type="dxa"/>
            <w:vAlign w:val="bottom"/>
          </w:tcPr>
          <w:p>
            <w:pPr>
              <w:ind w:left="360"/>
              <w:spacing w:after="0"/>
              <w:rPr>
                <w:sz w:val="20"/>
                <w:szCs w:val="20"/>
                <w:color w:val="auto"/>
              </w:rPr>
            </w:pPr>
            <w:r>
              <w:rPr>
                <w:rFonts w:ascii="Courier New" w:cs="Courier New" w:eastAsia="Courier New" w:hAnsi="Courier New"/>
                <w:sz w:val="14"/>
                <w:szCs w:val="14"/>
                <w:color w:val="auto"/>
              </w:rPr>
              <w:t>insurance</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Rental</w:t>
            </w: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LNG, CNG, methanol</w:t>
            </w: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Host community fees</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Leachate treatment costs</w:t>
            </w:r>
          </w:p>
        </w:tc>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Insurance &amp; claims</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w w:val="97"/>
              </w:rPr>
              <w:t>Utilities</w:t>
            </w:r>
          </w:p>
        </w:tc>
        <w:tc>
          <w:tcPr>
            <w:tcW w:w="1300" w:type="dxa"/>
            <w:vAlign w:val="bottom"/>
          </w:tcPr>
          <w:p>
            <w:pPr>
              <w:spacing w:after="0"/>
              <w:rPr>
                <w:sz w:val="14"/>
                <w:szCs w:val="14"/>
                <w:color w:val="auto"/>
              </w:rPr>
            </w:pPr>
          </w:p>
        </w:tc>
      </w:tr>
      <w:tr>
        <w:trPr>
          <w:trHeight w:val="166"/>
        </w:trPr>
        <w:tc>
          <w:tcPr>
            <w:tcW w:w="2460" w:type="dxa"/>
            <w:vAlign w:val="bottom"/>
          </w:tcPr>
          <w:p>
            <w:pPr>
              <w:ind w:left="260"/>
              <w:spacing w:after="0"/>
              <w:rPr>
                <w:sz w:val="20"/>
                <w:szCs w:val="20"/>
                <w:color w:val="auto"/>
              </w:rPr>
            </w:pPr>
            <w:r>
              <w:rPr>
                <w:rFonts w:ascii="Courier New" w:cs="Courier New" w:eastAsia="Courier New" w:hAnsi="Courier New"/>
                <w:sz w:val="14"/>
                <w:szCs w:val="14"/>
                <w:color w:val="auto"/>
              </w:rPr>
              <w:t>and other fuels</w:t>
            </w: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Landfill fees &amp; taxes</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Landfill remediation costs</w:t>
            </w: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Vehicle transportation</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Fuel tax credit</w:t>
            </w: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Royalties</w:t>
            </w: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Methane collection and</w:t>
            </w:r>
          </w:p>
        </w:tc>
        <w:tc>
          <w:tcPr>
            <w:tcW w:w="194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costs</w:t>
            </w:r>
          </w:p>
        </w:tc>
        <w:tc>
          <w:tcPr>
            <w:tcW w:w="13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ind w:left="320"/>
              <w:spacing w:after="0"/>
              <w:rPr>
                <w:sz w:val="20"/>
                <w:szCs w:val="20"/>
                <w:color w:val="auto"/>
              </w:rPr>
            </w:pPr>
            <w:r>
              <w:rPr>
                <w:rFonts w:ascii="Courier New" w:cs="Courier New" w:eastAsia="Courier New" w:hAnsi="Courier New"/>
                <w:sz w:val="14"/>
                <w:szCs w:val="14"/>
                <w:color w:val="auto"/>
              </w:rPr>
              <w:t>treatment</w:t>
            </w: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Environmental compliance</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ind w:left="140"/>
              <w:spacing w:after="0"/>
              <w:rPr>
                <w:sz w:val="20"/>
                <w:szCs w:val="20"/>
                <w:color w:val="auto"/>
              </w:rPr>
            </w:pPr>
            <w:r>
              <w:rPr>
                <w:rFonts w:ascii="Courier New" w:cs="Courier New" w:eastAsia="Courier New" w:hAnsi="Courier New"/>
                <w:sz w:val="14"/>
                <w:szCs w:val="14"/>
                <w:color w:val="auto"/>
              </w:rPr>
              <w:t>Other landfill site costs</w:t>
            </w: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Fines &amp; penalties</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License,</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fees &amp; permits</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Market development</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Seminars</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&amp; education</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Supplies</w:t>
            </w:r>
          </w:p>
        </w:tc>
        <w:tc>
          <w:tcPr>
            <w:tcW w:w="1300" w:type="dxa"/>
            <w:vAlign w:val="bottom"/>
          </w:tcPr>
          <w:p>
            <w:pPr>
              <w:spacing w:after="0"/>
              <w:rPr>
                <w:sz w:val="14"/>
                <w:szCs w:val="14"/>
                <w:color w:val="auto"/>
              </w:rPr>
            </w:pP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Telecommunications</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Travel &amp;</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entertainment</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Gain/losses from sale</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of assets</w:t>
            </w:r>
          </w:p>
        </w:tc>
      </w:tr>
      <w:tr>
        <w:trPr>
          <w:trHeight w:val="166"/>
        </w:trPr>
        <w:tc>
          <w:tcPr>
            <w:tcW w:w="24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Miscellaneous</w:t>
            </w:r>
          </w:p>
        </w:tc>
      </w:tr>
      <w:tr>
        <w:trPr>
          <w:trHeight w:val="828"/>
        </w:trPr>
        <w:tc>
          <w:tcPr>
            <w:tcW w:w="246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Courier New" w:cs="Courier New" w:eastAsia="Courier New" w:hAnsi="Courier New"/>
                <w:sz w:val="14"/>
                <w:szCs w:val="14"/>
                <w:color w:val="auto"/>
              </w:rPr>
              <w:t>ADDED TO CATEGORY</w:t>
            </w:r>
          </w:p>
        </w:tc>
        <w:tc>
          <w:tcPr>
            <w:tcW w:w="2540" w:type="dxa"/>
            <w:vAlign w:val="bottom"/>
          </w:tcPr>
          <w:p>
            <w:pPr>
              <w:ind w:left="740"/>
              <w:spacing w:after="0"/>
              <w:rPr>
                <w:sz w:val="20"/>
                <w:szCs w:val="20"/>
                <w:color w:val="auto"/>
              </w:rPr>
            </w:pPr>
            <w:r>
              <w:rPr>
                <w:rFonts w:ascii="Courier New" w:cs="Courier New" w:eastAsia="Courier New" w:hAnsi="Courier New"/>
                <w:sz w:val="14"/>
                <w:szCs w:val="14"/>
                <w:color w:val="auto"/>
              </w:rPr>
              <w:t>ADDED TO CATEGORY</w:t>
            </w:r>
          </w:p>
        </w:tc>
        <w:tc>
          <w:tcPr>
            <w:tcW w:w="1940" w:type="dxa"/>
            <w:vAlign w:val="bottom"/>
          </w:tcPr>
          <w:p>
            <w:pPr>
              <w:ind w:left="880"/>
              <w:spacing w:after="0"/>
              <w:rPr>
                <w:sz w:val="20"/>
                <w:szCs w:val="20"/>
                <w:color w:val="auto"/>
              </w:rPr>
            </w:pPr>
            <w:r>
              <w:rPr>
                <w:rFonts w:ascii="Courier New" w:cs="Courier New" w:eastAsia="Courier New" w:hAnsi="Courier New"/>
                <w:sz w:val="14"/>
                <w:szCs w:val="14"/>
                <w:color w:val="auto"/>
              </w:rPr>
              <w:t>REMOVED FROM</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CATEGORY</w:t>
            </w:r>
          </w:p>
        </w:tc>
        <w:tc>
          <w:tcPr>
            <w:tcW w:w="1300" w:type="dxa"/>
            <w:vAlign w:val="bottom"/>
          </w:tcPr>
          <w:p>
            <w:pPr>
              <w:spacing w:after="0"/>
              <w:rPr>
                <w:sz w:val="24"/>
                <w:szCs w:val="24"/>
                <w:color w:val="auto"/>
              </w:rPr>
            </w:pPr>
          </w:p>
        </w:tc>
      </w:tr>
    </w:tbl>
    <w:p>
      <w:pPr>
        <w:spacing w:after="0" w:line="4"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Landfill operating costs (moved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Workers' compensation</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Landfill operating costs (moved</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from Other)</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insurance (moved from Labor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to Landfill operating costs)</w:t>
            </w:r>
          </w:p>
        </w:tc>
      </w:tr>
      <w:tr>
        <w:trPr>
          <w:trHeight w:val="166"/>
        </w:trPr>
        <w:tc>
          <w:tcPr>
            <w:tcW w:w="290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and related benefits)</w:t>
            </w:r>
          </w:p>
        </w:tc>
        <w:tc>
          <w:tcPr>
            <w:tcW w:w="2880" w:type="dxa"/>
            <w:vAlign w:val="bottom"/>
          </w:tcPr>
          <w:p>
            <w:pPr>
              <w:spacing w:after="0"/>
              <w:rPr>
                <w:sz w:val="14"/>
                <w:szCs w:val="14"/>
                <w:color w:val="auto"/>
              </w:rPr>
            </w:pPr>
          </w:p>
        </w:tc>
      </w:tr>
      <w:tr>
        <w:trPr>
          <w:trHeight w:val="331"/>
        </w:trPr>
        <w:tc>
          <w:tcPr>
            <w:tcW w:w="2900" w:type="dxa"/>
            <w:vAlign w:val="bottom"/>
          </w:tcPr>
          <w:p>
            <w:pPr>
              <w:spacing w:after="0"/>
              <w:rPr>
                <w:sz w:val="24"/>
                <w:szCs w:val="2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Insurance and claims (moved</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Insurance and claims (moved to</w:t>
            </w:r>
          </w:p>
        </w:tc>
      </w:tr>
      <w:tr>
        <w:trPr>
          <w:trHeight w:val="166"/>
        </w:trPr>
        <w:tc>
          <w:tcPr>
            <w:tcW w:w="2900" w:type="dxa"/>
            <w:vAlign w:val="bottom"/>
          </w:tcPr>
          <w:p>
            <w:pPr>
              <w:spacing w:after="0"/>
              <w:rPr>
                <w:sz w:val="14"/>
                <w:szCs w:val="14"/>
                <w:color w:val="auto"/>
              </w:rPr>
            </w:pP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from Other)</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Risk management)</w:t>
            </w:r>
          </w:p>
        </w:tc>
      </w:tr>
      <w:tr>
        <w:trPr>
          <w:trHeight w:val="663"/>
        </w:trPr>
        <w:tc>
          <w:tcPr>
            <w:tcW w:w="2900" w:type="dxa"/>
            <w:vAlign w:val="bottom"/>
          </w:tcPr>
          <w:p>
            <w:pPr>
              <w:ind w:left="1040"/>
              <w:spacing w:after="0"/>
              <w:rPr>
                <w:sz w:val="20"/>
                <w:szCs w:val="20"/>
                <w:color w:val="auto"/>
              </w:rPr>
            </w:pPr>
            <w:r>
              <w:rPr>
                <w:rFonts w:ascii="Courier New" w:cs="Courier New" w:eastAsia="Courier New" w:hAnsi="Courier New"/>
                <w:sz w:val="14"/>
                <w:szCs w:val="14"/>
                <w:color w:val="auto"/>
              </w:rPr>
              <w:t>Page 8 of 8</w:t>
            </w:r>
          </w:p>
        </w:tc>
        <w:tc>
          <w:tcPr>
            <w:tcW w:w="2840" w:type="dxa"/>
            <w:vAlign w:val="bottom"/>
          </w:tcPr>
          <w:p>
            <w:pPr>
              <w:spacing w:after="0"/>
              <w:rPr>
                <w:sz w:val="24"/>
                <w:szCs w:val="24"/>
                <w:color w:val="auto"/>
              </w:rPr>
            </w:pPr>
          </w:p>
        </w:tc>
        <w:tc>
          <w:tcPr>
            <w:tcW w:w="28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40"/>
      </w:cols>
      <w:pgMar w:left="220" w:top="45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lvl w:ilvl="1">
      <w:lvlJc w:val="left"/>
      <w:lvlText w:val="(%2)"/>
      <w:numFmt w:val="lowerLetter"/>
      <w:start w:val="1"/>
    </w:lvl>
  </w:abstractNum>
  <w:abstractNum w:abstractNumId="3">
    <w:nsid w:val="507ED7AB"/>
    <w:multiLevelType w:val="hybridMultilevel"/>
    <w:lvl w:ilvl="0">
      <w:lvlJc w:val="left"/>
      <w:lvlText w:val="o"/>
      <w:numFmt w:val="bullet"/>
      <w:start w:val="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2019-12-20T04:06:18Z</dcterms:created>
  <dcterms:modified xsi:type="dcterms:W3CDTF">2019-12-20T04:06:18Z</dcterms:modified>
</cp:coreProperties>
</file>