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94" w:lineRule="exact"/>
        <w:rPr>
          <w:sz w:val="24"/>
          <w:szCs w:val="24"/>
          <w:color w:val="auto"/>
        </w:rPr>
      </w:pPr>
    </w:p>
    <w:p>
      <w:pPr>
        <w:ind w:left="540" w:right="1120" w:hanging="391"/>
        <w:spacing w:after="0" w:line="349" w:lineRule="auto"/>
        <w:tabs>
          <w:tab w:leader="none" w:pos="546"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AND EXCHANGE ACT OF 1934 </w:t>
      </w:r>
      <w:r>
        <w:rPr>
          <w:rFonts w:ascii="Arial" w:cs="Arial" w:eastAsia="Arial" w:hAnsi="Arial"/>
          <w:sz w:val="18"/>
          <w:szCs w:val="18"/>
          <w:b w:val="1"/>
          <w:bCs w:val="1"/>
          <w:color w:val="auto"/>
        </w:rPr>
        <w:t>For the fiscal year ended 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8" w:lineRule="exact"/>
        <w:rPr>
          <w:sz w:val="24"/>
          <w:szCs w:val="24"/>
          <w:color w:val="auto"/>
        </w:rPr>
      </w:pPr>
    </w:p>
    <w:p>
      <w:pPr>
        <w:ind w:left="540" w:hanging="391"/>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AND EXCHANGE ACT OF 1934</w:t>
      </w:r>
    </w:p>
    <w:p>
      <w:pPr>
        <w:sectPr>
          <w:pgSz w:w="11900" w:h="16838" w:orient="portrait"/>
          <w:cols w:equalWidth="0" w:num="1">
            <w:col w:w="10420"/>
          </w:cols>
          <w:pgMar w:left="740" w:top="233" w:right="739" w:bottom="1440" w:gutter="0" w:footer="0" w:header="0"/>
        </w:sectPr>
      </w:pPr>
    </w:p>
    <w:p>
      <w:pPr>
        <w:spacing w:after="0" w:line="105" w:lineRule="exact"/>
        <w:rPr>
          <w:sz w:val="24"/>
          <w:szCs w:val="24"/>
          <w:color w:val="auto"/>
        </w:rPr>
      </w:pPr>
    </w:p>
    <w:p>
      <w:pPr>
        <w:jc w:val="center"/>
        <w:ind w:left="5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60" w:space="540"/>
            <w:col w:w="7020"/>
          </w:cols>
          <w:pgMar w:left="740" w:top="233" w:right="7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0420"/>
          </w:cols>
          <w:pgMar w:left="740" w:top="233" w:right="739" w:bottom="1440" w:gutter="0" w:footer="0" w:header="0"/>
          <w:type w:val="continuous"/>
        </w:sectPr>
      </w:pPr>
    </w:p>
    <w:p>
      <w:pPr>
        <w:spacing w:after="0" w:line="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53" w:lineRule="exact"/>
        <w:rPr>
          <w:sz w:val="24"/>
          <w:szCs w:val="24"/>
          <w:color w:val="auto"/>
        </w:rPr>
      </w:pPr>
    </w:p>
    <w:tbl>
      <w:tblPr>
        <w:tblLayout w:type="fixed"/>
        <w:tblInd w:w="2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58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Delaware</w:t>
            </w:r>
          </w:p>
        </w:tc>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Pr>
          <w:p>
            <w:pPr>
              <w:jc w:val="right"/>
              <w:ind w:right="988"/>
              <w:spacing w:after="0"/>
              <w:rPr>
                <w:sz w:val="20"/>
                <w:szCs w:val="20"/>
                <w:color w:val="auto"/>
              </w:rPr>
            </w:pPr>
            <w:r>
              <w:rPr>
                <w:rFonts w:ascii="Arial" w:cs="Arial" w:eastAsia="Arial" w:hAnsi="Arial"/>
                <w:sz w:val="14"/>
                <w:szCs w:val="14"/>
                <w:b w:val="1"/>
                <w:bCs w:val="1"/>
                <w:color w:val="auto"/>
              </w:rPr>
              <w:t>73-1309529</w:t>
            </w:r>
          </w:p>
        </w:tc>
        <w:tc>
          <w:tcPr>
            <w:tcW w:w="0" w:type="dxa"/>
            <w:vAlign w:val="bottom"/>
          </w:tcPr>
          <w:p>
            <w:pPr>
              <w:spacing w:after="0"/>
              <w:rPr>
                <w:sz w:val="1"/>
                <w:szCs w:val="1"/>
                <w:color w:val="auto"/>
              </w:rPr>
            </w:pPr>
          </w:p>
        </w:tc>
      </w:tr>
      <w:tr>
        <w:trPr>
          <w:trHeight w:val="149"/>
        </w:trPr>
        <w:tc>
          <w:tcPr>
            <w:tcW w:w="3340" w:type="dxa"/>
            <w:vAlign w:val="bottom"/>
            <w:gridSpan w:val="3"/>
          </w:tcPr>
          <w:p>
            <w:pPr>
              <w:jc w:val="center"/>
              <w:ind w:left="1268"/>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60" w:type="dxa"/>
            <w:vAlign w:val="bottom"/>
          </w:tcPr>
          <w:p>
            <w:pPr>
              <w:jc w:val="center"/>
              <w:ind w:right="66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3340" w:type="dxa"/>
            <w:vAlign w:val="bottom"/>
            <w:gridSpan w:val="3"/>
          </w:tcPr>
          <w:p>
            <w:pPr>
              <w:jc w:val="center"/>
              <w:ind w:left="1248"/>
              <w:spacing w:after="0"/>
              <w:rPr>
                <w:sz w:val="20"/>
                <w:szCs w:val="20"/>
                <w:color w:val="auto"/>
              </w:rPr>
            </w:pPr>
            <w:r>
              <w:rPr>
                <w:rFonts w:ascii="Arial" w:cs="Arial" w:eastAsia="Arial" w:hAnsi="Arial"/>
                <w:sz w:val="14"/>
                <w:szCs w:val="14"/>
                <w:i w:val="1"/>
                <w:iCs w:val="1"/>
                <w:color w:val="auto"/>
                <w:w w:val="97"/>
              </w:rPr>
              <w:t>incorporation or organization)</w:t>
            </w:r>
          </w:p>
        </w:tc>
        <w:tc>
          <w:tcPr>
            <w:tcW w:w="2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60" w:type="dxa"/>
            <w:vAlign w:val="bottom"/>
          </w:tcPr>
          <w:p>
            <w:pPr>
              <w:jc w:val="center"/>
              <w:ind w:right="68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3340" w:type="dxa"/>
            <w:vAlign w:val="bottom"/>
            <w:gridSpan w:val="3"/>
          </w:tcPr>
          <w:p>
            <w:pPr>
              <w:jc w:val="center"/>
              <w:ind w:left="1268"/>
              <w:spacing w:after="0"/>
              <w:rPr>
                <w:sz w:val="20"/>
                <w:szCs w:val="20"/>
                <w:color w:val="auto"/>
              </w:rPr>
            </w:pPr>
            <w:r>
              <w:rPr>
                <w:rFonts w:ascii="Arial" w:cs="Arial" w:eastAsia="Arial" w:hAnsi="Arial"/>
                <w:sz w:val="14"/>
                <w:szCs w:val="14"/>
                <w:b w:val="1"/>
                <w:bCs w:val="1"/>
                <w:color w:val="auto"/>
                <w:w w:val="93"/>
              </w:rPr>
              <w:t>1001 Fannin Street</w:t>
            </w: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vMerge w:val="restart"/>
          </w:tcPr>
          <w:p>
            <w:pPr>
              <w:jc w:val="right"/>
              <w:ind w:right="1148"/>
              <w:spacing w:after="0"/>
              <w:rPr>
                <w:sz w:val="20"/>
                <w:szCs w:val="20"/>
                <w:color w:val="auto"/>
              </w:rPr>
            </w:pPr>
            <w:r>
              <w:rPr>
                <w:rFonts w:ascii="Arial" w:cs="Arial" w:eastAsia="Arial" w:hAnsi="Arial"/>
                <w:sz w:val="14"/>
                <w:szCs w:val="14"/>
                <w:b w:val="1"/>
                <w:bCs w:val="1"/>
                <w:color w:val="auto"/>
              </w:rPr>
              <w:t>77002</w:t>
            </w: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1580" w:type="dxa"/>
            <w:vAlign w:val="bottom"/>
            <w:gridSpan w:val="2"/>
          </w:tcPr>
          <w:p>
            <w:pPr>
              <w:jc w:val="center"/>
              <w:ind w:right="36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880" w:type="dxa"/>
            <w:vAlign w:val="bottom"/>
            <w:gridSpan w:val="5"/>
          </w:tcPr>
          <w:p>
            <w:pPr>
              <w:jc w:val="center"/>
              <w:ind w:right="212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60" w:type="dxa"/>
            <w:vAlign w:val="bottom"/>
          </w:tcPr>
          <w:p>
            <w:pPr>
              <w:jc w:val="center"/>
              <w:ind w:right="668"/>
              <w:spacing w:after="0"/>
              <w:rPr>
                <w:sz w:val="20"/>
                <w:szCs w:val="20"/>
                <w:color w:val="auto"/>
              </w:rPr>
            </w:pPr>
            <w:r>
              <w:rPr>
                <w:rFonts w:ascii="Arial" w:cs="Arial" w:eastAsia="Arial" w:hAnsi="Arial"/>
                <w:sz w:val="14"/>
                <w:szCs w:val="14"/>
                <w:i w:val="1"/>
                <w:iCs w:val="1"/>
                <w:color w:val="auto"/>
                <w:w w:val="95"/>
              </w:rPr>
              <w:t>(Zip code)</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gridSpan w:val="2"/>
          </w:tcPr>
          <w:p>
            <w:pPr>
              <w:jc w:val="center"/>
              <w:ind w:right="308"/>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8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(713) 512-6200</w:t>
            </w:r>
          </w:p>
        </w:tc>
        <w:tc>
          <w:tcPr>
            <w:tcW w:w="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2920" w:type="dxa"/>
            <w:vAlign w:val="bottom"/>
            <w:gridSpan w:val="2"/>
          </w:tcPr>
          <w:p>
            <w:pPr>
              <w:ind w:left="1400"/>
              <w:spacing w:after="0"/>
              <w:rPr>
                <w:sz w:val="20"/>
                <w:szCs w:val="20"/>
                <w:color w:val="auto"/>
              </w:rPr>
            </w:pPr>
            <w:r>
              <w:rPr>
                <w:rFonts w:ascii="Arial" w:cs="Arial" w:eastAsia="Arial" w:hAnsi="Arial"/>
                <w:sz w:val="14"/>
                <w:szCs w:val="14"/>
                <w:color w:val="auto"/>
                <w:w w:val="92"/>
              </w:rPr>
              <w:t>Common Stock, $0.01 par</w:t>
            </w:r>
          </w:p>
        </w:tc>
        <w:tc>
          <w:tcPr>
            <w:tcW w:w="420" w:type="dxa"/>
            <w:vAlign w:val="bottom"/>
          </w:tcPr>
          <w:p>
            <w:pPr>
              <w:ind w:left="40"/>
              <w:spacing w:after="0"/>
              <w:rPr>
                <w:sz w:val="20"/>
                <w:szCs w:val="20"/>
                <w:color w:val="auto"/>
              </w:rPr>
            </w:pPr>
            <w:r>
              <w:rPr>
                <w:rFonts w:ascii="Arial" w:cs="Arial" w:eastAsia="Arial" w:hAnsi="Arial"/>
                <w:sz w:val="14"/>
                <w:szCs w:val="14"/>
                <w:color w:val="auto"/>
              </w:rPr>
              <w:t>value</w:t>
            </w:r>
          </w:p>
        </w:tc>
        <w:tc>
          <w:tcPr>
            <w:tcW w:w="2780" w:type="dxa"/>
            <w:vAlign w:val="bottom"/>
          </w:tcPr>
          <w:p>
            <w:pPr>
              <w:spacing w:after="0"/>
              <w:rPr>
                <w:sz w:val="15"/>
                <w:szCs w:val="15"/>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40"/>
        </w:trPr>
        <w:tc>
          <w:tcPr>
            <w:tcW w:w="688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w:t>
            </w:r>
          </w:p>
        </w:tc>
        <w:tc>
          <w:tcPr>
            <w:tcW w:w="206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7"/>
        </w:trPr>
        <w:tc>
          <w:tcPr>
            <w:tcW w:w="68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206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jc w:val="both"/>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left="20" w:right="20" w:firstLine="25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left="20" w:firstLine="259"/>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6"/>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2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48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174" w:lineRule="exact"/>
        <w:rPr>
          <w:sz w:val="24"/>
          <w:szCs w:val="24"/>
          <w:color w:val="auto"/>
        </w:rPr>
      </w:pPr>
    </w:p>
    <w:p>
      <w:pPr>
        <w:jc w:val="both"/>
        <w:ind w:left="20" w:right="20"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280"/>
        <w:spacing w:after="0" w:line="161" w:lineRule="exact"/>
        <w:tabs>
          <w:tab w:leader="none" w:pos="6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jc w:val="both"/>
        <w:ind w:left="20" w:firstLine="259"/>
        <w:spacing w:after="0" w:line="23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2018 was approximately $34.8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The number of shares of Common Stock, $0.01 par value, of the registrant outstanding as of February 8, 2019 was 423,779,540 (excluding treasury shares of 206,502,921).</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060" w:type="dxa"/>
            <w:vAlign w:val="bottom"/>
            <w:gridSpan w:val="2"/>
          </w:tcPr>
          <w:p>
            <w:pPr>
              <w:jc w:val="center"/>
              <w:ind w:right="4348"/>
              <w:spacing w:after="0"/>
              <w:rPr>
                <w:sz w:val="20"/>
                <w:szCs w:val="20"/>
                <w:color w:val="auto"/>
              </w:rPr>
            </w:pPr>
            <w:r>
              <w:rPr>
                <w:rFonts w:ascii="Arial" w:cs="Arial" w:eastAsia="Arial" w:hAnsi="Arial"/>
                <w:sz w:val="14"/>
                <w:szCs w:val="14"/>
                <w:b w:val="1"/>
                <w:bCs w:val="1"/>
                <w:color w:val="auto"/>
                <w:w w:val="93"/>
              </w:rPr>
              <w:t>Document</w:t>
            </w:r>
          </w:p>
        </w:tc>
        <w:tc>
          <w:tcPr>
            <w:tcW w:w="312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3"/>
              </w:rPr>
              <w:t>Incorporated as to</w:t>
            </w:r>
          </w:p>
        </w:tc>
      </w:tr>
      <w:tr>
        <w:trPr>
          <w:trHeight w:val="123"/>
        </w:trPr>
        <w:tc>
          <w:tcPr>
            <w:tcW w:w="2240" w:type="dxa"/>
            <w:vAlign w:val="bottom"/>
          </w:tcPr>
          <w:p>
            <w:pPr>
              <w:ind w:left="1880"/>
              <w:spacing w:after="0" w:line="123" w:lineRule="exact"/>
              <w:rPr>
                <w:sz w:val="20"/>
                <w:szCs w:val="20"/>
                <w:color w:val="auto"/>
              </w:rPr>
            </w:pPr>
            <w:r>
              <w:rPr>
                <w:rFonts w:ascii="Arial" w:cs="Arial" w:eastAsia="Arial" w:hAnsi="Arial"/>
                <w:sz w:val="14"/>
                <w:szCs w:val="14"/>
                <w:color w:val="auto"/>
                <w:w w:val="94"/>
              </w:rPr>
              <w:t>Proxy</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Statement</w:t>
            </w:r>
          </w:p>
        </w:tc>
        <w:tc>
          <w:tcPr>
            <w:tcW w:w="4420" w:type="dxa"/>
            <w:vAlign w:val="bottom"/>
          </w:tcPr>
          <w:p>
            <w:pPr>
              <w:spacing w:after="0" w:line="123" w:lineRule="exact"/>
              <w:rPr>
                <w:sz w:val="20"/>
                <w:szCs w:val="20"/>
                <w:color w:val="auto"/>
              </w:rPr>
            </w:pPr>
            <w:r>
              <w:rPr>
                <w:rFonts w:ascii="Arial" w:cs="Arial" w:eastAsia="Arial" w:hAnsi="Arial"/>
                <w:sz w:val="14"/>
                <w:szCs w:val="14"/>
                <w:color w:val="auto"/>
              </w:rPr>
              <w:t>for the</w:t>
            </w: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Part III</w:t>
            </w:r>
          </w:p>
        </w:tc>
        <w:tc>
          <w:tcPr>
            <w:tcW w:w="1980" w:type="dxa"/>
            <w:vAlign w:val="bottom"/>
          </w:tcPr>
          <w:p>
            <w:pPr>
              <w:spacing w:after="0"/>
              <w:rPr>
                <w:sz w:val="10"/>
                <w:szCs w:val="10"/>
                <w:color w:val="auto"/>
              </w:rPr>
            </w:pPr>
          </w:p>
        </w:tc>
      </w:tr>
      <w:tr>
        <w:trPr>
          <w:trHeight w:val="182"/>
        </w:trPr>
        <w:tc>
          <w:tcPr>
            <w:tcW w:w="7300" w:type="dxa"/>
            <w:vAlign w:val="bottom"/>
            <w:gridSpan w:val="3"/>
          </w:tcPr>
          <w:p>
            <w:pPr>
              <w:jc w:val="center"/>
              <w:ind w:right="2108"/>
              <w:spacing w:after="0"/>
              <w:rPr>
                <w:sz w:val="20"/>
                <w:szCs w:val="20"/>
                <w:color w:val="auto"/>
              </w:rPr>
            </w:pPr>
            <w:r>
              <w:rPr>
                <w:rFonts w:ascii="Arial" w:cs="Arial" w:eastAsia="Arial" w:hAnsi="Arial"/>
                <w:sz w:val="14"/>
                <w:szCs w:val="14"/>
                <w:color w:val="auto"/>
                <w:w w:val="94"/>
              </w:rPr>
              <w:t>2019 Annual Meeting of Stockholders</w:t>
            </w: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41"/>
        </w:trPr>
        <w:tc>
          <w:tcPr>
            <w:tcW w:w="2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763"/>
        </w:trPr>
        <w:tc>
          <w:tcPr>
            <w:tcW w:w="2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18"/>
          </w:tcPr>
          <w:p>
            <w:pPr>
              <w:jc w:val="center"/>
              <w:ind w:right="254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13"/>
            <w:vMerge w:val="restart"/>
          </w:tcPr>
          <w:p>
            <w:pPr>
              <w:jc w:val="center"/>
              <w:ind w:right="35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13"/>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3"/>
          </w:tcPr>
          <w:p>
            <w:pPr>
              <w:spacing w:after="0"/>
              <w:rPr>
                <w:sz w:val="18"/>
                <w:szCs w:val="18"/>
                <w:color w:val="auto"/>
              </w:rPr>
            </w:pPr>
          </w:p>
        </w:tc>
        <w:tc>
          <w:tcPr>
            <w:tcW w:w="35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8"/>
                <w:szCs w:val="18"/>
                <w:color w:val="auto"/>
              </w:rPr>
            </w:pPr>
          </w:p>
        </w:tc>
        <w:tc>
          <w:tcPr>
            <w:tcW w:w="3580" w:type="dxa"/>
            <w:vAlign w:val="bottom"/>
            <w:gridSpan w:val="10"/>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Item 1A.</w:t>
              </w:r>
            </w:hyperlink>
          </w:p>
        </w:tc>
        <w:tc>
          <w:tcPr>
            <w:tcW w:w="26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1B.</w:t>
              </w:r>
            </w:hyperlink>
          </w:p>
        </w:tc>
        <w:tc>
          <w:tcPr>
            <w:tcW w:w="26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57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400" w:type="dxa"/>
            <w:vAlign w:val="bottom"/>
            <w:gridSpan w:val="3"/>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6400" w:type="dxa"/>
            <w:vAlign w:val="bottom"/>
            <w:gridSpan w:val="2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7740" w:type="dxa"/>
            <w:vAlign w:val="bottom"/>
            <w:gridSpan w:val="2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354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400" w:type="dxa"/>
            <w:vAlign w:val="bottom"/>
            <w:gridSpan w:val="3"/>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Market for Registrant’s Common Equity, Related Stockholder Matters and Issuer Purchases of Equity</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Securities</w:t>
              </w:r>
            </w:hyperlink>
          </w:p>
        </w:tc>
        <w:tc>
          <w:tcPr>
            <w:tcW w:w="4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400" w:type="dxa"/>
            <w:vAlign w:val="bottom"/>
            <w:gridSpan w:val="3"/>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602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7.</w:t>
              </w:r>
            </w:hyperlink>
          </w:p>
        </w:tc>
        <w:tc>
          <w:tcPr>
            <w:tcW w:w="400" w:type="dxa"/>
            <w:vAlign w:val="bottom"/>
            <w:gridSpan w:val="3"/>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7A.</w:t>
              </w:r>
            </w:hyperlink>
          </w:p>
        </w:tc>
        <w:tc>
          <w:tcPr>
            <w:tcW w:w="260" w:type="dxa"/>
            <w:vAlign w:val="bottom"/>
          </w:tcPr>
          <w:p>
            <w:pPr>
              <w:spacing w:after="0"/>
              <w:rPr>
                <w:sz w:val="17"/>
                <w:szCs w:val="17"/>
                <w:color w:val="auto"/>
              </w:rPr>
            </w:pPr>
          </w:p>
        </w:tc>
        <w:tc>
          <w:tcPr>
            <w:tcW w:w="7740" w:type="dxa"/>
            <w:vAlign w:val="bottom"/>
            <w:gridSpan w:val="2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10"/>
          </w:tcPr>
          <w:p>
            <w:pPr>
              <w:spacing w:after="0"/>
              <w:rPr>
                <w:sz w:val="17"/>
                <w:szCs w:val="17"/>
                <w:color w:val="auto"/>
              </w:rPr>
            </w:pPr>
          </w:p>
        </w:tc>
        <w:tc>
          <w:tcPr>
            <w:tcW w:w="33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Item 9.</w:t>
              </w:r>
            </w:hyperlink>
          </w:p>
        </w:tc>
        <w:tc>
          <w:tcPr>
            <w:tcW w:w="400" w:type="dxa"/>
            <w:vAlign w:val="bottom"/>
            <w:gridSpan w:val="3"/>
          </w:tcPr>
          <w:p>
            <w:pPr>
              <w:spacing w:after="0"/>
              <w:rPr>
                <w:sz w:val="17"/>
                <w:szCs w:val="17"/>
                <w:color w:val="auto"/>
              </w:rPr>
            </w:pP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Changes in and Disagreements with Accountants on Accounting and Financial Disclosure</w:t>
              </w:r>
            </w:hyperlink>
          </w:p>
        </w:tc>
        <w:tc>
          <w:tcPr>
            <w:tcW w:w="12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Item 9A.</w:t>
              </w:r>
            </w:hyperlink>
          </w:p>
        </w:tc>
        <w:tc>
          <w:tcPr>
            <w:tcW w:w="26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Controls and Procedures</w:t>
              </w:r>
            </w:hyperlink>
          </w:p>
        </w:tc>
        <w:tc>
          <w:tcPr>
            <w:tcW w:w="59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9B.</w:t>
              </w:r>
            </w:hyperlink>
          </w:p>
        </w:tc>
        <w:tc>
          <w:tcPr>
            <w:tcW w:w="7740" w:type="dxa"/>
            <w:vAlign w:val="bottom"/>
            <w:gridSpan w:val="2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0000EE"/>
            </w:tcBorders>
            <w:gridSpan w:val="8"/>
          </w:tcPr>
          <w:p>
            <w:pPr>
              <w:jc w:val="center"/>
              <w:spacing w:after="0" w:line="19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III</w:t>
              </w:r>
            </w:hyperlink>
          </w:p>
        </w:tc>
        <w:tc>
          <w:tcPr>
            <w:tcW w:w="350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10.</w:t>
              </w:r>
            </w:hyperlink>
          </w:p>
        </w:tc>
        <w:tc>
          <w:tcPr>
            <w:tcW w:w="7740" w:type="dxa"/>
            <w:vAlign w:val="bottom"/>
            <w:gridSpan w:val="2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Item 11.</w:t>
              </w:r>
            </w:hyperlink>
          </w:p>
        </w:tc>
        <w:tc>
          <w:tcPr>
            <w:tcW w:w="320" w:type="dxa"/>
            <w:vAlign w:val="bottom"/>
            <w:gridSpan w:val="2"/>
          </w:tcPr>
          <w:p>
            <w:pPr>
              <w:spacing w:after="0"/>
              <w:rPr>
                <w:sz w:val="17"/>
                <w:szCs w:val="17"/>
                <w:color w:val="auto"/>
              </w:rPr>
            </w:pPr>
          </w:p>
        </w:tc>
        <w:tc>
          <w:tcPr>
            <w:tcW w:w="4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36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12.</w:t>
              </w:r>
            </w:hyperlink>
          </w:p>
        </w:tc>
        <w:tc>
          <w:tcPr>
            <w:tcW w:w="7740" w:type="dxa"/>
            <w:vAlign w:val="bottom"/>
            <w:gridSpan w:val="29"/>
          </w:tcPr>
          <w:p>
            <w:pPr>
              <w:spacing w:after="0" w:line="196" w:lineRule="exact"/>
              <w:rPr>
                <w:rFonts w:ascii="Arial" w:cs="Arial" w:eastAsia="Arial" w:hAnsi="Arial"/>
                <w:sz w:val="18"/>
                <w:szCs w:val="18"/>
                <w:color w:val="0000EE"/>
                <w:w w:val="96"/>
              </w:rPr>
            </w:pPr>
            <w:hyperlink w:anchor="page121">
              <w:r>
                <w:rPr>
                  <w:rFonts w:ascii="Arial" w:cs="Arial" w:eastAsia="Arial" w:hAnsi="Arial"/>
                  <w:sz w:val="18"/>
                  <w:szCs w:val="18"/>
                  <w:color w:val="0000EE"/>
                  <w:w w:val="96"/>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13.</w:t>
              </w:r>
            </w:hyperlink>
          </w:p>
        </w:tc>
        <w:tc>
          <w:tcPr>
            <w:tcW w:w="7740" w:type="dxa"/>
            <w:vAlign w:val="bottom"/>
            <w:gridSpan w:val="2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Certain Relationships and Related Transactions, and Director Independence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14.</w:t>
              </w:r>
            </w:hyperlink>
          </w:p>
        </w:tc>
        <w:tc>
          <w:tcPr>
            <w:tcW w:w="7740" w:type="dxa"/>
            <w:vAlign w:val="bottom"/>
            <w:gridSpan w:val="2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Principal Accounting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40" w:type="dxa"/>
            <w:vAlign w:val="bottom"/>
            <w:gridSpan w:val="15"/>
          </w:tcPr>
          <w:p>
            <w:pPr>
              <w:jc w:val="center"/>
              <w:ind w:right="3500"/>
              <w:spacing w:after="0" w:line="196" w:lineRule="exact"/>
              <w:rPr>
                <w:rFonts w:ascii="Arial" w:cs="Arial" w:eastAsia="Arial" w:hAnsi="Arial"/>
                <w:sz w:val="18"/>
                <w:szCs w:val="18"/>
                <w:b w:val="1"/>
                <w:bCs w:val="1"/>
                <w:color w:val="0000EE"/>
                <w:w w:val="98"/>
              </w:rPr>
            </w:pPr>
            <w:hyperlink w:anchor="page122">
              <w:r>
                <w:rPr>
                  <w:rFonts w:ascii="Arial" w:cs="Arial" w:eastAsia="Arial" w:hAnsi="Arial"/>
                  <w:sz w:val="18"/>
                  <w:szCs w:val="18"/>
                  <w:b w:val="1"/>
                  <w:bCs w:val="1"/>
                  <w:color w:val="0000EE"/>
                  <w:w w:val="98"/>
                </w:rPr>
                <w:t>PART IV</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15.</w:t>
              </w:r>
            </w:hyperlink>
          </w:p>
        </w:tc>
        <w:tc>
          <w:tcPr>
            <w:tcW w:w="3520" w:type="dxa"/>
            <w:vAlign w:val="bottom"/>
            <w:gridSpan w:val="1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Exhibits</w:t>
              </w:r>
            </w:hyperlink>
          </w:p>
        </w:tc>
        <w:tc>
          <w:tcPr>
            <w:tcW w:w="700" w:type="dxa"/>
            <w:vAlign w:val="bottom"/>
            <w:tcBorders>
              <w:top w:val="single" w:sz="8" w:color="0000EE"/>
            </w:tcBorders>
            <w:gridSpan w:val="6"/>
          </w:tcPr>
          <w:p>
            <w:pPr>
              <w:spacing w:after="0"/>
              <w:rPr>
                <w:sz w:val="17"/>
                <w:szCs w:val="17"/>
                <w:color w:val="auto"/>
              </w:rPr>
            </w:pPr>
          </w:p>
        </w:tc>
        <w:tc>
          <w:tcPr>
            <w:tcW w:w="35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180" w:type="dxa"/>
            <w:vAlign w:val="bottom"/>
            <w:gridSpan w:val="2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16.</w:t>
              </w:r>
            </w:hyperlink>
          </w:p>
        </w:tc>
        <w:tc>
          <w:tcPr>
            <w:tcW w:w="7740" w:type="dxa"/>
            <w:vAlign w:val="bottom"/>
            <w:gridSpan w:val="2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Form 10-K Summary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Borders>
              <w:top w:val="single" w:sz="8" w:color="0000EE"/>
            </w:tcBorders>
            <w:gridSpan w:val="7"/>
          </w:tcPr>
          <w:p>
            <w:pPr>
              <w:spacing w:after="0"/>
              <w:rPr>
                <w:sz w:val="24"/>
                <w:szCs w:val="24"/>
                <w:color w:val="auto"/>
              </w:rPr>
            </w:pPr>
          </w:p>
        </w:tc>
        <w:tc>
          <w:tcPr>
            <w:tcW w:w="2540" w:type="dxa"/>
            <w:vAlign w:val="bottom"/>
            <w:gridSpan w:val="11"/>
          </w:tcPr>
          <w:p>
            <w:pPr>
              <w:jc w:val="right"/>
              <w:ind w:right="4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details on the financial position, results of operations and cash flows of WM, WM Holdings and their subsidiaries, see Note 21 to the Consolidated Financial Statements.</w:t>
      </w:r>
    </w:p>
    <w:p>
      <w:pPr>
        <w:spacing w:after="0" w:line="18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Our principal executive offices are located at 1001 Fannin Street, Houston, Texas 77002. Our telephone number is (713) 512</w:t>
      </w:r>
      <w:r>
        <w:rPr>
          <w:rFonts w:ascii="MS PGothic" w:cs="MS PGothic" w:eastAsia="MS PGothic" w:hAnsi="MS PGothic"/>
          <w:sz w:val="17"/>
          <w:szCs w:val="17"/>
          <w:color w:val="auto"/>
        </w:rPr>
        <w:t>‑</w:t>
      </w:r>
      <w:r>
        <w:rPr>
          <w:rFonts w:ascii="Arial" w:cs="Arial" w:eastAsia="Arial" w:hAnsi="Arial"/>
          <w:sz w:val="17"/>
          <w:szCs w:val="17"/>
          <w:color w:val="auto"/>
        </w:rPr>
        <w:t>6200. Our website address is www.wm.com.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and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are all available, free of charge, on our website as soon as practicable after we file the reports with the SEC. Our stock is traded on the New York Stock Exchange under the symbol “WM.”</w:t>
      </w:r>
    </w:p>
    <w:p>
      <w:pPr>
        <w:spacing w:after="0" w:line="2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United States (“U.S.”). During 2018, our largest customer represented 1% of annual revenues. We employed approximately 43,700 people as of December 31, 2018.</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own or operate 252 landfill sites, which is the largest network of landfills in North America. In order to make disposal more practical for larger urban markets, where the distance to landfills is typically farther, we manage 314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North America, handling materials that include paper, cardboard, glass, plastic and metal. We provide cost-efficient, environmentally sound recycling programs for municipalities, businesses and households across the U.S. and Canada as well as other services that supplement our Traditional Solid Waste business.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execution of our strategy will deliver shareholder value and leadership in a dynamic industry. In addition, we intend to continue to return value to our stockholders through dividend payments and our common stock repurchase program. In December 2018, we announced that our Board of Directors expects to increase the quarterly dividend from $0.465 to $0.5125 per share for dividends declared in 2019, which is a 10.2% increase from the quarterly dividends we declared in 2018. This is an indication of our ability to generate strong and consistent cash flows and marks the 16th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75" w:lineRule="exact"/>
        <w:rPr>
          <w:sz w:val="20"/>
          <w:szCs w:val="20"/>
          <w:color w:val="auto"/>
        </w:rPr>
      </w:pPr>
    </w:p>
    <w:p>
      <w:pPr>
        <w:jc w:val="center"/>
        <w:ind w:right="8200"/>
        <w:spacing w:after="0"/>
        <w:rPr>
          <w:sz w:val="20"/>
          <w:szCs w:val="20"/>
          <w:color w:val="auto"/>
        </w:rPr>
      </w:pPr>
      <w:r>
        <w:rPr>
          <w:rFonts w:ascii="Arial" w:cs="Arial" w:eastAsia="Arial" w:hAnsi="Arial"/>
          <w:sz w:val="16"/>
          <w:szCs w:val="16"/>
          <w:b w:val="1"/>
          <w:bCs w:val="1"/>
          <w:color w:val="auto"/>
        </w:rPr>
        <w:t>Operations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See Note 19 to the Consolidated Financial Statements for additional information about our reportable segments. We also provide additional services that are not managed through our Solid Waste business, as described below. These operations are presented in this report as “Other.” The services we currently provide include collection, landfill (solid and hazardous waste landfills), transfer, recycling and resource recovery and other services, as described below.</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Collection. </w:t>
      </w:r>
      <w:r>
        <w:rPr>
          <w:rFonts w:ascii="Arial" w:cs="Arial" w:eastAsia="Arial" w:hAnsi="Arial"/>
          <w:sz w:val="17"/>
          <w:szCs w:val="17"/>
          <w:color w:val="auto"/>
        </w:rPr>
        <w:t>Our commitment to customers begins with a vast waste collection network. Collection involves picking up</w:t>
      </w:r>
      <w:r>
        <w:rPr>
          <w:rFonts w:ascii="Arial" w:cs="Arial" w:eastAsia="Arial" w:hAnsi="Arial"/>
          <w:sz w:val="17"/>
          <w:szCs w:val="17"/>
          <w:i w:val="1"/>
          <w:iCs w:val="1"/>
          <w:color w:val="auto"/>
        </w:rPr>
        <w:t xml:space="preserve"> </w:t>
      </w:r>
      <w:r>
        <w:rPr>
          <w:rFonts w:ascii="Arial" w:cs="Arial" w:eastAsia="Arial" w:hAnsi="Arial"/>
          <w:sz w:val="17"/>
          <w:szCs w:val="17"/>
          <w:color w:val="auto"/>
        </w:rPr>
        <w:t>and transporting waste and recyclable materials from where it was generated to a transfer station, material recovery facility (“MRF”) or disposal site. We generally provide collection services under one of two types of arrangements:</w:t>
      </w:r>
    </w:p>
    <w:p>
      <w:pPr>
        <w:spacing w:after="0" w:line="166" w:lineRule="exact"/>
        <w:rPr>
          <w:sz w:val="20"/>
          <w:szCs w:val="20"/>
          <w:color w:val="auto"/>
        </w:rPr>
      </w:pPr>
    </w:p>
    <w:p>
      <w:pPr>
        <w:jc w:val="both"/>
        <w:ind w:left="660" w:hanging="333"/>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7"/>
          <w:szCs w:val="17"/>
          <w:color w:val="auto"/>
        </w:rPr>
      </w:pPr>
    </w:p>
    <w:p>
      <w:pPr>
        <w:jc w:val="both"/>
        <w:ind w:left="660" w:hanging="333"/>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Landfill. </w:t>
      </w:r>
      <w:r>
        <w:rPr>
          <w:rFonts w:ascii="Arial" w:cs="Arial" w:eastAsia="Arial" w:hAnsi="Arial"/>
          <w:sz w:val="17"/>
          <w:szCs w:val="17"/>
          <w:color w:val="auto"/>
        </w:rPr>
        <w:t>Landfills are the main depositories for solid waste in North America. As of December 31, 2018, we owned 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operated 247 solid waste landfills and five secure hazardous waste landfills, which represents the largest network of landfills in North America. Solid waste landfills are constructed and operated on land with engineering safeguards that limit the possibility of water and air pollution, and are operated under procedures prescribed by regulation. A landfill must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8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As of December 31, 2018, we owned or operated 314 transfer stations in North America. We deposit waste at</w:t>
      </w:r>
      <w:r>
        <w:rPr>
          <w:rFonts w:ascii="Arial" w:cs="Arial" w:eastAsia="Arial" w:hAnsi="Arial"/>
          <w:sz w:val="17"/>
          <w:szCs w:val="17"/>
          <w:i w:val="1"/>
          <w:iCs w:val="1"/>
          <w:color w:val="auto"/>
        </w:rPr>
        <w:t xml:space="preserve"> </w:t>
      </w:r>
      <w:r>
        <w:rPr>
          <w:rFonts w:ascii="Arial" w:cs="Arial" w:eastAsia="Arial" w:hAnsi="Arial"/>
          <w:sz w:val="17"/>
          <w:szCs w:val="17"/>
          <w:color w:val="auto"/>
        </w:rPr>
        <w:t>these stations, as do other waste haulers. The solid waste is then consolidated and compacted to reduce the volume and increase the density of the waste and transported by transfer trucks or by rail to disposal sites.</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Our recycling operations provide communities and businesses with an alternative to traditional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and support our strategic goals to extract more value from the materials we manage. We were the first major solid waste company to focus on residential single-stream recycling, which allows customers to mix recyclable paper, plastic and glass in one bin. Residential single-stream programs have greatly increased the recycling volumes. Single-stream recycling is possible through the use of various mechanized screens and optical sorting technologies. We have also been advancing the single-stream recycling programs for commercial applications. Recycling involves the separation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reusable materials from the waste stream for processing and resale or other disposition. Our recycling operations include the following:</w:t>
      </w:r>
    </w:p>
    <w:p>
      <w:pPr>
        <w:spacing w:after="0" w:line="170"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i w:val="1"/>
          <w:iCs w:val="1"/>
          <w:color w:val="auto"/>
        </w:rPr>
        <w:t xml:space="preserve">Materials processing — </w:t>
      </w:r>
      <w:r>
        <w:rPr>
          <w:rFonts w:ascii="Arial" w:cs="Arial" w:eastAsia="Arial" w:hAnsi="Arial"/>
          <w:sz w:val="17"/>
          <w:szCs w:val="17"/>
          <w:color w:val="auto"/>
        </w:rPr>
        <w:t>Through our collection operations, we collect recyclable materials from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and industrial customers and direct these materials to one of our MRFs for processing. As of December 31, 2018, we operated 102 MRFs where paper, cardboard, metals, plastics, glass, construction and demolition materials and other recycling commodities are recovered for resale or redirected for other purposes.</w:t>
      </w:r>
    </w:p>
    <w:p>
      <w:pPr>
        <w:spacing w:after="0" w:line="171" w:lineRule="exact"/>
        <w:rPr>
          <w:sz w:val="20"/>
          <w:szCs w:val="20"/>
          <w:color w:val="auto"/>
        </w:rPr>
      </w:pPr>
    </w:p>
    <w:p>
      <w:pPr>
        <w:jc w:val="both"/>
        <w:ind w:left="320" w:firstLine="324"/>
        <w:spacing w:after="0" w:line="264" w:lineRule="auto"/>
        <w:rPr>
          <w:sz w:val="20"/>
          <w:szCs w:val="20"/>
          <w:color w:val="auto"/>
        </w:rPr>
      </w:pPr>
      <w:r>
        <w:rPr>
          <w:rFonts w:ascii="Arial" w:cs="Arial" w:eastAsia="Arial" w:hAnsi="Arial"/>
          <w:sz w:val="18"/>
          <w:szCs w:val="18"/>
          <w:i w:val="1"/>
          <w:iCs w:val="1"/>
          <w:color w:val="auto"/>
        </w:rPr>
        <w:t xml:space="preserve">Recycling commodities — </w:t>
      </w:r>
      <w:r>
        <w:rPr>
          <w:rFonts w:ascii="Arial" w:cs="Arial" w:eastAsia="Arial" w:hAnsi="Arial"/>
          <w:sz w:val="18"/>
          <w:szCs w:val="18"/>
          <w:color w:val="auto"/>
        </w:rPr>
        <w:t>We market and resell recycling commodities globally. We manage the 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that are processed in our facilities by maintaining comprehensive service centers that continuously analyze market prices, logistics, market demands and product quality.</w:t>
      </w:r>
    </w:p>
    <w:p>
      <w:pPr>
        <w:spacing w:after="0" w:line="181"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i w:val="1"/>
          <w:iCs w:val="1"/>
          <w:color w:val="auto"/>
        </w:rPr>
        <w:t xml:space="preserve">Recycling brokerage services </w:t>
      </w:r>
      <w:r>
        <w:rPr>
          <w:rFonts w:ascii="Arial" w:cs="Arial" w:eastAsia="Arial" w:hAnsi="Arial"/>
          <w:sz w:val="18"/>
          <w:szCs w:val="18"/>
          <w:color w:val="auto"/>
        </w:rPr>
        <w:t>— We also provide recycling brokerage services, which involve managing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 recyclable materials for third parties. The experience of our recycling operations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Some of the recyclable materials processed in our MRFs are purchased from various sources, including third parties and our own operations. The price we pay for recyclable materials is often referred to as a “rebate.” In some cases, rebates are based on fixed contractual rates or on defined minimum per-ton rates but are generally based upon the price we receive for sales of processed goods, market conditions and transportation costs. As a result, changes in commodity prices for recycled materials also significantly affect the rebates we pay to our suppliers and depending on the key terms of the agreement are recorded as either operating expenses or a reduction in operating revenues within our Consolidated Statements of Operations, subsequent to the adoption of Accounting Standards Update (“ASU”) 2014-09 on January 1, 2018. See Note 2 to the Consolidated Financial Statements for additional information. In recent years, we have been focused on revising our rebate structures to ensure that we cover our cost of handling and processing the materials and generate an acceptable margin on the materials we process and sell.</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accounts organization, which is managed by our Strategic Business Solutions (“WMSBS”) organization, works with customers whose locations span the U.S. and Canada. Our strategic accounts program provides centralized customer service, billing and management of accounts to streamline the administration of customers multiple locations’ waste management needs.</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Energy and Environmental Services (“EES”) organization offers our customers in all Areas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EES organization but reflected principally in our collection line of business and (iv) specialized disposal services for oil and gas exploration and production operations; revenues for this service are also reflected principally in our collection line of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develop, operate and promote projects for the beneficial use of landfill gas through our WM Renewable Energy organization.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same category as wind, solar and geothermal resources. As of December 31, 2018, we had 130 landfill gas beneficial use projects producing commercial quantities of methane gas at owned or operated landfills. For 101 of these projects, the processed gas is used to fuel electricity generators. The electricity is then sold to public utilities, municipal utilities or power cooperatives. For 15 of these projects, the landfill gas is processed to pipeline-quality natural gas and then sold to natural gas suppliers. For 14 of these projects, the gas is used at the landfill or delivered by pipeline to industrial customers as a direct substitute for fossil fuels in industrial processes.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8"/>
          <w:szCs w:val="8"/>
          <w:color w:val="auto"/>
        </w:rPr>
        <w:t>®</w:t>
      </w:r>
      <w:r>
        <w:rPr>
          <w:rFonts w:ascii="Arial" w:cs="Arial" w:eastAsia="Arial" w:hAnsi="Arial"/>
          <w:sz w:val="18"/>
          <w:szCs w:val="18"/>
          <w:color w:val="auto"/>
        </w:rPr>
        <w:t xml:space="preserve"> program; the development, operation and marketing of plasma gasification facilities; operation of a landfill gas-to-liquid natural gas plant; solar powered trash compactors and organic waste-to-fuel conversion technology. We also have expanded service offerings and solutions including fluorescent bulb and universal waste mail-back through our LampTracker</w:t>
      </w:r>
      <w:r>
        <w:rPr>
          <w:rFonts w:ascii="Arial" w:cs="Arial" w:eastAsia="Arial" w:hAnsi="Arial"/>
          <w:sz w:val="8"/>
          <w:szCs w:val="8"/>
          <w:color w:val="auto"/>
        </w:rPr>
        <w:t>®</w:t>
      </w:r>
      <w:r>
        <w:rPr>
          <w:rFonts w:ascii="Arial" w:cs="Arial" w:eastAsia="Arial" w:hAnsi="Arial"/>
          <w:sz w:val="18"/>
          <w:szCs w:val="18"/>
          <w:color w:val="auto"/>
        </w:rPr>
        <w:t xml:space="preserve"> program; portable restroom servicing under the name Port-o-Let</w:t>
      </w:r>
      <w:r>
        <w:rPr>
          <w:rFonts w:ascii="Arial" w:cs="Arial" w:eastAsia="Arial" w:hAnsi="Arial"/>
          <w:sz w:val="8"/>
          <w:szCs w:val="8"/>
          <w:color w:val="auto"/>
        </w:rPr>
        <w:t>®</w:t>
      </w:r>
      <w:r>
        <w:rPr>
          <w:rFonts w:ascii="Arial" w:cs="Arial" w:eastAsia="Arial" w:hAnsi="Arial"/>
          <w:sz w:val="18"/>
          <w:szCs w:val="18"/>
          <w:color w:val="auto"/>
        </w:rPr>
        <w:t>; and street and parking lot sweeping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we had approximately 43,700 full-time employees, of which approximately 8,200 were employed in administrative and sales positions and the balance in operations. Approximately 8,300 of our employees are covered by collective bargaining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 (iii) 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Surety bonds and insurance policies are supported by (i) a diverse group of third-party surety and insurance companies;</w:t>
      </w:r>
    </w:p>
    <w:p>
      <w:pPr>
        <w:spacing w:after="0" w:line="46" w:lineRule="exact"/>
        <w:rPr>
          <w:sz w:val="20"/>
          <w:szCs w:val="20"/>
          <w:color w:val="auto"/>
        </w:rPr>
      </w:pPr>
    </w:p>
    <w:p>
      <w:pPr>
        <w:jc w:val="both"/>
        <w:ind w:firstLine="3"/>
        <w:spacing w:after="0" w:line="254" w:lineRule="auto"/>
        <w:tabs>
          <w:tab w:leader="none" w:pos="2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(“$2.75 billion revolving credit facility”) and other credit facilities established for that purpose.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carry a broad range of insurance coverages, including 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per-incident deductible under the related insurance policy. In December 2017, we elected to use a wholly-owned insurance captive to insure the deductibles for our general liability, automobile liability and workers’ compensation claims programs. As of December 31, 2018, both our commercial General Liability Insurance Policy and our workers’ compensation insurance program carried self-insurance exposures of up to $5 million per incident. As of December 31, 2018, our automobile liability insurance program included a per-incident deductible of up to $10 million. We do not expect the impact of any known casualty, property, environmental or other contingency to have a material impact on our financial condition, results of operations or cash flows. Our estimated insurance liabilities as of December 31, 2018 are summarized in Note 10 to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EPA, Environment Canada,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 of violations.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Because the primary mission of our business is to collect and manage solid waste in an environmentally sound manner, a significant amount of our capital expenditures is related, either directly or indirectly, to environmental protection measures, including compliance with federal, state, provincial and local rules. There are costs associated with siting, design, permitting, operations, monitoring, site maintenance, corrective actions, financial assurance, and facility closure and post-closure obligations. With acquisition, development or expansion of a waste management or disposal facility or transfer station, we must often spend considerable time, effort and money to obtain or maintain required permits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recent years, we perceived an increase in both the amount of government regulation and the number of enforcement actions being brought by regulatory entities against operations in the waste services industry. The current U.S. presidential administration has called for substantial changes to foreign trade policy and has generally appeared to be in favor of reducing regulation, including environmental regulation. We cannot predict what impact the current administration will have on regulations impacting our industry, especially given the number of rules currently in litigation, nor can we predict the timing of any such changes. Reduction of regulation may have a favorable impact on our operating costs, but the extensive environmental regulation applicable to landfills is a substantial barrier to entry that benefits our Company. Moreover, the risk reduction provided by stringent regulation is valuable to our customers and the communities we serve.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U.S. federal statutes affecting our business are summarized below:</w:t>
      </w:r>
    </w:p>
    <w:p>
      <w:pPr>
        <w:spacing w:after="0" w:line="117" w:lineRule="exact"/>
        <w:rPr>
          <w:sz w:val="20"/>
          <w:szCs w:val="20"/>
          <w:color w:val="auto"/>
        </w:rPr>
      </w:pPr>
    </w:p>
    <w:p>
      <w:pPr>
        <w:jc w:val="both"/>
        <w:ind w:left="660" w:hanging="333"/>
        <w:spacing w:after="0" w:line="26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Resource Conservation and Recovery Act of 1976 (“RCRA”), as amended, regulates handling, transporting and disposing of hazardous and non-hazardous waste and delegates authority to states to develop programs to ensure the safe disposal of solid waste. In 1991, the EPA issued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 In December 2018, the EPA signed a final rule that establishes management standards for pharmaceutical wastes that are classified as hazardous wastes. The requirements of the rule apply primarily to healthcare facilities and reverse distributors of hazardous waste pharmaceuticals and include a broad prohibition on disposal of hazardous waste pharmaceuticals in sewage systems. The rule is not currently anticipated to materially affect our industry, but we do expect that it will create new waste volumes for disposal at facilities permitted to incinerate hazardous waste. Also, in December 2018, the EPA published an Advanced Notice of Proposed Rulemaking to consider whether to propose revisions to the MSW Landfill criteria to support advances in liquids management. The notice does not reopen any existing regulations; we will review the topic for both risks and opportunities for our business and respond appropriately.</w:t>
      </w:r>
    </w:p>
    <w:p>
      <w:pPr>
        <w:spacing w:after="0" w:line="75" w:lineRule="exact"/>
        <w:rPr>
          <w:rFonts w:ascii="Arial" w:cs="Arial" w:eastAsia="Arial" w:hAnsi="Arial"/>
          <w:sz w:val="17"/>
          <w:szCs w:val="17"/>
          <w:color w:val="auto"/>
        </w:rPr>
      </w:pPr>
    </w:p>
    <w:p>
      <w:pPr>
        <w:jc w:val="both"/>
        <w:ind w:left="660" w:hanging="333"/>
        <w:spacing w:after="0" w:line="26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84" w:lineRule="exact"/>
        <w:rPr>
          <w:rFonts w:ascii="Arial" w:cs="Arial" w:eastAsia="Arial" w:hAnsi="Arial"/>
          <w:sz w:val="17"/>
          <w:szCs w:val="17"/>
          <w:color w:val="auto"/>
        </w:rPr>
      </w:pPr>
    </w:p>
    <w:p>
      <w:pPr>
        <w:jc w:val="both"/>
        <w:ind w:left="660" w:hanging="333"/>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surface waters, the Clean Water Act requires us to apply for and obtain discharge permits, conduct sampling and monitoring,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and, under certain circumstances, reduce the quantity of pollutants in those discharges. In 1990, the EPA issued additional standards for management of storm water run-off that require landfills and other waste-handling facilities to obtain storm water discharge permits. Also, if a landfill or other facility discharges wastewater through a sewage system to a publicly-owned treatment works, the facility must comply with discharge limits imposed by the treatment works. Further,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70" w:lineRule="exact"/>
        <w:rPr>
          <w:sz w:val="20"/>
          <w:szCs w:val="20"/>
          <w:color w:val="auto"/>
        </w:rPr>
      </w:pPr>
    </w:p>
    <w:p>
      <w:pPr>
        <w:jc w:val="both"/>
        <w:ind w:left="660" w:hanging="333"/>
        <w:spacing w:after="0" w:line="28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federal, state and local regulation of the emission of air pollutants. Certain of our operations are subject to the requirements of the Clean Air Act, including large municipal solid waste landfills and landfill gas-to-energy facilities. In 1996 the EPA issued new source performance standards (“NSPS”) and emission guidelines controlling landfill gases from new and existing large landfills. In January 2003, the EPA issued Maximum Achievable Control Technology (“MACT”) standards for municipal solid waste landfills subject to the NSPS. These regulations impose limits on air emissions from large municipal solid waste landfills, subject most of these landfills to certain operating permit requirements under Title V of the Clean Air Act and, in many instances, require installation of landfill gas collection and control systems to control emissions or to treat and utilize landfill gas on- or off-site. On August 29, 2016, the EPA published two rules with new requirements for landfill gas control and monitoring at both new municipal solid waste landfills (constructed or modified after July 17, 2014) as well as existing landfills (operating after November 8, 1987 and not modified after July 17, 2014). Working with our trade associations and other landfill owners and operators, we identified significant legal, technical and implementation concerns with the rules and together filed a judicial appeal of the rules while also filing administrative petitions asking that the EPA stay the rules and initiate a rulemaking process, which the EPA has convened. The EPA is also reviewing the landfill MACT standards to determine whether revisions are warranted. A court has required that this Risk Technology Review must be completed, and a final rule issued by March 2020. We cannot predict the outcome of either rulemaking process; however, we do not believe regulatory changes, if determined, will have a material adverse impact on our business as a whole.</w:t>
      </w:r>
    </w:p>
    <w:p>
      <w:pPr>
        <w:spacing w:after="0" w:line="64"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The EPA and the Department of Transportation finalized Greenhouse Gas Emissions and Fuel Efficiency Standards for Medium and Heavy-Duty Engines and Vehicles – Phase 2 on August 16, 2016. The rule will increase fuel economy standards and reduce vehicle emissions standards for our collection fleet between model years 2021 and 2027. We expect to be able to purchase fully compliant vehicles that will meet our operational needs, and while the regulations could increase the costs of operating our fleet, we do not believe any such regulations would have a material adverse impact on our business as a whole.</w:t>
      </w:r>
    </w:p>
    <w:p>
      <w:pPr>
        <w:spacing w:after="0" w:line="85" w:lineRule="exact"/>
        <w:rPr>
          <w:rFonts w:ascii="Arial" w:cs="Arial" w:eastAsia="Arial" w:hAnsi="Arial"/>
          <w:sz w:val="16"/>
          <w:szCs w:val="16"/>
          <w:color w:val="auto"/>
        </w:rPr>
      </w:pPr>
    </w:p>
    <w:p>
      <w:pPr>
        <w:jc w:val="both"/>
        <w:ind w:left="660" w:hanging="333"/>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also actively monitoring the following recent regulatory developments affecting our business:</w:t>
      </w:r>
    </w:p>
    <w:p>
      <w:pPr>
        <w:spacing w:after="0" w:line="117" w:lineRule="exact"/>
        <w:rPr>
          <w:sz w:val="20"/>
          <w:szCs w:val="20"/>
          <w:color w:val="auto"/>
        </w:rPr>
      </w:pPr>
    </w:p>
    <w:p>
      <w:pPr>
        <w:jc w:val="both"/>
        <w:ind w:left="660" w:hanging="333"/>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2010, the EPA issued the Prevention of Significant Deterioration (“PSD”) and Title V Greenhouse Gas (“GHG”) Tailoring Rule, which expanded the EPA’s federal air permitting authority to include the six GHGs, including methane and carbon dioxide. The rule sets new thresholds for GHG emissions that define when Clean Air Act permits are required. The requirements of these rules have not significantly affected our operations or cash flows, due to the tailored thresholds and exclusions of certain emissions from regulation.</w:t>
      </w:r>
    </w:p>
    <w:p>
      <w:pPr>
        <w:spacing w:after="0" w:line="64" w:lineRule="exact"/>
        <w:rPr>
          <w:rFonts w:ascii="Arial" w:cs="Arial" w:eastAsia="Arial" w:hAnsi="Arial"/>
          <w:sz w:val="17"/>
          <w:szCs w:val="17"/>
          <w:color w:val="auto"/>
        </w:rPr>
      </w:pPr>
    </w:p>
    <w:p>
      <w:pPr>
        <w:jc w:val="both"/>
        <w:ind w:left="660"/>
        <w:spacing w:after="0" w:line="312" w:lineRule="auto"/>
        <w:rPr>
          <w:rFonts w:ascii="Arial" w:cs="Arial" w:eastAsia="Arial" w:hAnsi="Arial"/>
          <w:sz w:val="17"/>
          <w:szCs w:val="17"/>
          <w:color w:val="auto"/>
        </w:rPr>
      </w:pPr>
      <w:r>
        <w:rPr>
          <w:rFonts w:ascii="Arial" w:cs="Arial" w:eastAsia="Arial" w:hAnsi="Arial"/>
          <w:sz w:val="16"/>
          <w:szCs w:val="16"/>
          <w:color w:val="auto"/>
        </w:rPr>
        <w:t>Since 2014, decisions from the U.S Supreme Court and U.S. Court of Appeals for the D.C Circuit, as well as EPA policy memorandum, have significantly narrowed the applicability and scope of EPA permitting requirements for GHGs from stationary sources, including with respect to biogenic carbon dioxide (“CO2”) permitting.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 xml:space="preserve">2016, the EPA proposed revisions to the PSD and Title V GHG permitting regulations establishing a significant emissions rate (“SER”) threshold, below which sources would not be required to implement additional control technologies for their GHG emissions. This SER threshold should prevent most of our operational changes, such as landfill expansions and beneficial gas recovery projects, from being subject to PSD or Title V permit requirements due to our GHG emissions – assuming the EPA classifies biogenic CO2 emissions from municipal solid waste and landfill gas as carbon neutral. The EPA has not yet finalized this rulemaking. The EPA also has not yet finalized its policy for addressing biogenic CO2 emissions from waste management; however, the EPA’s independent Science Advisory Board has recommended it treat waste-derived CO2 emissions as carbon-neutral. These recent judicial and regulatory actions have reduced, and are expected to continue to reduce, the potential impact of the PSD and Title V GHG Tailoring Rule on our air permits, compliance and operating requirements.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adoption of climate change legislation or regulations restricting emissions of “greenhouse gases” could increase our costs to operate.</w:t>
      </w:r>
    </w:p>
    <w:p>
      <w:pPr>
        <w:spacing w:after="0" w:line="72"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Other recent regulatory actions to increase the stringency of certain National Ambient Air Quality Standards (“NAAQS”) could affect the cost, timeliness and availability of air permits for new and modified large municipal solid waste landfills and landfill gas-to-energy facilities. However, the EPA under the current administration is reviewing the implementation of the new NAAQS and considering revisions to make the regulations less stringent. While we cannot predict the ultimate outcome of potential revisions to NAAQS, we do not believe that the ultimate requirements will have a material adverse impact on our business as a whole.</w:t>
      </w:r>
    </w:p>
    <w:p>
      <w:pPr>
        <w:spacing w:after="0" w:line="7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We continue to anticipate the needs of our customers, which includes investing in and developing ever-more-advanced recycling and reuse technologies. Potential climate change, GHG regulatory, and corporate sustainability initiatives have influenced our business strategy to provide low-carbon services to our customers, and we increasingly view our ability to offer lower carbon services as a key component of our business growth. If the U.S. were to impose a carbon tax or other form of GHG regulation increasing demand for low-carbon service offerings in the future, the services we are developing will be increasingly valuable.</w:t>
      </w:r>
    </w:p>
    <w:p>
      <w:pPr>
        <w:spacing w:after="0" w:line="70" w:lineRule="exact"/>
        <w:rPr>
          <w:sz w:val="20"/>
          <w:szCs w:val="20"/>
          <w:color w:val="auto"/>
        </w:rPr>
      </w:pPr>
    </w:p>
    <w:p>
      <w:pPr>
        <w:jc w:val="both"/>
        <w:ind w:left="660" w:hanging="333"/>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2014, the EPA issued a final rule regulating the disposal and beneficial use of coal combustion residuals (“CCR”). This codification of the CCR rule provides utilities with a stable regulatory regime and encourages beneficial use of CCR in encapsulated uses (e.g., used in cement or wallboard), and use according to 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 new standards are consistent with our approach to handling CCR at our sites currently, and the new standards have provided a growth opportunity for the Company. States may impose standards more stringent than the federal program, and under the 2016 Water Infrastructure Improvements for the Nation Act, may receive approval to run permitting programs for CCR in their states. In 2018, the U.S. Court of Appeals for the D.C Circuit vacated significant portions of the 2014 final rule and remanded the rule to the EPA for further revision. Because vacated elements of the rule had allowed for the continued operation of unlined CCR ash ponds, the ongoing EPA rulemaking may further expand the Company’s opportunity to provide CCR disposal services.</w:t>
      </w:r>
    </w:p>
    <w:p>
      <w:pPr>
        <w:spacing w:after="0" w:line="174" w:lineRule="exact"/>
        <w:rPr>
          <w:rFonts w:ascii="Arial" w:cs="Arial" w:eastAsia="Arial" w:hAnsi="Arial"/>
          <w:sz w:val="16"/>
          <w:szCs w:val="16"/>
          <w:color w:val="auto"/>
        </w:rPr>
      </w:pPr>
    </w:p>
    <w:p>
      <w:pPr>
        <w:jc w:val="both"/>
        <w:ind w:left="660" w:hanging="333"/>
        <w:spacing w:after="0" w:line="29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May 2016, the EPA established lifetime health advisories for certain per- and polyfluoroalkyl substances (“PFAS”), a group of man-made chemicals that have been manufactured and used globally since the 1940s in products such as textiles, fire suppressants, cookware, packaging and plastics. PFAS are typically very persistent in the environment and can be found in water, soil and air. Citing concerns about potential adverse human health effects from exposure to PFAS, several states have recently enacted new drinking water, surface water and/or groundwater limits for various PFAS, and the EPA has stated that it will be considering additional regulatory action related to the compounds. We are working with both the EPA and state regulatory agencies to maintain compliance with these evolving PFAS standards and anticipate additional expense that will result from these efforts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There are also various state or provincial and local regulations that affect our operations. Each state and province in which we operate has its own laws and regulations governing solid waste disposal, water and air pollution, and, in most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landfill operations are affected by the increasing preference for alternatives to landfill disposal. Many state and local governments mandate recycling and waste reduction at the source and prohibit the disposal of certain types of waste, such as yard waste, food waste and electronics at landfills. The number of state and local governments with recycling requirements and disposal bans continues to grow, while the logistics and economics of recycling the items remain challenging.</w:t>
      </w:r>
    </w:p>
    <w:p>
      <w:pPr>
        <w:spacing w:after="0" w:line="15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U.S. Supreme Court ruled that a flow control ordinance that gave preference to a local facility that was privately owned was unconstitutional, but in 2007, the Court ruled that an ordinance directing waste to a facility owned by the local government was constitutional.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take,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Recycling; Foreign Import and Export Regulations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Enforcement or implementation of foreign and domestic regulations can affect our ability to export products. A significant portion of the fiber that we market has been shipped to export markets across the globe, particularly China. In 2013, the Chinese government began to strictly enforce regulations that establish limits on moisture and non-conforming materials that may be contained in imported recycled paper and plastics and restrict the import of certain other plastic recyclables. In 2017, the Chinese government announced a ban on certain materials, including mixed waste paper and mixed plastics, effective January 1, 2018, as well as extremely restrictive quality requirements effective March 1, 2018 that have been difficult for the industry to achieve. Many other markets, both domestic and foreign, have tightened their quality expectations as well. In addition, other countries have limited or restricted the import of certain recyclables.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Single stream MRFs process a wide range of commingled materials and tend to receive a higher percentage of non-recyclables, which results in increased processing and residual disposal costs to achieve quality standards. Also in 2017, the Chinese government began to limit the flow of material into the country by restricting the issuance of required import licenses. The use of restrictions on import licenses to restrict flow into China continued in 2018 and is expected to continue to constrict in 2019. Additionally, increased container weight tracking and port fees have driven up operating costs in the recycling industry and have resulted in increased price volatility. The current U.S. presidential administration has made substantial changes to foreign trade policy and imposed increases in tariffs on international trade. In response, China has imposed new tariffs on the import of recyclable commodities, including wastepaper, plastics and metals. Such restrictions and tariffs may have a significant impact on our recycling operations.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recent years, we have been revising our service agreements to address increased costs and are working with stakeholders to educate the public on the need to recycle properly. We are investing time and labor and working with customers to help improve quality. However, there is uncertainty about the industry’s ability to adapt to the stricter quality expectations. We have been actively working to identify alternative markets for recycled commodities, but it is possible there may not be sufficient demand for all of the material we produce, resulting in price decreases and volatility. Industry trade organizations and government agencies are engaged in discussions to mitigate long-term impacts to recycling programs and the industry as a whole.</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 a heightened awareness of the global problems of plastic waste in the environment, an increasing number of cities across the country have passed ordinances banning certain types of plastics from sale or use. Bans on single use plastic bags, straws, and polystyrene food containers have been passed in over 350 cities, and a ban on single use plastic bags has been implemented in the State of California. These bans have increased pressure by manufacturers on our recycling facilities to accept a broader array of materials in curbside recycling programs to alleviate public pressures to ban the sale of those materials. However, with no viable end markets for recycling these materials, we and other recyclers are working to educate and remind customers of the need for end market demand and economic viability to support sustainable recycling programs.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Regulation of Oil and Gas Exploration, Production and Disposal</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EES organization provides specialized environmental management and disposal services for fluids used and wastes generated by customers engaged in oil and gas exploration and production, and these disposal services include use of underground injection wells. There is heightened federal regulatory focus on emissions of methane that occur during drilling and transportation of natural gas,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any new regulations regarding the treatment and disposal of wastes associated with exploration and production operations, including through use of injection wells, could increase our costs to provide oilfield services and reduce our margins and revenue from such services. Conversely, any loosening of regulations regarding how such wastes are handled or disposed of could adversely affect our business, as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Emissions from Natural Gas Fueling and Infrastructure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As of December 31, 2018, we were operating 7,621 natural gas trucks and 123 natural gas fueling facilities; 25 of these fueling stations also serve the public, and in some cases our facilities serve the fleet of pre-approved third parties. Concerns have been raised about the potential for emissions from the fueling stations and infrastructure that serve natural gas-fueled vehicles. We have partnered with the environmental organization Environmental Defense Fund, as well as other heavy-duty equipment users and experts, on an emissions study to be made available to policy makers. We anticipate that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comprehensive study of emissions from our heavy-duty fleet may ultimately help inform regulations that will affect equipment manufacturers and will define operating procedures across the industry.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 or our future investment in natural gas vehicles.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Renewable Fuel Production</w:t>
      </w:r>
    </w:p>
    <w:p>
      <w:pPr>
        <w:spacing w:after="0" w:line="22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We have invested, and continue to invest, in facilities to capture and treat renewable natural gas (“RNG”) from the Company’s landfills, and we use RNG from landfill biogas in approximately 30% of our natural gas collection vehicles. The Energy Policy Act of 2005 and Energy Independence and Security Act of 2007 authorize the Renewable Fuels Standards (“RFS”) program that promotes the production and use of renewable transportation fuels. The Company is an EPA-registered producer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renewable identification numbers (“RINs”), from renewable fuel producers. The market value for RINs is tied to renewable fuel volumes set by the EPA annually, and the final 2019 required volumes for cellulosic biofuel are 45% higher than in 2018. The EPA is required to develop a rulemaking this year that will set required volume requirements for a three</w:t>
      </w:r>
      <w:r>
        <w:rPr>
          <w:rFonts w:ascii="MS PGothic" w:cs="MS PGothic" w:eastAsia="MS PGothic" w:hAnsi="MS PGothic"/>
          <w:sz w:val="17"/>
          <w:szCs w:val="17"/>
          <w:color w:val="auto"/>
        </w:rPr>
        <w:t>‑</w:t>
      </w:r>
      <w:r>
        <w:rPr>
          <w:rFonts w:ascii="Arial" w:cs="Arial" w:eastAsia="Arial" w:hAnsi="Arial"/>
          <w:sz w:val="17"/>
          <w:szCs w:val="17"/>
          <w:color w:val="auto"/>
        </w:rPr>
        <w:t>year period from 2020 through 2022. Based on the overall political framework and the upcoming rulemakings, we anticipate a stable market for the Company’s RINs.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Federal, State and Local Climate Change Initiatives; Sustainability</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 Despite the announcement that the U.S. will withdraw from the Paris Climate Accords, we have seen no reduction in customer demand for services aligned with their GHG reduction goals and strategies. Moreover, we have seen initiatives at the federal, state and local level to enhance the environmental benefits in terms of GHG reductions realized by recycling programs by focusing on reducing contamination in the recyclable material.</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Consistent with our Company’s long-standing commitment to corporate sustainability and environmental stewardship, we have published our 2018 Sustainability Report, “Driving Change,” which details the GHG emissions reductions we have facilitated to date and our determination to expand these reductions in the future, as well as our commitment to help make the communities in which we live and work safe, resilient and sustainable. The information in this report can be found at our Company website but does not constitute a part of this Form 10-K. The Company actively participates in a number of sustainability reporting programs and frameworks, including the Dow Jones Sustainability Index, where we are “Sector Leader” for Commercial Services, the CDP, where we are among “A List” companies, and the Sustainability Accounting Standards Board, on which we serve as a member of the Board’s advisory council.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80"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2019 and beyond and that could cause actual results to be materially different from those that may be set forth in forward-looking statements made by the Company.</w:t>
      </w:r>
    </w:p>
    <w:p>
      <w:pPr>
        <w:spacing w:after="0" w:line="16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8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more information on our business strategy.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17" w:lineRule="exact"/>
        <w:rPr>
          <w:sz w:val="20"/>
          <w:szCs w:val="20"/>
          <w:color w:val="auto"/>
        </w:rPr>
      </w:pPr>
    </w:p>
    <w:p>
      <w:pPr>
        <w:ind w:left="4440" w:right="2500" w:hanging="4113"/>
        <w:spacing w:after="0" w:line="904" w:lineRule="auto"/>
        <w:tabs>
          <w:tab w:leader="none" w:pos="6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-294640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117"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continue to face purported class action lawsuits related to our customer service agreements, prices and fees.</w:t>
      </w:r>
    </w:p>
    <w:p>
      <w:pPr>
        <w:spacing w:after="0" w:line="8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optimization efforts.</w:t>
      </w:r>
    </w:p>
    <w:p>
      <w:pPr>
        <w:spacing w:after="0" w:line="117"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Strategic decisions with respect to our asset portfolio may result in impairments to our assets.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w:t>
      </w:r>
      <w:r>
        <w:rPr>
          <w:rFonts w:ascii="Arial" w:cs="Arial" w:eastAsia="Arial" w:hAnsi="Arial"/>
          <w:sz w:val="17"/>
          <w:szCs w:val="17"/>
          <w:i w:val="1"/>
          <w:iCs w:val="1"/>
          <w:color w:val="auto"/>
        </w:rPr>
        <w:t xml:space="preserve"> We may record material charges against our earnings due to impairments to our assets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57"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w:t>
      </w:r>
    </w:p>
    <w:p>
      <w:pPr>
        <w:spacing w:after="0" w:line="62"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38"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risks set forth above, implementation of our business strategy could also be affected by factors beyond our control, such as increased competition, legal developments, government regulation, general economic conditions,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89"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Stringent government regulations at the federal, state, provincial and local level in the U.S. and Canada have a substantial impact on our business, and compliance with such regulations is costly. Many complex laws, rules, orders and interpretations govern environmental protection, health, safety, land use, zoning, transportation and related matters.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Among other things, governmental regulations and enforcement actions may restrict our operations and adversely affect our financial condition, results of operations and cash flows by imposing conditions such as:</w:t>
      </w:r>
    </w:p>
    <w:p>
      <w:pPr>
        <w:spacing w:after="0" w:line="62" w:lineRule="exact"/>
        <w:rPr>
          <w:sz w:val="20"/>
          <w:szCs w:val="20"/>
          <w:color w:val="auto"/>
        </w:rPr>
      </w:pPr>
    </w:p>
    <w:p>
      <w:pPr>
        <w:ind w:left="66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restrictions on the recycling, processing or transformation of waste, recycling and other streams.</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have significant financial obligations relating to final capping, closure, post-closure and environmental remediation at our existing landfills. We establish accruals for these estimated costs, but we could underestimate such accruals because of the types of waste collected and manner in which it is transported and disposed of, including actions taken in the past by companies we have acquired or third-party landfill operators or due to new information about waste types previously collected, among other reasons. Environmental regulatory changes could accelerate or increase capping, closure, post-closure and remediation costs, requiring our expenditures to materially exceed our current accruals.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recent years, we perceived an increase in both the amount of government regulation and the number of enforcement actions being brought by regulatory entities against operations in the waste services industry. The current U.S. presidential administration has called for substantial changes to foreign trade policy and has generally appeared to be in favor of reducing regulation, including environmental regulation. We cannot predict what impact the current administration will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have on the political and regulatory environment in the U.S., the timing of any such changes, or the impact of any such changes on our business. Reduction of regulation may have a favorable impact on our operating costs, but the extensive environmental regulation applicable to landfills is a substantial barrier to entry that benefits our Company. Moreover, the risk reduction provided by stringent regulation is valuable to our customers and the communities we serve. It is likely that some policies adopted by the current administration will benefit us and others will negatively affect us.</w:t>
      </w:r>
    </w:p>
    <w:p>
      <w:pPr>
        <w:spacing w:after="0" w:line="158"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pacing w:after="0" w:line="18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recycling operations process for sale certain recyclable materials, including fibers, aluminum and plastics, which are subject to significant market price fluctuations. Most of the recyclables that we process for sale are paper fibers, including old corrugated cardboard and old newsprint, and a significant portion of the fiber that we market has been shipped to export markets across the globe, particularly China. In 2013, the Chinese government began to strictly enforce regulations that establish limits on moisture and non-conforming materials that may be contained in imported recycled paper and plastics and restrict the import of certain other plastic recyclables. In 2017, the Chinese government announced a ban on certain materials, including mixed waste paper and mixed plastics, effective January 1, 2018, as well as extremely restrictive quality requirements effective March 1, 2018 that have been difficult for the industry to achieve. Many other markets, both domestic and foreign, have tightened their quality expectations as well. In addition, other countries have limited or restricted the import of certain recyclables. Single stream MRFs process a wide range of commingled materials and tend to receive a higher percentage of non-recyclables, which results in increased processing and residual disposal costs to achieve quality standards. Also in 2017, the Chinese government began to limit the flow of material into the country by restricting the issuance of required import licenses. The use of restrictions on import licenses to restrict flow into China continued in 2018 and is expected to continue in 2019. The current U.S. presidential administration has made substantial changes to foreign trade policy and imposed increases in tariffs on international trade. In response, China has imposed new tariffs on the import of recyclable commodities, including wastepaper, plastics and metals. If the Chinese government’s regulations and tariffs or initiatives or other similar regulations, tariffs or initiatives result in further reduced demand or increased operating costs, the profitability of our recycling operations may decline.</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been actively working to identify alternative markets for recycled commodities, but it is possible there may not be sufficient demand for all of the material we produce, resulting in price decreases and increased volatility. The fluctuations in the market prices or demand for these commodities can affect our operating income and cash flows negatively, as we experienced in 2018 or positively, as we experienced in 2017 and 2016. As we have increased the size of our recycling operations, we have also increased our exposure to commodity price fluctuations.</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decline in market prices in 2018 for recycling commodities resulted in a decrease in revenue of $273 million. The increase in market prices in 2017 and 2016 for recycling commodities resulted in increases in revenue of $237 million and $51 million, respectively. Additionally, under some agreements, our recycling operations are required to pay rebates to suppliers. In some cases, if we experience higher revenues based on increased market prices for recycling commodities, the rebates we pay will also increase. In other circumstances, the rebates may be subject to a floor, such that as market prices decrease, any expected profit margins on materials subject to the rebate floor are reduced or eliminated. As we work to revise service agreements to mitigate the impact of commodity price fluctuations, the potential increase in the cost for recycling services may make it more difficult for us to win bids and may slow the growth of recycling overall.</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Fluctuation in energy prices also affects our business, including recycling of plastics manufactured from petroleum products. Significant variations in the price of methane 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EES organization. Demand for these services decreases when drilling activity slows due to depressed oil and gas prices, such as the low prices throughout the last few years. Any of the commodity prices to which we are subject may fluctuate substantially and without notice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Changes in regulations applicable to oil and gas exploration, production and disposal could adversely affect our EES organization.</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EES organization provides specialized environmental management and disposal services for fluids used and wastes generated by customers engaged in oil and gas exploration and production, and these disposal services include the use of underground injection wells. Demand for these services may be adversely affected if drilling activity slows due to regulation and industry conditions beyond our control, in addition to changes in oil and gas prices. There is heightened federal regulatory focus on emissions of methane that occur during drilling and transportation, as well as state attention to protective disposal of drilling residuals. There also remains heightened attention from the public, some states and the EPA to the alleged potential for hydraulic fracturing that occurs during drilling to impact drinking water supplies. Increased regulation of oil and gas exploration and production, including GHG emissions or hydraulic fracturing, could make it more difficult or cost-prohibitive for our EES customers to continue operations, adversely affecting our business.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any new regulations regarding the treatment and disposal of wastes associated with exploration and production operations, including through the use of injection wells, could increase our costs to provide oilfield services and reduce our margins and revenue from such services. Conversely, any loosening of regulations regarding how such wastes are handled or disposed of could adversely impact demand for our EES services.</w:t>
      </w:r>
    </w:p>
    <w:p>
      <w:pPr>
        <w:spacing w:after="0" w:line="18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Changes to the regulatory framework related to renewable fuel standards could affect our financial performance in that sector as a renewable fuel producer.</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acts as a renewable fuel producer in the RFS program enacted by Congress under the Energy Policy Act and Energy Independence and Security Act. Oil refiners and importers are required through the RFS program to blend specified volumes of renewable transportation fuels with gasoline or buy credits, referred to as RINs, from renewable fuel producers. The Company has invested, and continues to invest, in facilities to capture and treat renewable natural gas from the Company’s landfills so that we can participate in the program. The value of the RINs associated with our landfill gas is set through a market established by the program. Changes in the RFS market or the structure of the RFS program could reduce the value of landfill gas RINs and negatively impact the financial performance of the facilities constructed to capture and treat the gas.</w:t>
      </w:r>
    </w:p>
    <w:p>
      <w:pPr>
        <w:spacing w:after="0" w:line="192"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waste, such as yard waste, food waste and electronics at landfills. Where such organic waste is not banned from the landfill,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and growing lines of businesses to service waste streams that do not go to landfills and to provide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with a heightened awareness of the global problems of plastic waste in the environment, an increasing number of cities across the country have passed ordinances banning certain types of plastics from sale or use. Bans on single use plastic bags, straws, and polystyrene food containers have been passed in over 350 cities, and a ban on single use plastic bags has been implemented in the State of California. These bans have increased pressure by manufacturers on our recycling facilities to accept a broader array of materials in curbside recycling programs to alleviate public pressure to ban the sale of those materials. However, there are currently no viable end markets for recycling these materials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inclusion of such materials in our recycling stream can increase contamination of the recycling stream and negatively affect the results of our recycling operations.</w:t>
      </w:r>
    </w:p>
    <w:p>
      <w:pPr>
        <w:spacing w:after="0" w:line="170" w:lineRule="exact"/>
        <w:rPr>
          <w:sz w:val="20"/>
          <w:szCs w:val="20"/>
          <w:color w:val="auto"/>
        </w:rPr>
      </w:pPr>
    </w:p>
    <w:p>
      <w:pPr>
        <w:ind w:left="140"/>
        <w:spacing w:after="0" w:line="381" w:lineRule="auto"/>
        <w:rPr>
          <w:sz w:val="20"/>
          <w:szCs w:val="20"/>
          <w:color w:val="auto"/>
        </w:rPr>
      </w:pPr>
      <w:r>
        <w:rPr>
          <w:rFonts w:ascii="Arial" w:cs="Arial" w:eastAsia="Arial" w:hAnsi="Arial"/>
          <w:sz w:val="15"/>
          <w:szCs w:val="15"/>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16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7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indemnification obligations owed to us. Any substantial liability for environmental damage could have a material adverse effect on our financial condition, results of operations and cash flows.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73" w:lineRule="exact"/>
        <w:rPr>
          <w:sz w:val="20"/>
          <w:szCs w:val="20"/>
          <w:color w:val="auto"/>
        </w:rPr>
      </w:pPr>
    </w:p>
    <w:p>
      <w:pPr>
        <w:jc w:val="both"/>
        <w:ind w:left="660" w:hanging="333"/>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5"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General economic conditions can directly and adversely affect our revenues and our income from operations margins.</w:t>
      </w:r>
    </w:p>
    <w:p>
      <w:pPr>
        <w:spacing w:after="0" w:line="2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 and variety of services requested by customers. Additionally, a weak market for consumer goods can significantly decrease demand by paper mills for recycled corrugated cardboard used in packaging; such decrease in demand can negatively impact commodity prices and our operating income and cash flows.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decrease in waste volumes generated results in an increase in competitive pricing pressure, and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which is difficult to quickly adjust to match shifting volume levels and vendor costs, which may not correlate with the Consumer Price Index or the waste industry.</w:t>
      </w:r>
    </w:p>
    <w:p>
      <w:pPr>
        <w:spacing w:after="0" w:line="1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provide service to a number of governmental entities and municipalities, some of which have suffered significant financial difficulties in recent years, due in part to reduced tax revenue and/or high cost structures. Some of these entities could be unable to pay amounts owed to us or renew contracts with us at previous or increased rates.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non-governmental customers have also suffered serious financial difficulties, including bankruptcy in some cases. 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2018, we had $705 million of tax-exempt bonds with term interest rate periods that expire within the next 12 months and $513 million of variable-rate tax-exempt bonds with interest rates reset on either a daily or a weekly basis. If market dynamics resulted in repricing of our tax-exempt bonds at significantly higher interest rates, we would incur increased interest expenses that may negatively affect our operating results and cash flows.</w:t>
      </w:r>
    </w:p>
    <w:p>
      <w:pPr>
        <w:spacing w:after="0" w:line="1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financial condition, results of operations and cash flows.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Significant shortages in diesel fuel supply or increases in diesel fuel prices will increase our operating expenses.</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Supply shortages could substantially increase our operating expenses. Additionally, if fuel prices increase, our direct operating expenses increase and many of our vendors raise their prices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pacing w:after="0" w:line="16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have an extensive natural gas truck fleet, which makes us partially dependent on the availability of natural gas and fueling infrastructure and vulnerable to natural gas prices.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North America;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and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 and expose us to litigation risk.</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Substantially all aspects of our business operations rely on digital technology. We use computers, mobile devices, social networking and other online platforms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regularly the target of attempted cyber intrusions, and we must commit substantial resources to continuously monitor and further develop our networks and infrastructure to prevent, detect, and address the risk of unauthorized access, misuse, computer viruses and other events. Our preventative measures and incident response efforts may not be effective in all cases. The theft, destruction, loss, misappropriation, or release of sensitive and/or confidential information or intellectual property, or interference with our information technology systems or the technology systems of third parties on which we rely, could result in business disruption, direct financial loss, negative publicity, brand damage, violation of privacy laws, loss of customers, potential litigation and liability and competitive disadvantage.</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Certain new technologies, such as use of autonomous vehicles, remote-controlled equipment and virtual reality,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16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vested benefits at the time of the withdrawal. Depending on various factors, future withdrawals could have a material adverse effect on results of operations or cash flows for a particular reporting period. We have previously withdrawn from certain underfunded Multiemployer Pension Plans, and we recognized related expenses of $3 million and $12 million in 2018 and 2017, respectively. In 2016, we did not recognize any charges for the withdrawal from Multiemployer Pension Plans. See Notes 9 and 10 to the Consolidated Financial Statements for more information related to our participation in Multiemployer Pension Plans.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business is subject to operational and safety risks, including the risk of personal injury to employees and others.</w:t>
      </w:r>
    </w:p>
    <w:p>
      <w:pPr>
        <w:spacing w:after="0" w:line="2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Providing environmental and waste management services, including constructing and operating landfills, transfer stations, MRFs and other disposal facilities, involves risks such as truck accidents, equipment defects, malfunctions and failures. Additionally, we closely monitor and manage landfills to minimize the risk of waste mass instability, releases of hazardous materials, and odors that could be triggered by weather or natural disasters. There may also be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93"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accordance with U.S. Generally Accepted Accounting Principles (“GAAP”),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may be required to incur charges against earnings if such impairment tests indicate that the fair value of a reporting unit is below its carrying amount. Any such charges could have a material adverse effect on our results of operations.</w:t>
      </w:r>
    </w:p>
    <w:p>
      <w:pPr>
        <w:spacing w:after="0" w:line="180"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have $2.2 billion of debt as of December 31, 2018 that is exposed to changes in market interest rates within the next 12 months because of the combined impact of our tax-exempt bonds, outstanding borrowings under our commercial paper program and our $2.75 billion revolving credit facility. If interest rates increase, our interest expense would also increase, lowering our net income and decreasing our cash flow.</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use our $2.75 billion revolving credit facility to meet our cash needs, to the extent available, until maturity in June 2023. As of December 31, 2018, we had C$15 million, or $11 million, of Canadian borrowings outstanding borrowings under this facility. We had $587 million of letters of credit issued and $990 million of outstanding borrowings under our commercial paper program, both supported by this facility, leaving unused and available credit capacity of $1.2 billion as of December 31, 2018.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9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or regulations restricting emissions of “greenhouse gases” could increase our costs to operate.</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landfill operations emit methane, identified as a GHG. There are a number of legislative and regulatory efforts at the state, regional and federal levels to curtail the emission of GHGs to ameliorate the effect of climate change.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GHG Tailoring Rule, which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if certain changes to these regulations were enacted, such as lowering the thresholds or the inclusion of biogenic emissions, then the amendments could have an adverse effect on our operating costs.</w:t>
      </w:r>
    </w:p>
    <w:p>
      <w:pPr>
        <w:spacing w:after="0" w:line="17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severe weather events and event driven special projects cause our results to fluctuate, and prior performance is not necessarily indicative of our future results.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due to significant start-up costs and other factors, such revenue can generate earnings at comparatively lower margins.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81" w:lineRule="exact"/>
        <w:rPr>
          <w:sz w:val="20"/>
          <w:szCs w:val="20"/>
          <w:color w:val="auto"/>
        </w:rPr>
      </w:pPr>
    </w:p>
    <w:p>
      <w:pPr>
        <w:ind w:left="140"/>
        <w:spacing w:after="0" w:line="381" w:lineRule="auto"/>
        <w:rPr>
          <w:sz w:val="20"/>
          <w:szCs w:val="20"/>
          <w:color w:val="auto"/>
        </w:rPr>
      </w:pPr>
      <w:r>
        <w:rPr>
          <w:rFonts w:ascii="Arial" w:cs="Arial" w:eastAsia="Arial" w:hAnsi="Arial"/>
          <w:sz w:val="15"/>
          <w:szCs w:val="15"/>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6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are involved in governmental proceedings relating to the conduct of our business. We are also party to civil litigation. As a large company with operations across the U.S. and Canada, we are subject to various proceedings, lawsuits, disputes and claims arising in the ordinary course of our business.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64"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executive offices are in Houston, Texas, where we occupy approximately 345,000 square feet under leases expiring through 2020. We also have administrative offices in Arizona, Connecticut, Illinois and India. We own or lease real property in most locations where we have operations or administrative functions. We have operations in all 50 states except Montana, the District of Columbia and throughout Canada.</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Our principal property and equipment consists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For more information, see Item 7.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included within this report.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various operations as of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r>
      <w:tr>
        <w:trPr>
          <w:trHeight w:val="21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Landfills owned or operated (a)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Transfer stations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108"/>
        </w:trPr>
        <w:tc>
          <w:tcPr>
            <w:tcW w:w="228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of December 31, 2018 and 2017, our landfills owned or operated consisted of total acreage of 157,369 and 156,784; permitted acreage of 42,730 and 42,590; and expansion acreage of 944 and 821, respectively. Total acreage includes permitted acreage, expansion acreage, other acreage available for future disposal that has not been permitted, buffer land and other land. Permitted acreage consists of all acreage at the landfill encompassed by an active permit to dispose of waste. 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Critical Accounting Estimates and Assumptions </w:t>
      </w:r>
      <w:r>
        <w:rPr>
          <w:rFonts w:ascii="Arial" w:cs="Arial" w:eastAsia="Arial" w:hAnsi="Arial"/>
          <w:sz w:val="18"/>
          <w:szCs w:val="18"/>
          <w:color w:val="auto"/>
        </w:rPr>
        <w:t>included within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10 to the Consolidated Financial Statements included within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number of holders of record of our common stock on February 8, 2019 was 8,942.</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-8890</wp:posOffset>
            </wp:positionV>
            <wp:extent cx="5548630" cy="3593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8630"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12/31/14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12/31/16</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12/31/18</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S&amp;P 500 Index</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We announced in December 2017 that the Board of Directors authorized up to $1.25 billion in future share repurchases. During 2018, we repurchased an aggregate of $1,008 million of our common stock under accelerated share repurchase (“ASR”) agreements and open market repurchases, which equated to 11.7 million shares with a weighted average price per share of $86.35. See Note 13 to the Consolidated Financial Statements for additional information.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 following table summarizes common stock repurchases made during the fourth quarter of 2018 (shares in millions):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2"/>
                <w:szCs w:val="12"/>
                <w:color w:val="auto"/>
              </w:rPr>
            </w:pPr>
          </w:p>
        </w:tc>
        <w:tc>
          <w:tcPr>
            <w:tcW w:w="2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May Yet be Purchased Under</w:t>
            </w:r>
          </w:p>
        </w:tc>
        <w:tc>
          <w:tcPr>
            <w:tcW w:w="0" w:type="dxa"/>
            <w:vAlign w:val="bottom"/>
          </w:tcPr>
          <w:p>
            <w:pPr>
              <w:spacing w:after="0"/>
              <w:rPr>
                <w:sz w:val="1"/>
                <w:szCs w:val="1"/>
                <w:color w:val="auto"/>
              </w:rPr>
            </w:pPr>
          </w:p>
        </w:tc>
      </w:tr>
      <w:tr>
        <w:trPr>
          <w:trHeight w:val="171"/>
        </w:trPr>
        <w:tc>
          <w:tcPr>
            <w:tcW w:w="3400" w:type="dxa"/>
            <w:vAlign w:val="bottom"/>
            <w:gridSpan w:val="3"/>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per Share</w:t>
            </w: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 — 31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89.60</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252 million</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November 1 — 30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80"/>
              <w:spacing w:after="0"/>
              <w:rPr>
                <w:sz w:val="20"/>
                <w:szCs w:val="20"/>
                <w:color w:val="auto"/>
              </w:rPr>
            </w:pPr>
            <w:r>
              <w:rPr>
                <w:rFonts w:ascii="Arial" w:cs="Arial" w:eastAsia="Arial" w:hAnsi="Arial"/>
                <w:sz w:val="18"/>
                <w:szCs w:val="18"/>
                <w:color w:val="auto"/>
              </w:rPr>
              <w:t>252 million</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88.88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6"/>
              </w:rPr>
              <w:t>1.5 billion (c)</w:t>
            </w:r>
          </w:p>
        </w:tc>
        <w:tc>
          <w:tcPr>
            <w:tcW w:w="0" w:type="dxa"/>
            <w:vAlign w:val="bottom"/>
          </w:tcPr>
          <w:p>
            <w:pPr>
              <w:spacing w:after="0"/>
              <w:rPr>
                <w:sz w:val="1"/>
                <w:szCs w:val="1"/>
                <w:color w:val="auto"/>
              </w:rPr>
            </w:pPr>
          </w:p>
        </w:tc>
      </w:tr>
      <w:tr>
        <w:trPr>
          <w:trHeight w:val="217"/>
        </w:trPr>
        <w:tc>
          <w:tcPr>
            <w:tcW w:w="340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89.49</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19" w:lineRule="exact"/>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October 2018, we completed an ASR agreement that was entered into in July 2018 to repurchase $200 million of our common stock. At the beginning of the repurchase period, we delivered $200 million in cash and received 1.8 million shares. The ASR agreement completed in October 2018, at which time we received 0.4 million additional shares. At the beginning of October, subsequent to the completion of the July 2018 ASR agreement, we repurchased 0.5 million shares of our common stock in open market transactions in compliance with Rule 10b5-1 and Rule 10b</w:t>
      </w:r>
      <w:r>
        <w:rPr>
          <w:rFonts w:ascii="MS PGothic" w:cs="MS PGothic" w:eastAsia="MS PGothic" w:hAnsi="MS PGothic"/>
          <w:sz w:val="17"/>
          <w:szCs w:val="17"/>
          <w:color w:val="auto"/>
        </w:rPr>
        <w:t>‑</w:t>
      </w:r>
      <w:r>
        <w:rPr>
          <w:rFonts w:ascii="Arial" w:cs="Arial" w:eastAsia="Arial" w:hAnsi="Arial"/>
          <w:sz w:val="17"/>
          <w:szCs w:val="17"/>
          <w:color w:val="auto"/>
        </w:rPr>
        <w:t>18 of the Exchange Act for $48 million, inclusive of per-share commissions.</w:t>
      </w:r>
    </w:p>
    <w:p>
      <w:pPr>
        <w:spacing w:after="0" w:line="94" w:lineRule="exact"/>
        <w:rPr>
          <w:rFonts w:ascii="Arial" w:cs="Arial" w:eastAsia="Arial" w:hAnsi="Arial"/>
          <w:sz w:val="17"/>
          <w:szCs w:val="17"/>
          <w:color w:val="auto"/>
        </w:rPr>
      </w:pPr>
    </w:p>
    <w:p>
      <w:pPr>
        <w:jc w:val="both"/>
        <w:ind w:left="320"/>
        <w:spacing w:after="0" w:line="264" w:lineRule="auto"/>
        <w:rPr>
          <w:rFonts w:ascii="Arial" w:cs="Arial" w:eastAsia="Arial" w:hAnsi="Arial"/>
          <w:sz w:val="17"/>
          <w:szCs w:val="17"/>
          <w:color w:val="auto"/>
        </w:rPr>
      </w:pPr>
      <w:r>
        <w:rPr>
          <w:rFonts w:ascii="Arial" w:cs="Arial" w:eastAsia="Arial" w:hAnsi="Arial"/>
          <w:sz w:val="18"/>
          <w:szCs w:val="18"/>
          <w:color w:val="auto"/>
        </w:rPr>
        <w:t>At the end of October 2018, we entered into a new ASR agreement to repurchase $200 million of our common stock. At the beginning of the repurchase period, we delivered $200 million in cash and received 1.9 million shares. The October 2018 ASR agreement completed in December 2018.</w:t>
      </w:r>
    </w:p>
    <w:p>
      <w:pPr>
        <w:spacing w:after="0" w:line="73" w:lineRule="exact"/>
        <w:rPr>
          <w:rFonts w:ascii="Arial" w:cs="Arial" w:eastAsia="Arial" w:hAnsi="Arial"/>
          <w:sz w:val="17"/>
          <w:szCs w:val="17"/>
          <w:color w:val="auto"/>
        </w:rPr>
      </w:pPr>
    </w:p>
    <w:p>
      <w:pPr>
        <w:ind w:left="320"/>
        <w:spacing w:after="0" w:line="277" w:lineRule="auto"/>
        <w:rPr>
          <w:rFonts w:ascii="Arial" w:cs="Arial" w:eastAsia="Arial" w:hAnsi="Arial"/>
          <w:sz w:val="17"/>
          <w:szCs w:val="17"/>
          <w:color w:val="auto"/>
        </w:rPr>
      </w:pPr>
      <w:r>
        <w:rPr>
          <w:rFonts w:ascii="Arial" w:cs="Arial" w:eastAsia="Arial" w:hAnsi="Arial"/>
          <w:sz w:val="18"/>
          <w:szCs w:val="18"/>
          <w:color w:val="auto"/>
        </w:rPr>
        <w:t>The “Average Price Paid per Share” in the table represents the final weighted average price per share paid for the completed ASR agreements and the open market repurchases.</w:t>
      </w:r>
    </w:p>
    <w:p>
      <w:pPr>
        <w:spacing w:after="0" w:line="62" w:lineRule="exact"/>
        <w:rPr>
          <w:rFonts w:ascii="Arial" w:cs="Arial" w:eastAsia="Arial" w:hAnsi="Arial"/>
          <w:sz w:val="17"/>
          <w:szCs w:val="17"/>
          <w:color w:val="auto"/>
        </w:rPr>
      </w:pPr>
    </w:p>
    <w:p>
      <w:pPr>
        <w:jc w:val="both"/>
        <w:ind w:left="320" w:hanging="317"/>
        <w:spacing w:after="0" w:line="255"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2018, we completed the October 2018 ASR agreement discussed above at which time we received 0.4 million additional shares. Subsequent to the completion of the October 2018 ASR agreement, we repurchased an additional 0.1 million shares of our common stock in open market transactions in compliance with Rule 10b5-1 and Rule 10b-18 of the Exchange Act for $10 million, inclusive of per-share commissions. The “Average Price Paid per Share” in the table represents the final weighted average price per share paid for the completed ASR agreement and the open market repurchases.</w:t>
      </w:r>
    </w:p>
    <w:p>
      <w:pPr>
        <w:spacing w:after="0" w:line="85" w:lineRule="exact"/>
        <w:rPr>
          <w:rFonts w:ascii="Arial" w:cs="Arial" w:eastAsia="Arial" w:hAnsi="Arial"/>
          <w:sz w:val="18"/>
          <w:szCs w:val="18"/>
          <w:color w:val="auto"/>
        </w:rPr>
      </w:pPr>
    </w:p>
    <w:p>
      <w:pPr>
        <w:jc w:val="both"/>
        <w:ind w:left="320" w:hanging="317"/>
        <w:spacing w:after="0" w:line="286"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announced in December 2018 that the Board of Directors has authorized up to $1.5 billion in future share repurchases, which supersedes and replaces remaining authority under any prior Board of Directors authorization for share repurchases after the completion of our current open market repurchase plan ending February 15, 2019.</w:t>
      </w:r>
    </w:p>
    <w:p>
      <w:pPr>
        <w:spacing w:after="0" w:line="16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Any future share repurchases will be made at the discretion of management and will depend on various factors including our net earnings, financial condition, cash required for future business plans, and growth and acquisitions.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below was derived from the audited Consolidated Financial Statements included within this report and in previous annual reports we filed with the SEC. This information should be read together with those Consolidated Financial Statements and the notes thereto. These historical results are not necessarily indicative of the results to be expected in the future.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91"/>
              <w:spacing w:after="0"/>
              <w:rPr>
                <w:sz w:val="20"/>
                <w:szCs w:val="20"/>
                <w:color w:val="auto"/>
              </w:rPr>
            </w:pPr>
            <w:r>
              <w:rPr>
                <w:rFonts w:ascii="Arial" w:cs="Arial" w:eastAsia="Arial" w:hAnsi="Arial"/>
                <w:sz w:val="14"/>
                <w:szCs w:val="14"/>
                <w:b w:val="1"/>
                <w:bCs w:val="1"/>
                <w:color w:val="auto"/>
                <w:w w:val="92"/>
              </w:rPr>
              <w:t>Years Ended December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1"/>
              </w:rPr>
              <w:t>2018(a)</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2017(a)</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1"/>
              <w:spacing w:after="0" w:line="142" w:lineRule="exact"/>
              <w:rPr>
                <w:sz w:val="20"/>
                <w:szCs w:val="20"/>
                <w:color w:val="auto"/>
              </w:rPr>
            </w:pPr>
            <w:r>
              <w:rPr>
                <w:rFonts w:ascii="Arial" w:cs="Arial" w:eastAsia="Arial" w:hAnsi="Arial"/>
                <w:sz w:val="14"/>
                <w:szCs w:val="14"/>
                <w:b w:val="1"/>
                <w:bCs w:val="1"/>
                <w:color w:val="auto"/>
                <w:w w:val="91"/>
              </w:rPr>
              <w:t>2016(a)</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r>
      <w:tr>
        <w:trPr>
          <w:trHeight w:val="142"/>
        </w:trPr>
        <w:tc>
          <w:tcPr>
            <w:tcW w:w="2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4"/>
              </w:rPr>
              <w:t>(In Millions, Except per Share Amounts)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14,914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w w:val="94"/>
              </w:rPr>
              <w:t>14,485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13,609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12,961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13,996</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1,949</w:t>
            </w:r>
          </w:p>
        </w:tc>
        <w:tc>
          <w:tcPr>
            <w:tcW w:w="18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1,182</w:t>
            </w:r>
          </w:p>
        </w:tc>
        <w:tc>
          <w:tcPr>
            <w:tcW w:w="20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22,650</w:t>
            </w:r>
          </w:p>
        </w:tc>
        <w:tc>
          <w:tcPr>
            <w:tcW w:w="20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w w:val="94"/>
              </w:rPr>
              <w:t>21,829</w:t>
            </w:r>
          </w:p>
        </w:tc>
        <w:tc>
          <w:tcPr>
            <w:tcW w:w="18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20,859</w:t>
            </w:r>
          </w:p>
        </w:tc>
        <w:tc>
          <w:tcPr>
            <w:tcW w:w="20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20,367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21,252</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10,026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9,491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9,310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8,929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6,275</w:t>
            </w:r>
          </w:p>
        </w:tc>
        <w:tc>
          <w:tcPr>
            <w:tcW w:w="20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6,019</w:t>
            </w:r>
          </w:p>
        </w:tc>
        <w:tc>
          <w:tcPr>
            <w:tcW w:w="18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5,297</w:t>
            </w:r>
          </w:p>
        </w:tc>
        <w:tc>
          <w:tcPr>
            <w:tcW w:w="20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5,345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5,866</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6,042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5,320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5,367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r>
      <w:tr>
        <w:trPr>
          <w:trHeight w:val="108"/>
        </w:trPr>
        <w:tc>
          <w:tcPr>
            <w:tcW w:w="22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more information see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320" w:hanging="317"/>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information was revised to conform to our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2018.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Due to this, we monitor these developments to adapt our services offerings. As companies, individuals and communities look for ways to be more sustainable, we are promoting our comprehensive services that go beyond our core business of collecting and disposing of waste in order to meet their needs.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We also encounter competition for acquisition and growth opportunities. Our industry is directly affected by changes in general economic factors, as increases and decreases in consumer spending, business expansions and construction starts generally correlate to volumes of waste generated and our revenues. Negative economic conditions, in addition to competitor actions, can make it more challenging to negotiate, renew or expand service contracts with acceptable margins and customers may reduce their service needs.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generally favorable macro-economic environment, including steady spending by consumers and businesses and construction starts, has benefited our volume growth and gross margins in recent quarters. We are not expecting any significant shift in the near term, but there is increased market volatility and uncertainty about longer-term macro-economic indicators. Disruptions in the global movement of recycling commodities, due in part to actions by the Chinese government, resulted in significantly lower average markets prices in 2018 compared to 2017; however, we currently expect market price declines for recycling commodities to moderate in 2019. The recycling industry is continuing to adapt to the heightened quality standards and regulations. In addition, we are also focusing on managing processing costs, developing alternative markets and educating customers to reduce contamination in the recycling stream.</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Year Financial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2018, we continued to produce strong operating results from our Traditional Solid Waste business, driven by strong yield and volume growth in our collection and disposal business. Net income and earnings per diluted share both increased primarily as a result of the strong operating results from our Traditional Solid Waste business as well as the favorable impact on our effective tax rate due to enactment of tax reform. The Company continued its commitment to supporting both organic and inorganic growth during 2018, allocating $1,694 million of available cash to capital expenditures and $466 million to the acquisition of solid waste businesses. We also allocated $1,806 million to our shareholders during 2018 through common stock repurchases and dividends.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items of our 2018 financial results include:</w:t>
      </w:r>
    </w:p>
    <w:p>
      <w:pPr>
        <w:spacing w:after="0" w:line="117" w:lineRule="exact"/>
        <w:rPr>
          <w:sz w:val="20"/>
          <w:szCs w:val="20"/>
          <w:color w:val="auto"/>
        </w:rPr>
      </w:pPr>
    </w:p>
    <w:p>
      <w:pPr>
        <w:jc w:val="both"/>
        <w:ind w:left="660" w:hanging="333"/>
        <w:spacing w:after="0" w:line="28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Revenues of $14,914 million for 2018 compared with $14,485 million in 2017, an increase of $429 million, or 3.0%. This increase is primarily attributable to (i) higher volumes due to improving market conditions; (ii) increased yield in our collection and disposal business and (iii) increased recycling brokerage volumes, partially offset by</w:t>
      </w:r>
    </w:p>
    <w:p>
      <w:pPr>
        <w:ind w:left="660"/>
        <w:spacing w:after="0"/>
        <w:rPr>
          <w:rFonts w:ascii="Arial" w:cs="Arial" w:eastAsia="Arial" w:hAnsi="Arial"/>
          <w:sz w:val="16"/>
          <w:szCs w:val="16"/>
          <w:color w:val="auto"/>
        </w:rPr>
      </w:pPr>
      <w:r>
        <w:rPr>
          <w:rFonts w:ascii="Arial" w:cs="Arial" w:eastAsia="Arial" w:hAnsi="Arial"/>
          <w:sz w:val="18"/>
          <w:szCs w:val="18"/>
          <w:color w:val="auto"/>
        </w:rPr>
        <w:t>(i) lower market prices for recycling commodities and (ii) fluctuations in foreign currency and other;</w:t>
      </w:r>
    </w:p>
    <w:p>
      <w:pPr>
        <w:spacing w:after="0" w:line="102" w:lineRule="exact"/>
        <w:rPr>
          <w:rFonts w:ascii="Arial" w:cs="Arial" w:eastAsia="Arial" w:hAnsi="Arial"/>
          <w:sz w:val="16"/>
          <w:szCs w:val="16"/>
          <w:color w:val="auto"/>
        </w:rPr>
      </w:pPr>
    </w:p>
    <w:p>
      <w:pPr>
        <w:jc w:val="both"/>
        <w:ind w:left="660" w:hanging="333"/>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expenses of $9,249 million in 2018, or 62.0% of revenues, compared with $9,021 million, or 62.3% of revenues, in 2017. This increase of $228 million is primarily attributable to higher volumes and cost inflation in the current year period, partially offset by (i) changes in accounting for rebates and certain franchise fees required by the adoption of ASU 2014-09 and (ii) decreased cost of goods sold due to lower market prices for recycling commodities;</w:t>
      </w:r>
    </w:p>
    <w:p>
      <w:pPr>
        <w:spacing w:after="0" w:line="80"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general and administrative expenses of $1,453 million in 2018, or 9.7% of revenues, compared with $1,468 million, or 10.1% of revenues, in 2017. This decrease of $15 million is primarily attributable to lower incentive compensation accruals partially offset by increased professional fees and bad debt expense;</w:t>
      </w:r>
    </w:p>
    <w:p>
      <w:pPr>
        <w:spacing w:after="0" w:line="57" w:lineRule="exact"/>
        <w:rPr>
          <w:rFonts w:ascii="Arial" w:cs="Arial" w:eastAsia="Arial" w:hAnsi="Arial"/>
          <w:sz w:val="17"/>
          <w:szCs w:val="17"/>
          <w:color w:val="auto"/>
        </w:rPr>
      </w:pPr>
    </w:p>
    <w:p>
      <w:pPr>
        <w:ind w:left="66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operations of $2,789 million, or 18.7% of revenues, in 2018 compared with $2,636 million, or 18.2% of revenues, in 2017, an increase of $153 million;</w:t>
      </w:r>
    </w:p>
    <w:p>
      <w:pPr>
        <w:spacing w:after="0" w:line="62" w:lineRule="exact"/>
        <w:rPr>
          <w:rFonts w:ascii="Arial" w:cs="Arial" w:eastAsia="Arial" w:hAnsi="Arial"/>
          <w:sz w:val="18"/>
          <w:szCs w:val="18"/>
          <w:color w:val="auto"/>
        </w:rPr>
      </w:pPr>
    </w:p>
    <w:p>
      <w:pPr>
        <w:jc w:val="both"/>
        <w:ind w:left="660" w:hanging="333"/>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income attributable to Waste Management, Inc. of $1,925 million, or $4.45 per diluted share, for 2018 as compared with $1,949 million, or $4.41 per diluted share, for 2017. The comparability is impacted by an increase in the effective income tax rate in the current year period of 19% compared with 11% in the prior year period primarily due to the one-time impacts associated with enactment of tax reform in late 2017. The current year was favorably impacted by (i) improved operating results in our Traditional Solid Waste business and (ii) net gains associated with the sale of certain hauling and ancillary operations. Partially offsetting these increases was lower earnings from our recycling line of business due to lower market prices for recycling commodities and the impairment of a landfill;</w:t>
      </w:r>
    </w:p>
    <w:p>
      <w:pPr>
        <w:spacing w:after="0" w:line="59" w:lineRule="exact"/>
        <w:rPr>
          <w:rFonts w:ascii="Arial" w:cs="Arial" w:eastAsia="Arial" w:hAnsi="Arial"/>
          <w:sz w:val="16"/>
          <w:szCs w:val="16"/>
          <w:color w:val="auto"/>
        </w:rPr>
      </w:pPr>
    </w:p>
    <w:p>
      <w:pPr>
        <w:ind w:left="660" w:hanging="333"/>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cash provided by operating activities was $3,570 million in 2018 compared with $3,180 million in 2017; and</w:t>
      </w:r>
    </w:p>
    <w:p>
      <w:pPr>
        <w:spacing w:after="0" w:line="128" w:lineRule="exact"/>
        <w:rPr>
          <w:rFonts w:ascii="Arial" w:cs="Arial" w:eastAsia="Arial" w:hAnsi="Arial"/>
          <w:sz w:val="17"/>
          <w:szCs w:val="17"/>
          <w:color w:val="auto"/>
        </w:rPr>
      </w:pPr>
    </w:p>
    <w:p>
      <w:pPr>
        <w:jc w:val="both"/>
        <w:ind w:left="660" w:hanging="333"/>
        <w:spacing w:after="0" w:line="272"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Free cash flow was $2,084 million in 2018 compared with $1,770 million in 2017. The $314 million increase was a result of (i) higher earnings from our Traditional Solid Waste business; (ii) lower income tax payments associated with enactment of tax reform in late 2017 and timing of income tax payments and (iii) divestitures of certain hauling and ancillary operations partially offset by higher capital expenditures to support organic growth in our business. Free cash flow is a non-GAAP measure of liquidity. Refer to </w:t>
      </w:r>
      <w:r>
        <w:rPr>
          <w:rFonts w:ascii="Arial" w:cs="Arial" w:eastAsia="Arial" w:hAnsi="Arial"/>
          <w:sz w:val="17"/>
          <w:szCs w:val="17"/>
          <w:i w:val="1"/>
          <w:iCs w:val="1"/>
          <w:color w:val="auto"/>
        </w:rPr>
        <w:t>Free Cash Flow</w:t>
      </w:r>
      <w:r>
        <w:rPr>
          <w:rFonts w:ascii="Arial" w:cs="Arial" w:eastAsia="Arial" w:hAnsi="Arial"/>
          <w:sz w:val="17"/>
          <w:szCs w:val="17"/>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operating revenues set forth below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WMSBS and EES organizations, recycling brokerage services, landfill gas-to-energy services and certain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expanded service offerings and solutions. These operations are presented in our “Other” segment in the table below. The following table summarizes revenues during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13,968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17"/>
        </w:trPr>
        <w:tc>
          <w:tcPr>
            <w:tcW w:w="636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14,914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14,485</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13,609</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mix of operating revenues from our major lines of business is reflected in the table below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r>
      <w:tr>
        <w:trPr>
          <w:trHeight w:val="210"/>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16"/>
        </w:trPr>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10"/>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Intercompany (b)</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(2,637)</w:t>
            </w:r>
          </w:p>
        </w:tc>
      </w:tr>
      <w:tr>
        <w:trPr>
          <w:trHeight w:val="217"/>
        </w:trPr>
        <w:tc>
          <w:tcPr>
            <w:tcW w:w="64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13,609</w:t>
            </w:r>
          </w:p>
        </w:tc>
      </w:tr>
      <w:tr>
        <w:trPr>
          <w:trHeight w:val="108"/>
        </w:trPr>
        <w:tc>
          <w:tcPr>
            <w:tcW w:w="228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(dollars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2018 vs. 2017</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2017 vs. 2016</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70"/>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110"/>
              <w:spacing w:after="0" w:line="119" w:lineRule="exact"/>
              <w:rPr>
                <w:sz w:val="20"/>
                <w:szCs w:val="20"/>
                <w:color w:val="auto"/>
              </w:rPr>
            </w:pPr>
            <w:r>
              <w:rPr>
                <w:rFonts w:ascii="Arial" w:cs="Arial" w:eastAsia="Arial" w:hAnsi="Arial"/>
                <w:sz w:val="13"/>
                <w:szCs w:val="13"/>
                <w:b w:val="1"/>
                <w:bCs w:val="1"/>
                <w:color w:val="auto"/>
              </w:rPr>
              <w:t>As a %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Related</w:t>
            </w:r>
          </w:p>
        </w:tc>
        <w:tc>
          <w:tcPr>
            <w:tcW w:w="10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Total</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Related</w:t>
            </w:r>
          </w:p>
        </w:tc>
        <w:tc>
          <w:tcPr>
            <w:tcW w:w="6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Business(a)</w:t>
            </w: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1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Company(b)</w:t>
            </w: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8"/>
              </w:rPr>
              <w:t>Business(a)</w:t>
            </w: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 commodities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(273)</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w:t>
            </w: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8"/>
                <w:szCs w:val="18"/>
                <w:color w:val="auto"/>
              </w:rPr>
              <w:t>Total average yield (c)</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551</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289</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840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(133)</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and other</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(244)</w:t>
            </w:r>
          </w:p>
        </w:tc>
        <w:tc>
          <w:tcPr>
            <w:tcW w:w="11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876</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62"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total Company revenue adjusted to exclude the impacts of divestitures for the current year.</w:t>
      </w:r>
    </w:p>
    <w:p>
      <w:pPr>
        <w:spacing w:after="0" w:line="62" w:lineRule="exact"/>
        <w:rPr>
          <w:rFonts w:ascii="Arial" w:cs="Arial" w:eastAsia="Arial" w:hAnsi="Arial"/>
          <w:sz w:val="18"/>
          <w:szCs w:val="18"/>
          <w:color w:val="auto"/>
        </w:rPr>
      </w:pPr>
    </w:p>
    <w:p>
      <w:pPr>
        <w:ind w:left="320" w:right="260" w:hanging="317"/>
        <w:spacing w:after="0" w:line="501"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ind w:left="320"/>
        <w:spacing w:after="0"/>
        <w:rPr>
          <w:rFonts w:ascii="Arial" w:cs="Arial" w:eastAsia="Arial" w:hAnsi="Arial"/>
          <w:sz w:val="18"/>
          <w:szCs w:val="18"/>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growth from collection and disposal average yield was $291 million, or 2.3%, and $241 million, or 2.0%, for the years ended December 31, 2018 and 2017, respectively. We experienced growth in yield for all of our collection and disposal lines of business in both 2018 and 2017. The period-to-period changes are as follows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725"/>
              <w:spacing w:after="0"/>
              <w:rPr>
                <w:sz w:val="20"/>
                <w:szCs w:val="20"/>
                <w:color w:val="auto"/>
              </w:rPr>
            </w:pPr>
            <w:r>
              <w:rPr>
                <w:rFonts w:ascii="Arial" w:cs="Arial" w:eastAsia="Arial" w:hAnsi="Arial"/>
                <w:sz w:val="14"/>
                <w:szCs w:val="14"/>
                <w:b w:val="1"/>
                <w:bCs w:val="1"/>
                <w:color w:val="auto"/>
              </w:rPr>
              <w:t>2018 vs. 2017</w:t>
            </w:r>
          </w:p>
        </w:tc>
        <w:tc>
          <w:tcPr>
            <w:tcW w:w="17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2"/>
                <w:szCs w:val="12"/>
                <w:color w:val="auto"/>
              </w:rPr>
            </w:pPr>
          </w:p>
        </w:tc>
        <w:tc>
          <w:tcPr>
            <w:tcW w:w="1060" w:type="dxa"/>
            <w:vAlign w:val="bottom"/>
            <w:gridSpan w:val="3"/>
          </w:tcPr>
          <w:p>
            <w:pPr>
              <w:jc w:val="center"/>
              <w:ind w:right="285"/>
              <w:spacing w:after="0" w:line="149" w:lineRule="exact"/>
              <w:rPr>
                <w:sz w:val="20"/>
                <w:szCs w:val="20"/>
                <w:color w:val="auto"/>
              </w:rPr>
            </w:pPr>
            <w:r>
              <w:rPr>
                <w:rFonts w:ascii="Arial" w:cs="Arial" w:eastAsia="Arial" w:hAnsi="Arial"/>
                <w:sz w:val="14"/>
                <w:szCs w:val="14"/>
                <w:b w:val="1"/>
                <w:bCs w:val="1"/>
                <w:color w:val="auto"/>
                <w:w w:val="90"/>
              </w:rPr>
              <w:t>Related</w:t>
            </w: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88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285"/>
              <w:spacing w:after="0"/>
              <w:rPr>
                <w:sz w:val="20"/>
                <w:szCs w:val="20"/>
                <w:color w:val="auto"/>
              </w:rPr>
            </w:pPr>
            <w:r>
              <w:rPr>
                <w:rFonts w:ascii="Arial" w:cs="Arial" w:eastAsia="Arial" w:hAnsi="Arial"/>
                <w:sz w:val="14"/>
                <w:szCs w:val="14"/>
                <w:b w:val="1"/>
                <w:bCs w:val="1"/>
                <w:color w:val="auto"/>
                <w:w w:val="86"/>
              </w:rPr>
              <w:t>Business</w:t>
            </w: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95"/>
        </w:trPr>
        <w:tc>
          <w:tcPr>
            <w:tcW w:w="5200" w:type="dxa"/>
            <w:vAlign w:val="bottom"/>
          </w:tcPr>
          <w:p>
            <w:pPr>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w:t>
            </w:r>
          </w:p>
        </w:tc>
        <w:tc>
          <w:tcPr>
            <w:tcW w:w="300" w:type="dxa"/>
            <w:vAlign w:val="bottom"/>
          </w:tcPr>
          <w:p>
            <w:pPr>
              <w:spacing w:after="0"/>
              <w:rPr>
                <w:sz w:val="16"/>
                <w:szCs w:val="16"/>
                <w:color w:val="auto"/>
              </w:rPr>
            </w:pPr>
          </w:p>
        </w:tc>
        <w:tc>
          <w:tcPr>
            <w:tcW w:w="72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rPr>
              <w:t>2.9</w:t>
            </w:r>
          </w:p>
        </w:tc>
        <w:tc>
          <w:tcPr>
            <w:tcW w:w="24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w:t>
            </w:r>
          </w:p>
        </w:tc>
        <w:tc>
          <w:tcPr>
            <w:tcW w:w="280" w:type="dxa"/>
            <w:vAlign w:val="bottom"/>
          </w:tcPr>
          <w:p>
            <w:pPr>
              <w:spacing w:after="0"/>
              <w:rPr>
                <w:sz w:val="16"/>
                <w:szCs w:val="16"/>
                <w:color w:val="auto"/>
              </w:rPr>
            </w:pPr>
          </w:p>
        </w:tc>
        <w:tc>
          <w:tcPr>
            <w:tcW w:w="72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rPr>
              <w:t>3.0</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w w:val="91"/>
              </w:rPr>
              <w:t>2.0 %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increase in collection and disposal yield for the years ended December 31, 2018 and 2017, compared with the prior years, includes increased revenues from our environmental fees of $74 million and $67 million,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Recycling Commodities — </w:t>
      </w:r>
      <w:r>
        <w:rPr>
          <w:rFonts w:ascii="Arial" w:cs="Arial" w:eastAsia="Arial" w:hAnsi="Arial"/>
          <w:sz w:val="17"/>
          <w:szCs w:val="17"/>
          <w:color w:val="auto"/>
        </w:rPr>
        <w:t>Fluctuations in the market prices for recycling commodities resulted in revenue decline of</w:t>
      </w:r>
      <w:r>
        <w:rPr>
          <w:rFonts w:ascii="Arial" w:cs="Arial" w:eastAsia="Arial" w:hAnsi="Arial"/>
          <w:sz w:val="17"/>
          <w:szCs w:val="17"/>
          <w:i w:val="1"/>
          <w:iCs w:val="1"/>
          <w:color w:val="auto"/>
        </w:rPr>
        <w:t xml:space="preserve"> </w:t>
      </w:r>
      <w:r>
        <w:rPr>
          <w:rFonts w:ascii="Arial" w:cs="Arial" w:eastAsia="Arial" w:hAnsi="Arial"/>
          <w:sz w:val="17"/>
          <w:szCs w:val="17"/>
          <w:color w:val="auto"/>
        </w:rPr>
        <w:t>$273 million and revenue growth of $237 million for the years ended December 31, 2018 and 2017, respectively, as compared with the prior years. Disruptions in the global movement of recycling commodities began in September 2017 and continued throughout 2018. Average market prices for recycling commodities at the Company’s facilities were 40% lower in 2018 compared to 2017. We currently expect market prices for recycling commodities to moderate in 2019.</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Fuel Surcharges and Mandated Fees — </w:t>
      </w:r>
      <w:r>
        <w:rPr>
          <w:rFonts w:ascii="Arial" w:cs="Arial" w:eastAsia="Arial" w:hAnsi="Arial"/>
          <w:sz w:val="17"/>
          <w:szCs w:val="17"/>
          <w:color w:val="auto"/>
        </w:rPr>
        <w:t>These revenues, which are predominantly generated by our fuel surcharge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increased $111 million and $73 million for the years ended December 31, 2018 and 2017, respectively, as compared with the prior years. These revenues fluctuate in response to changes in the national average prices for diesel fuel on which our surcharge is based. Market prices for diesel fuel increased 20% and 15% for the years ended December 31, 2018 and 2017, respectively, compared with the prior years. The mandated fees included in this line item are primarily related to fees and taxes assessed by various state, county and municipal government agencies at our landfills and transfer stations where we are the primary obligor in the contractual arrangement.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from volume increased $478 million, or 3.3%, and $289 million, or 2.1%, for the years ended December 31, 2018 and 2017, respectively, as compared with the prior years. The comparison does not include volumes from acquisitions.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experienced higher volumes throughout 2018 and 2017 due to our focus on customer service and disciplined growth, combined with favorable market conditions in our Traditional Solid Waste business. We have experienced significant volume growth with existing customers, particularly in our commercial collection business. The volume growth is the result of proactive efforts taken to work with our customers as their businesses expand and grow to identify service upgrade opportunities. Contributors to our volume increase in both 2018 and 2017 included a large new contract addition in the second half of 2017 that continued to favorably impact volume growth for our commercial collection business into 2018. Additionally, a large contract executed in the second half of 2017 increased our volumes at our transfer stations with incremental volume additions during 2018 that will continue to favorably impact our volumes into 2019. The clean-up efforts of natural disasters throughout the U.S. in the second half of 2017 favorably affected our landfill volumes primarily in the fourth quarter of 2017 as compared with 2016 but negatively impacted the comparability of volumes for 2018. Furthermore, our WMSBS organization experienced favorable volume growth in both 2018 and 2017.</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a volume increase from our recycling brokerage services affected the comparability of volumes for 2018 and 2017. Drivers affecting the comparability of volumes for 2017 and 2016 included a volume increase from an eleven-month outage at a waste-to-energy facility in Virginia that ended in mid-December 2017 offset, in part, by one less workday in 2017 that negatively impacted our volume growth.</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Foreign Currency Translation and Other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Fluctuations in foreign currency affect revenues from our Canadian operations. We also experienced revenue decline associated with the adoption of ASU 2014-09 and other changes. See Notes 2 and 3 to the Consolidated Financial Statements for further discussion.</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line of business, including certain rebates paid to suppliers; (vi) fuel costs, which represent the costs of fuel and oil to operate our truck fleet and landfill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equipment; (vii) 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w:t>
      </w:r>
    </w:p>
    <w:p>
      <w:pPr>
        <w:spacing w:after="0" w:line="2" w:lineRule="exact"/>
        <w:rPr>
          <w:sz w:val="20"/>
          <w:szCs w:val="20"/>
          <w:color w:val="auto"/>
        </w:rPr>
      </w:pPr>
    </w:p>
    <w:p>
      <w:pPr>
        <w:jc w:val="both"/>
        <w:ind w:firstLine="3"/>
        <w:spacing w:after="0" w:line="255" w:lineRule="auto"/>
        <w:tabs>
          <w:tab w:leader="none" w:pos="3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ind w:left="320"/>
              <w:spacing w:after="0"/>
              <w:rPr>
                <w:sz w:val="20"/>
                <w:szCs w:val="20"/>
                <w:color w:val="auto"/>
              </w:rPr>
            </w:pPr>
            <w:r>
              <w:rPr>
                <w:rFonts w:ascii="Arial" w:cs="Arial" w:eastAsia="Arial" w:hAnsi="Arial"/>
                <w:sz w:val="18"/>
                <w:szCs w:val="18"/>
                <w:color w:val="auto"/>
              </w:rPr>
              <w:t>The  following  table  summarizes</w:t>
            </w:r>
          </w:p>
        </w:tc>
        <w:tc>
          <w:tcPr>
            <w:tcW w:w="4620" w:type="dxa"/>
            <w:vAlign w:val="bottom"/>
            <w:gridSpan w:val="14"/>
          </w:tcPr>
          <w:p>
            <w:pPr>
              <w:ind w:left="60"/>
              <w:spacing w:after="0"/>
              <w:rPr>
                <w:sz w:val="20"/>
                <w:szCs w:val="20"/>
                <w:color w:val="auto"/>
              </w:rPr>
            </w:pPr>
            <w:r>
              <w:rPr>
                <w:rFonts w:ascii="Arial" w:cs="Arial" w:eastAsia="Arial" w:hAnsi="Arial"/>
                <w:sz w:val="18"/>
                <w:szCs w:val="18"/>
                <w:color w:val="auto"/>
              </w:rPr>
              <w:t>the  major  components  of  our  operating  expenses  for</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w w:val="99"/>
              </w:rPr>
              <w:t>the  years  ended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December 31 (dollars in millions):</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4"/>
                <w:szCs w:val="24"/>
                <w:color w:val="auto"/>
              </w:rPr>
            </w:pP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4"/>
              </w:rPr>
              <w:t>Period-to-Period</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4"/>
                <w:szCs w:val="2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Period-to-Period</w:t>
            </w:r>
          </w:p>
        </w:tc>
        <w:tc>
          <w:tcPr>
            <w:tcW w:w="5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Labor and related benefits</w:t>
            </w:r>
          </w:p>
        </w:tc>
        <w:tc>
          <w:tcPr>
            <w:tcW w:w="11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$ 203</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Transfer and disposal costs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Maintenance and repairs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Subcontractor costs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(19.2)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111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Fuel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9"/>
              </w:rPr>
              <w:t>Disposal and franchise fees and taxes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(20.6)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Landfill operating costs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w:t>
            </w:r>
          </w:p>
        </w:tc>
        <w:tc>
          <w:tcPr>
            <w:tcW w:w="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Risk management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9,249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2.5 %</w:t>
            </w:r>
          </w:p>
        </w:tc>
        <w:tc>
          <w:tcPr>
            <w:tcW w:w="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535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6.3 %</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8,486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increase in volumes in the current year periods,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affect the comparability of operating expenses for the periods presented. In addition, cost inflation affects the comparability of operating expenses particularly between 2018 and 2017.</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significant items affecting the comparison of operating expenses between reported periods include: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in 2018 as compared with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 volume growth in our collection line of business; (ii) a bonus plan established in early 2018 targeted at improving employee retention and (iii) merit increases. The increase in labor and related benefits costs in 2017 as compared with 2016 was due to (i) merit increases; (ii) increased headcount driven by higher volumes and (iii) charges for the withdrawal from certain underfunded Multiemployer Pension Plans. These cost increases were partially offset by one less workday in 2017.</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in 2018 and 2017 as compared with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periods was primarily driven by (i) higher labor costs from volume growth and cost inflation and (ii) higher third-party service and parts costs.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Cost of Goods Sold — </w:t>
      </w:r>
      <w:r>
        <w:rPr>
          <w:rFonts w:ascii="Arial" w:cs="Arial" w:eastAsia="Arial" w:hAnsi="Arial"/>
          <w:sz w:val="17"/>
          <w:szCs w:val="17"/>
          <w:color w:val="auto"/>
        </w:rPr>
        <w:t>The decrease in cost of goods sold in 2018 as compared with 2017 was primarily driven by</w:t>
      </w:r>
    </w:p>
    <w:p>
      <w:pPr>
        <w:spacing w:after="0" w:line="35" w:lineRule="exact"/>
        <w:rPr>
          <w:sz w:val="20"/>
          <w:szCs w:val="20"/>
          <w:color w:val="auto"/>
        </w:rPr>
      </w:pPr>
    </w:p>
    <w:p>
      <w:pPr>
        <w:jc w:val="both"/>
        <w:ind w:firstLine="3"/>
        <w:spacing w:after="0" w:line="216" w:lineRule="exact"/>
        <w:tabs>
          <w:tab w:leader="none" w:pos="2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lower market prices for recycling commodities and (ii) a change in accounting for certain customer rebates due to the adoption of ASU 2014-09 in the current year period. See Notes 2 and 3 to the Consolidated Financial Statements for further discussion of ASU 2014</w:t>
      </w:r>
      <w:r>
        <w:rPr>
          <w:rFonts w:ascii="MS PGothic" w:cs="MS PGothic" w:eastAsia="MS PGothic" w:hAnsi="MS PGothic"/>
          <w:sz w:val="17"/>
          <w:szCs w:val="17"/>
          <w:color w:val="auto"/>
        </w:rPr>
        <w:t>‑</w:t>
      </w:r>
      <w:r>
        <w:rPr>
          <w:rFonts w:ascii="Arial" w:cs="Arial" w:eastAsia="Arial" w:hAnsi="Arial"/>
          <w:sz w:val="17"/>
          <w:szCs w:val="17"/>
          <w:color w:val="auto"/>
        </w:rPr>
        <w:t>09. The increase in cost of goods sold in 2017 as compared with 2016 was due to higher market prices for recycling commodities, partially offset by lower costs due to (i) continued efforts to restructure recycling rebates paid to customers and (ii) the divestiture of a majority-owned organics company in 2016.</w:t>
      </w:r>
    </w:p>
    <w:p>
      <w:pPr>
        <w:spacing w:after="0" w:line="20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increase in fuel costs in 2018 as compared with 2017 was due to higher market prices for diesel fuel,</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the recognition of a $28 million benefit from the extension of federal natural gas fuel credits. We recognized the benefit in the first quarter of 2018 when the legislation was passed, though the credits relate to 2017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activity and these credits were not extended into 2018. The increase in fuel costs in 2017 as compared with 2016 was primarily due to (i) higher market prices for diesel fuel; (ii) the expiration of certain natural gas fuel excise tax credits as of December 31, 2016 and (iii) higher volumes in our collection line of business. These cost increases were partially offset by</w:t>
      </w:r>
    </w:p>
    <w:p>
      <w:pPr>
        <w:ind w:firstLine="3"/>
        <w:spacing w:after="0" w:line="261" w:lineRule="auto"/>
        <w:tabs>
          <w:tab w:leader="none" w:pos="2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costs resulting from the continued conversion of our fleet to natural gas vehicles and (ii) reduced fuel consumption due to efficiency gains in the routing of our fleet.</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decrease in disposal and franchise fees and taxes in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2017 was driven by the adoption of ASU 2014-09 in the current year period; specifically, certain franchise fees were treated as disposal fees and taxes in the prior year periods and are treated as a reduction in operating revenues in the current year period. See Notes 2 and 3 to the Consolidated Financial Statements for further discussion of ASU 2014-09. The increase in disposal and franchise fees and taxes in 2017 as compared with 2016 is primarily due to higher landfill volumes and increased municipal franchise fees.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in 2018 and 2017 was primarily due to increases in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our self-insured retention.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decrease in other operating costs in 2018 as compared with 2017 was primarily driven by net gains on</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certain assets in the current year period. The increase in other operating costs in 2017 as compared with 2016 was principally driven by favorable adjustments to our contingent consideration liabilities associated with certain acquisitions in 2016 and higher operating lease expenses in 2017.</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settlements generally are included in our “Other” selling, general and administrative expenses.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years ended December 31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Period-to-Period</w:t>
            </w:r>
          </w:p>
        </w:tc>
        <w:tc>
          <w:tcPr>
            <w:tcW w:w="60" w:type="dxa"/>
            <w:vAlign w:val="bottom"/>
            <w:vMerge w:val="restart"/>
          </w:tcPr>
          <w:p>
            <w:pPr>
              <w:spacing w:after="0"/>
              <w:rPr>
                <w:sz w:val="14"/>
                <w:szCs w:val="14"/>
                <w:color w:val="auto"/>
              </w:rPr>
            </w:pPr>
          </w:p>
        </w:tc>
        <w:tc>
          <w:tcPr>
            <w:tcW w:w="5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380" w:type="dxa"/>
            <w:vAlign w:val="bottom"/>
            <w:gridSpan w:val="6"/>
          </w:tcPr>
          <w:p>
            <w:pPr>
              <w:ind w:left="20"/>
              <w:spacing w:after="0"/>
              <w:rPr>
                <w:sz w:val="20"/>
                <w:szCs w:val="20"/>
                <w:color w:val="auto"/>
              </w:rPr>
            </w:pPr>
            <w:r>
              <w:rPr>
                <w:rFonts w:ascii="Arial" w:cs="Arial" w:eastAsia="Arial" w:hAnsi="Arial"/>
                <w:sz w:val="14"/>
                <w:szCs w:val="14"/>
                <w:b w:val="1"/>
                <w:bCs w:val="1"/>
                <w:color w:val="auto"/>
              </w:rPr>
              <w:t>Period-to-Period</w:t>
            </w: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Professional fees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w:t>
            </w:r>
          </w:p>
        </w:tc>
        <w:tc>
          <w:tcPr>
            <w:tcW w:w="86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decrease in labor and related benefits costs in 2018 compared with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lower incentive compensation accruals in the current year period and (ii) severance costs for former executives incurred in 2017 partially offset by merit increases and a bonus plan established in early 2018 targeted at improving employee retention. The increase in labor and related benefits costs in 2017 compared with 2016 was primarily due to (i) merit increases; (ii) higher incentive compensation accruals and (iii) higher severance costs for former executives in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Professional Fees </w:t>
      </w:r>
      <w:r>
        <w:rPr>
          <w:rFonts w:ascii="Arial" w:cs="Arial" w:eastAsia="Arial" w:hAnsi="Arial"/>
          <w:sz w:val="17"/>
          <w:szCs w:val="17"/>
          <w:color w:val="auto"/>
        </w:rPr>
        <w:t>— The increase in professional fees in 2018 compared with 2017 was primarily due to the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making in technology to improve our operations and our customer service and higher legal fees.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increased in 2018 compared with 2017 primarily due to (i)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revenues and (ii) the bankruptcy of a strategic customer in our WMSBS organization.</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The increase in other expenses in 2018 compared with 2017 was primarily due to higher litigation settlements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2018, which were partially offset by lower costs associated with advertising and travel and entertainment as we continued to focus on controlling costs. The increase in other expenses in 2017 compared with 2016 was primarily due to favorable litigation settlements in 2016 and charitable contributions made for hurricane relief efforts in 2017.</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our depreciation and amortization expenses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380" w:type="dxa"/>
            <w:vAlign w:val="bottom"/>
            <w:gridSpan w:val="6"/>
          </w:tcPr>
          <w:p>
            <w:pPr>
              <w:ind w:left="20"/>
              <w:spacing w:after="0"/>
              <w:rPr>
                <w:sz w:val="20"/>
                <w:szCs w:val="20"/>
                <w:color w:val="auto"/>
              </w:rPr>
            </w:pPr>
            <w:r>
              <w:rPr>
                <w:rFonts w:ascii="Arial" w:cs="Arial" w:eastAsia="Arial" w:hAnsi="Arial"/>
                <w:sz w:val="14"/>
                <w:szCs w:val="14"/>
                <w:b w:val="1"/>
                <w:bCs w:val="1"/>
                <w:color w:val="auto"/>
              </w:rPr>
              <w:t>Period-to-Period</w:t>
            </w:r>
          </w:p>
        </w:tc>
        <w:tc>
          <w:tcPr>
            <w:tcW w:w="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380" w:type="dxa"/>
            <w:vAlign w:val="bottom"/>
            <w:gridSpan w:val="6"/>
          </w:tcPr>
          <w:p>
            <w:pPr>
              <w:spacing w:after="0"/>
              <w:rPr>
                <w:sz w:val="20"/>
                <w:szCs w:val="20"/>
                <w:color w:val="auto"/>
              </w:rPr>
            </w:pPr>
            <w:r>
              <w:rPr>
                <w:rFonts w:ascii="Arial" w:cs="Arial" w:eastAsia="Arial" w:hAnsi="Arial"/>
                <w:sz w:val="14"/>
                <w:szCs w:val="14"/>
                <w:b w:val="1"/>
                <w:bCs w:val="1"/>
                <w:color w:val="auto"/>
              </w:rPr>
              <w:t>Period-to-Period</w:t>
            </w: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18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rPr>
              <w:t>Change</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Depreciation of tangible property and equipment</w:t>
            </w:r>
          </w:p>
        </w:tc>
        <w:tc>
          <w:tcPr>
            <w:tcW w:w="4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7.0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7.3 %</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depreciation of tangible property and equipment during 2018 as compared to 2017 is primarily due to increased capital expenditures to support organic growth in our business. The increase in amortization of landfill airspace during 2018 and 2017 as compared with the prior year periods is primarily due to higher volumes at our landfills and changes in our landfill estimates.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divestitures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Asset impairments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4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 ended December 31, 2018, we recognized net gains of $58 million, primarily related to (i) a $52 million gain associated with the sale of certain hauling operations in Tier 1 and (ii) net gains of $44 million substantially all from divestitures of certain ancillary operations. These gains were partially offset by (i) a $30 million charge to impair a landfill in Tier 3 based on an internally developed discounted projected cash flow analysis, taking into account continued volume decreases and revised capping cost estimates and (ii) $8 million of impairment charges primarily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year ended December 31, 2017, we recognized net gains of $16 million, primarily related to (i) gains of $31 million from the sale of certain oil and gas producing properties and (ii) a $30 million reduction in post-closing, performance-based contingent consideration obligations associated with an acquired business in our EES organization. These gains were partially offset by (i) $34 million of goodwill impairment charges primarily related to our EES organization;</w:t>
      </w:r>
    </w:p>
    <w:p>
      <w:pPr>
        <w:spacing w:after="0" w:line="2" w:lineRule="exact"/>
        <w:rPr>
          <w:sz w:val="20"/>
          <w:szCs w:val="20"/>
          <w:color w:val="auto"/>
        </w:rPr>
      </w:pPr>
    </w:p>
    <w:p>
      <w:pPr>
        <w:ind w:left="4440" w:right="2000" w:hanging="4437"/>
        <w:spacing w:after="0" w:line="762" w:lineRule="auto"/>
        <w:tabs>
          <w:tab w:leader="none" w:pos="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 million of charges to adjust our subsidiary’s estimated potential share of an environmental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remediation liability and related costs for a closed site in Harris County, Texas, as discussed in Note 10 to the Consolidated Financial Statements and (iii) $7 million of charges to write down certain renewable energy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2016, we recognized net charges of $112 million, primarily related to</w:t>
      </w:r>
    </w:p>
    <w:p>
      <w:pPr>
        <w:spacing w:after="0" w:line="23" w:lineRule="exact"/>
        <w:rPr>
          <w:sz w:val="20"/>
          <w:szCs w:val="20"/>
          <w:color w:val="auto"/>
        </w:rPr>
      </w:pPr>
    </w:p>
    <w:p>
      <w:pPr>
        <w:jc w:val="both"/>
        <w:ind w:firstLine="3"/>
        <w:spacing w:after="0" w:line="253" w:lineRule="auto"/>
        <w:tabs>
          <w:tab w:leader="none" w:pos="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$44 million of charges to adjust our subsidiary’s estimated potential share of an environmental remediation liability and related costs for a closed site in Harris County, Texas, as discussed in Note 10 to the Consolidated Financial Statements; (ii) a $43 million charge to impair a landfill in Tier 3 due to a loss of expected volumes; (iii) $12 million of goodwill impairment charges primarily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and (iv) an $8 million loss on the sale of a majority-owned organics company.</w:t>
      </w:r>
    </w:p>
    <w:p>
      <w:pPr>
        <w:spacing w:after="0" w:line="19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3 to the Consolidated Financial Statements for additional information related to the accounting policy and analysis involved in identifying and calculating impairments.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income from operations for the years ended December 31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Period-to-</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3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Period</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color w:val="auto"/>
              </w:rPr>
              <w:t>Solid Waste:</w:t>
            </w: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$ 1,642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$ 104</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6.8 % $ 1,538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$ 108</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7.6 % $ 1,430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Tier 2</w:t>
            </w:r>
          </w:p>
        </w:tc>
        <w:tc>
          <w:tcPr>
            <w:tcW w:w="62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60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440"/>
              <w:spacing w:after="0"/>
              <w:rPr>
                <w:sz w:val="20"/>
                <w:szCs w:val="20"/>
                <w:color w:val="auto"/>
              </w:rPr>
            </w:pPr>
            <w:r>
              <w:rPr>
                <w:rFonts w:ascii="Arial" w:cs="Arial" w:eastAsia="Arial" w:hAnsi="Arial"/>
                <w:sz w:val="18"/>
                <w:szCs w:val="18"/>
                <w:color w:val="auto"/>
              </w:rPr>
              <w:t>Solid Waste</w:t>
            </w:r>
          </w:p>
        </w:tc>
        <w:tc>
          <w:tcPr>
            <w:tcW w:w="620" w:type="dxa"/>
            <w:vAlign w:val="bottom"/>
          </w:tcPr>
          <w:p>
            <w:pPr>
              <w:jc w:val="right"/>
              <w:spacing w:after="0"/>
              <w:rPr>
                <w:sz w:val="20"/>
                <w:szCs w:val="20"/>
                <w:color w:val="auto"/>
              </w:rPr>
            </w:pPr>
            <w:r>
              <w:rPr>
                <w:rFonts w:ascii="Arial" w:cs="Arial" w:eastAsia="Arial" w:hAnsi="Arial"/>
                <w:sz w:val="18"/>
                <w:szCs w:val="18"/>
                <w:color w:val="auto"/>
              </w:rPr>
              <w:t>3,395</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3,289</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Corporate and Other</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(540)</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(585)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41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$ 2,296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segments are discussed further in Note 19 to the Consolidated Financial Statements.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2018 are summarized below:</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both comparable periods:</w:t>
      </w:r>
    </w:p>
    <w:p>
      <w:pPr>
        <w:spacing w:after="0" w:line="117" w:lineRule="exact"/>
        <w:rPr>
          <w:sz w:val="20"/>
          <w:szCs w:val="20"/>
          <w:color w:val="auto"/>
        </w:rPr>
      </w:pPr>
    </w:p>
    <w:p>
      <w:pPr>
        <w:ind w:left="660" w:hanging="333"/>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Solid Waste business benefited from internal revenue growth offset, in part, by merit increases and increased maintenance and repair costs.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items affected 2018 when compared with 2017:</w:t>
      </w:r>
    </w:p>
    <w:p>
      <w:pPr>
        <w:spacing w:after="0" w:line="117" w:lineRule="exact"/>
        <w:rPr>
          <w:sz w:val="20"/>
          <w:szCs w:val="20"/>
          <w:color w:val="auto"/>
        </w:rPr>
      </w:pPr>
    </w:p>
    <w:p>
      <w:pPr>
        <w:jc w:val="both"/>
        <w:ind w:left="660" w:hanging="333"/>
        <w:spacing w:after="0" w:line="27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income from operations for our Solid Waste business benefited from certain federal natural gas fuel credits in the first quarter of 2018 and was negatively impacted by (i) lower market prices for recycling commodities;</w:t>
      </w:r>
    </w:p>
    <w:p>
      <w:pPr>
        <w:jc w:val="both"/>
        <w:ind w:left="660" w:hanging="9"/>
        <w:spacing w:after="0" w:line="254"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higher operating costs, including a bonus plan established in early 2018 targeted at improving employee retention and (iii) increased depreciation and amortization expenses to support growth of our business. During 2018, Tier 1 also benefited from the divestiture of certain hauling operations and Tier 3 was negatively impacted by an impairment of a landfill.</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items affected 2017 when compared with 2016:</w:t>
      </w:r>
    </w:p>
    <w:p>
      <w:pPr>
        <w:spacing w:after="0" w:line="117" w:lineRule="exact"/>
        <w:rPr>
          <w:sz w:val="20"/>
          <w:szCs w:val="20"/>
          <w:color w:val="auto"/>
        </w:rPr>
      </w:pPr>
    </w:p>
    <w:p>
      <w:pPr>
        <w:jc w:val="both"/>
        <w:ind w:left="660" w:hanging="333"/>
        <w:spacing w:after="0" w:line="27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Solid Waste business benefited from (i) higher market prices for recycling commodities; (ii) decreased landfill leachate management costs in Tier 3 and (iii) an impairment charge for a landfill in Tier 3 in 2016. However, our income from operations was negatively impacted by (i) charges for the withdrawal from certain underfunded Multiemployer Pension Plans, primarily in Tier 3 and (ii) increased landfill amortization expense related to higher volumes at our landfills and changes in our landfill estimates, primarily in Tier 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In 2018 compared with 2017, our Other segment benefited from net gains from divestitures of certain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improved results in our EES and WM Renewable Energy businesses, partially offset by higher risk management costs. A reduction in contingent consideration obligations in our EES business favorably affected 2017 when compared with 2016.</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Corporate and other was affected by charges in 2016, and to a lesser extent in 2017, to adjust</w:t>
      </w:r>
      <w:r>
        <w:rPr>
          <w:rFonts w:ascii="Arial" w:cs="Arial" w:eastAsia="Arial" w:hAnsi="Arial"/>
          <w:sz w:val="18"/>
          <w:szCs w:val="18"/>
          <w:i w:val="1"/>
          <w:iCs w:val="1"/>
          <w:color w:val="auto"/>
        </w:rPr>
        <w:t xml:space="preserve"> </w:t>
      </w:r>
      <w:r>
        <w:rPr>
          <w:rFonts w:ascii="Arial" w:cs="Arial" w:eastAsia="Arial" w:hAnsi="Arial"/>
          <w:sz w:val="18"/>
          <w:szCs w:val="18"/>
          <w:color w:val="auto"/>
        </w:rPr>
        <w:t>our subsidiary’s estimated potential share of an environmental remediation liability and related costs for a closed site in Harris County, Texas.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items affected 2018 when compared with 2017:</w:t>
      </w:r>
    </w:p>
    <w:p>
      <w:pPr>
        <w:spacing w:after="0" w:line="117" w:lineRule="exact"/>
        <w:rPr>
          <w:sz w:val="20"/>
          <w:szCs w:val="20"/>
          <w:color w:val="auto"/>
        </w:rPr>
      </w:pPr>
    </w:p>
    <w:p>
      <w:pPr>
        <w:jc w:val="both"/>
        <w:ind w:left="660" w:hanging="333"/>
        <w:spacing w:after="0" w:line="31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Decreased expenses in 2018 as a result of lower incentive compensation accruals and severance costs for former executives incurred in 2017. These decreases were offset, in part, by higher professional fees primarily due to the investments we are making in technology to improve our operations and our customer service in 2018.</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items affected 2017 when compared with 2016:</w:t>
      </w:r>
    </w:p>
    <w:p>
      <w:pPr>
        <w:spacing w:after="0" w:line="117" w:lineRule="exact"/>
        <w:rPr>
          <w:sz w:val="20"/>
          <w:szCs w:val="20"/>
          <w:color w:val="auto"/>
        </w:rPr>
      </w:pPr>
    </w:p>
    <w:p>
      <w:pPr>
        <w:ind w:left="660" w:hanging="333"/>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expenses in 2017 as a result of higher incentive compensation accruals and severance costs. These increases were offset, in part, by a favorable litigation settlement in 2016.</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interest expense, net was $374 million, $363 million and $376 million in 2018, 2017 and 2016, respectively. Our 2017 interest expense benefited from higher capitalized interest on certain projects under development and the early repayment of high-coupon senior notes and issuance of new senior notes at lower coupon interest rates in 2017.</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recognized equity in net losses of unconsolidated entities of $41 million, $68 million and $44 million in 2018, 2017 and 2016, respectively. The amount in 2017 includes impairment charges of $29 million to write down equity method investments in waste diversion technology companies to their estimated fair values. The remaining losses for each period are primarily related to our noncontrolling interests in entities established to invest in and manage low-income housing properties and a refined coal facility. We generate tax benefits, including tax credits, from the losses incurred from these investments, which are discussed further in Note 8 to the Consolidated Financial Statements.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recognized other, net income of $2 million in 2018 compared to other, net expense of $14 million and $54 million in 2017 and 2016, respectively. The expenses for 2017 and 2016 were impacted by impairment charges of $11 million and $42 million, respectively, related to other-than-temporary declines in the value of minority-owned investments in waste diversion technology companies. In addition, we also recognized (i) $8 million of expense during 2016 associated with the termination of our cross-currency swaps, which is discussed further in Note 7 to the Consolidated Financial Statements and (ii) a loss on early extinguishment of debt of $6 million and $4 million in 2017 and 2016, respectively.</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recorded income tax expense of $453 million, $242 million and $642 million in 2018, 2017 and 2016, respectively, resulting in effective income tax rates of 19.0%, 11.0% and 35.2% for the years ended December 31, 2018, 2017 and 2016, respectively. The comparability of our income tax expense for the reported periods has been primarily affected by the following:</w:t>
      </w:r>
    </w:p>
    <w:p>
      <w:pPr>
        <w:spacing w:after="0" w:line="187" w:lineRule="exact"/>
        <w:rPr>
          <w:sz w:val="20"/>
          <w:szCs w:val="20"/>
          <w:color w:val="auto"/>
        </w:rPr>
      </w:pPr>
    </w:p>
    <w:p>
      <w:pPr>
        <w:jc w:val="both"/>
        <w:ind w:left="660" w:hanging="333"/>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Enactment of Tax Reform — </w:t>
      </w:r>
      <w:r>
        <w:rPr>
          <w:rFonts w:ascii="Arial" w:cs="Arial" w:eastAsia="Arial" w:hAnsi="Arial"/>
          <w:sz w:val="16"/>
          <w:szCs w:val="16"/>
          <w:color w:val="auto"/>
        </w:rPr>
        <w:t>For the year ended December 31, 2018, we recognized measurement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related to enactment of the Tax Cuts and Jobs Act primarily due to the filing of our income tax returns resulting in a reduction in our income tax expense of $12 million. The reduction consisted of a net income tax benefit of (i) $7 million for the remeasurement of our deferred income tax assets and liabilities and other reserves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due to the decrease in the federal corporate income tax rate and (ii) a $5 million adjustment for the one-time, mandatory transition tax. For the year ended December 31, 2017, we recognized a reduction in our income tax expense of $529 million consisting of a net tax benefit of $595 million for the initial remeasurement of our deferred income tax assets and liabilities due to the decrease in the federal corporate income tax rate, partially offset by income tax expense of $66 million for the one-time, mandatory transition tax.</w:t>
      </w:r>
    </w:p>
    <w:p>
      <w:pPr>
        <w:spacing w:after="0" w:line="64" w:lineRule="exact"/>
        <w:rPr>
          <w:sz w:val="20"/>
          <w:szCs w:val="20"/>
          <w:color w:val="auto"/>
        </w:rPr>
      </w:pPr>
    </w:p>
    <w:p>
      <w:pPr>
        <w:jc w:val="both"/>
        <w:ind w:left="660" w:hanging="333"/>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Other Adjustments – </w:t>
      </w:r>
      <w:r>
        <w:rPr>
          <w:rFonts w:ascii="Arial" w:cs="Arial" w:eastAsia="Arial" w:hAnsi="Arial"/>
          <w:sz w:val="18"/>
          <w:szCs w:val="18"/>
          <w:color w:val="auto"/>
        </w:rPr>
        <w:t>We recognized reductions in our income tax expense of $92 million, $7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for the years ended December 31, 2018, 2017 and 2016, respectively, associated with adjustments to accruals and related deferred taxes and tax audit settlements.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to the Consolidated Financial Statements for more information related to income taxes.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owned or operated 247 solid waste and five secure hazardous waste landfills as of December 31, 2018 and 244 solid waste and five secure hazardous waste landfills as of December 31, 2017. For these landfills, the following table reflects changes in capacity, as measured in tons of waste, for the years ended December 31 and remaining capacity, measured in cubic yards of waste, as of December 31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Remaining</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Expansion</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Remaining</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Expansion</w:t>
            </w:r>
          </w:p>
        </w:tc>
        <w:tc>
          <w:tcPr>
            <w:tcW w:w="5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Permitted</w:t>
            </w:r>
          </w:p>
        </w:tc>
        <w:tc>
          <w:tcPr>
            <w:tcW w:w="8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Permitted</w:t>
            </w:r>
          </w:p>
        </w:tc>
        <w:tc>
          <w:tcPr>
            <w:tcW w:w="7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Capacity</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Capacity</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Capacity</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year (in tons)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Acquisitions, divestitures, newly permitted landfills and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 (a)</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Expansion permits granted (b)</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 (c)</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end of year (in tons)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line="203" w:lineRule="exact"/>
              <w:rPr>
                <w:sz w:val="20"/>
                <w:szCs w:val="20"/>
                <w:color w:val="auto"/>
              </w:rPr>
            </w:pPr>
            <w:r>
              <w:rPr>
                <w:rFonts w:ascii="Arial" w:cs="Arial" w:eastAsia="Arial" w:hAnsi="Arial"/>
                <w:sz w:val="18"/>
                <w:szCs w:val="18"/>
                <w:color w:val="auto"/>
              </w:rPr>
              <w:t>Balance as of end of year (in cubic yards)</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4,735</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4,929</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4,815</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312"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38" w:lineRule="exact"/>
        <w:rPr>
          <w:rFonts w:ascii="Arial" w:cs="Arial" w:eastAsia="Arial" w:hAnsi="Arial"/>
          <w:sz w:val="16"/>
          <w:szCs w:val="16"/>
          <w:color w:val="auto"/>
        </w:rPr>
      </w:pPr>
    </w:p>
    <w:p>
      <w:pPr>
        <w:jc w:val="both"/>
        <w:ind w:left="320" w:hanging="317"/>
        <w:spacing w:after="0" w:line="264"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received expansion permits at six of our landfills during 2018 and nine of our landfills during 2017, demonstrating our continued success in working with municipalities and regulatory agencies to expand the disposal capacity of our existing landfills.</w:t>
      </w:r>
    </w:p>
    <w:p>
      <w:pPr>
        <w:spacing w:after="0" w:line="73" w:lineRule="exact"/>
        <w:rPr>
          <w:rFonts w:ascii="Arial" w:cs="Arial" w:eastAsia="Arial" w:hAnsi="Arial"/>
          <w:sz w:val="18"/>
          <w:szCs w:val="18"/>
          <w:color w:val="auto"/>
        </w:rPr>
      </w:pPr>
    </w:p>
    <w:p>
      <w:pPr>
        <w:jc w:val="both"/>
        <w:ind w:left="320" w:hanging="317"/>
        <w:spacing w:after="0" w:line="270"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tons received at our landfills are shown below (tons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19"/>
        </w:trPr>
        <w:tc>
          <w:tcPr>
            <w:tcW w:w="2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60" w:type="dxa"/>
            <w:vAlign w:val="bottom"/>
            <w:gridSpan w:val="2"/>
          </w:tcPr>
          <w:p>
            <w:pPr>
              <w:jc w:val="center"/>
              <w:ind w:right="110"/>
              <w:spacing w:after="0" w:line="119" w:lineRule="exact"/>
              <w:rPr>
                <w:sz w:val="20"/>
                <w:szCs w:val="20"/>
                <w:color w:val="auto"/>
              </w:rPr>
            </w:pPr>
            <w:r>
              <w:rPr>
                <w:rFonts w:ascii="Arial" w:cs="Arial" w:eastAsia="Arial" w:hAnsi="Arial"/>
                <w:sz w:val="13"/>
                <w:szCs w:val="13"/>
                <w:b w:val="1"/>
                <w:bCs w:val="1"/>
                <w:color w:val="auto"/>
                <w:w w:val="94"/>
              </w:rPr>
              <w:t># of</w:t>
            </w:r>
          </w:p>
        </w:tc>
        <w:tc>
          <w:tcPr>
            <w:tcW w:w="7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160" w:type="dxa"/>
            <w:vAlign w:val="bottom"/>
          </w:tcPr>
          <w:p>
            <w:pPr>
              <w:spacing w:after="0"/>
              <w:rPr>
                <w:sz w:val="10"/>
                <w:szCs w:val="10"/>
                <w:color w:val="auto"/>
              </w:rPr>
            </w:pPr>
          </w:p>
        </w:tc>
        <w:tc>
          <w:tcPr>
            <w:tcW w:w="5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Tons per</w:t>
            </w:r>
          </w:p>
        </w:tc>
      </w:t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Sites</w:t>
            </w: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Tons</w:t>
            </w:r>
          </w:p>
        </w:tc>
        <w:tc>
          <w:tcPr>
            <w:tcW w:w="22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rPr>
              <w:t>Day</w:t>
            </w:r>
          </w:p>
        </w:tc>
        <w:tc>
          <w:tcPr>
            <w:tcW w:w="16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Sites</w:t>
            </w: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Day</w:t>
            </w:r>
          </w:p>
        </w:tc>
      </w:tr>
      <w:tr>
        <w:trPr>
          <w:trHeight w:val="210"/>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1"/>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115,972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244</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112,849</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116,711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113,433</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175"/>
        </w:trPr>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Solid waste landfills closed, divested or contract expired</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0"/>
        </w:trPr>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during related year</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117,135</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(b)</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113,572</w:t>
            </w: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1"/>
              </w:rPr>
              <w:t>(b)</w:t>
            </w: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2018, we acquired four landfills and closed one landfill.</w:t>
      </w:r>
    </w:p>
    <w:p>
      <w:pPr>
        <w:spacing w:after="0" w:line="117"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amounts include 1.5 million tons and 1.8 million tons as of December 31, 2018 and 2017, respectively,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a landfill we own or operate receives certification of closure from the applicable regulatory agency, we generally transfer the management of the site, including any remediation activities, to our environmental legacy management group. As of December 31, 2018, our environmental legacy management group managed 207 closed landfills.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Based on remaining permitted airspace as of December 31, 2018 and projected annual disposal volumes, the weighted average remaining landfill life for all of our owned or operated landfills is approximately 41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disposal prices, construction and operating costs, remaining capacity and likelihood of obtaining an expansion permit. We are seeking expansion permits at 15 of our landfills that meet the expansion criteria outlined in the </w:t>
      </w:r>
      <w:r>
        <w:rPr>
          <w:rFonts w:ascii="Arial" w:cs="Arial" w:eastAsia="Arial" w:hAnsi="Arial"/>
          <w:sz w:val="17"/>
          <w:szCs w:val="17"/>
          <w:i w:val="1"/>
          <w:iCs w:val="1"/>
          <w:color w:val="auto"/>
        </w:rPr>
        <w:t>Critical Accounting Estimates and Assumptions — Landfills</w:t>
      </w:r>
      <w:r>
        <w:rPr>
          <w:rFonts w:ascii="Arial" w:cs="Arial" w:eastAsia="Arial" w:hAnsi="Arial"/>
          <w:sz w:val="17"/>
          <w:szCs w:val="17"/>
          <w:color w:val="auto"/>
        </w:rPr>
        <w:t xml:space="preserve"> section below. Although no assurances can be made that all future expansions will be permitted or permitted as designed, the weighted average remaining landfill life for all owned or operated landfills is approximately 43 years when considering remaining permitted airspace, expansion airspace and projected annual disposal volume.</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number of landfills owned or operated as of December 31, 2018, segregated by their estimated operating lives based on remaining permitted and expansion capacity and projected annual disposal volume,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of Landfills</w:t>
            </w:r>
          </w:p>
        </w:tc>
        <w:tc>
          <w:tcPr>
            <w:tcW w:w="200" w:type="dxa"/>
            <w:vAlign w:val="bottom"/>
            <w:tcBorders>
              <w:bottom w:val="single" w:sz="8" w:color="CCEEFF"/>
            </w:tcBorders>
          </w:tcPr>
          <w:p>
            <w:pPr>
              <w:spacing w:after="0"/>
              <w:rPr>
                <w:sz w:val="14"/>
                <w:szCs w:val="14"/>
                <w:color w:val="auto"/>
              </w:rPr>
            </w:pPr>
          </w:p>
        </w:tc>
      </w:tr>
      <w:tr>
        <w:trPr>
          <w:trHeight w:val="21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to 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6 to 10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21 to 40 years</w:t>
            </w: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years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r>
      <w:tr>
        <w:trPr>
          <w:trHeight w:val="217"/>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r>
      <w:tr>
        <w:trPr>
          <w:trHeight w:val="115"/>
        </w:trPr>
        <w:tc>
          <w:tcPr>
            <w:tcW w:w="228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the 252 landfills, 204 are owned, 35 are operated under lease agreements and 13 are operated under other contractual agreements. For the landfills not owned, we are usually responsible for final capping, closure and post-closure obligations.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2018, we have 16 landfills which are not currently accepting waste. During the year ended December 31, 2018, we performed tests of recoverability for seven of these landfills with an aggregate net recorded capitalized landfill asset cost of $270 million, for which the undiscounted expected future cash flows resulting from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probability-weighted estimation approach exceeded the carrying values. We did not perform recoverability tests for the remaining nine landfills as the net recorded capitalized landfill asset cost was not material.</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Landfill Assets — </w:t>
      </w:r>
      <w:r>
        <w:rPr>
          <w:rFonts w:ascii="Arial" w:cs="Arial" w:eastAsia="Arial" w:hAnsi="Arial"/>
          <w:sz w:val="16"/>
          <w:szCs w:val="16"/>
          <w:color w:val="auto"/>
        </w:rPr>
        <w:t>We capitalize various costs that we incur to prepare a landfill to accept waste. These costs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to the cost basis of our landfill assets and accumulated landfill airspace amortization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reflected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9"/>
              </w:rPr>
              <w:t>Cost Basis of</w:t>
            </w:r>
          </w:p>
        </w:tc>
        <w:tc>
          <w:tcPr>
            <w:tcW w:w="12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Landfill Airspace</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Landfill Assets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Landfill Assets</w:t>
            </w:r>
          </w:p>
        </w:tc>
        <w:tc>
          <w:tcPr>
            <w:tcW w:w="12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Capital additions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 incurred and capitalized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landfill airspace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retirements and other adjustments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2018, we estimate that we will spend approximately $600 million in 2019, and approximately $1.25 billion in 2020 and 2021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5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 </w:t>
      </w:r>
      <w:r>
        <w:rPr>
          <w:rFonts w:ascii="Arial" w:cs="Arial" w:eastAsia="Arial" w:hAnsi="Arial"/>
          <w:sz w:val="16"/>
          <w:szCs w:val="16"/>
          <w:color w:val="auto"/>
        </w:rPr>
        <w:t>As we accept waste at our landfills, we incur significant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3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2018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(c)</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reported for our landfill liabilities includes a net decrease of $15 million primarily related to our year-end annual review of landfill final capping, closure and post-closure obligations partially offset by an increase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$12 million due to the acceleration of the expected timing of capping activities for a landfill. See Note 11 to the Consolidated Financial Statements for discussion of the impairment charge related to this landfill.</w:t>
      </w:r>
    </w:p>
    <w:p>
      <w:pPr>
        <w:spacing w:after="0" w:line="62" w:lineRule="exact"/>
        <w:rPr>
          <w:sz w:val="20"/>
          <w:szCs w:val="20"/>
          <w:color w:val="auto"/>
        </w:rPr>
      </w:pPr>
    </w:p>
    <w:p>
      <w:pPr>
        <w:jc w:val="both"/>
        <w:ind w:left="320" w:hanging="317"/>
        <w:spacing w:after="0" w:line="279"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 reported for our environmental remediation liabilities includes changes in cost estimates associated with environmental remediation projects resulting in an increase in the required obligation. These charges were partially offset by a decrease of $3 million in our environmental remediation liabilities due to an increase in the risk-free discount rate used to measure our liabilities from 2.5% at December 31, 2017 to 2.75% at December 31, 2018.</w:t>
      </w:r>
    </w:p>
    <w:p>
      <w:pPr>
        <w:spacing w:after="0" w:line="63" w:lineRule="exact"/>
        <w:rPr>
          <w:rFonts w:ascii="Arial" w:cs="Arial" w:eastAsia="Arial" w:hAnsi="Arial"/>
          <w:sz w:val="17"/>
          <w:szCs w:val="17"/>
          <w:color w:val="auto"/>
        </w:rPr>
      </w:pPr>
    </w:p>
    <w:p>
      <w:pPr>
        <w:ind w:left="320" w:hanging="317"/>
        <w:spacing w:after="0" w:line="277"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$27 million due to landfill acquisitions partially offset by landfill divestitures and other adjustments.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following table summarizes our landfill operating costs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6360" w:type="dxa"/>
            <w:vAlign w:val="bottom"/>
          </w:tcPr>
          <w:p>
            <w:pPr>
              <w:spacing w:after="0"/>
              <w:rPr>
                <w:sz w:val="20"/>
                <w:szCs w:val="20"/>
                <w:color w:val="auto"/>
              </w:rPr>
            </w:pPr>
            <w:r>
              <w:rPr>
                <w:rFonts w:ascii="Arial" w:cs="Arial" w:eastAsia="Arial" w:hAnsi="Arial"/>
                <w:sz w:val="18"/>
                <w:szCs w:val="18"/>
                <w:color w:val="auto"/>
                <w:w w:val="98"/>
              </w:rPr>
              <w:t>Interest accretion on and discount rate adjustments to environmental remediation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liabilities and recovery assets</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7"/>
        </w:trPr>
        <w:tc>
          <w:tcPr>
            <w:tcW w:w="6360" w:type="dxa"/>
            <w:vAlign w:val="bottom"/>
          </w:tcPr>
          <w:p>
            <w:pPr>
              <w:ind w:left="220"/>
              <w:spacing w:after="0"/>
              <w:rPr>
                <w:sz w:val="20"/>
                <w:szCs w:val="20"/>
                <w:color w:val="auto"/>
              </w:rPr>
            </w:pPr>
            <w:r>
              <w:rPr>
                <w:rFonts w:ascii="Arial" w:cs="Arial" w:eastAsia="Arial" w:hAnsi="Arial"/>
                <w:sz w:val="18"/>
                <w:szCs w:val="18"/>
                <w:color w:val="auto"/>
              </w:rPr>
              <w:t>Total landfill operating costs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Landfill Airspace </w:t>
      </w:r>
      <w:r>
        <w:rPr>
          <w:rFonts w:ascii="Arial" w:cs="Arial" w:eastAsia="Arial" w:hAnsi="Arial"/>
          <w:sz w:val="18"/>
          <w:szCs w:val="18"/>
          <w:color w:val="auto"/>
        </w:rPr>
        <w:t>— Amortization of landfill airspace, which is included as a component of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includes the following:</w:t>
      </w:r>
    </w:p>
    <w:p>
      <w:pPr>
        <w:spacing w:after="0" w:line="6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amortization of landfill capital costs, including (i) costs that have been incurred and capitalized and</w:t>
      </w:r>
    </w:p>
    <w:p>
      <w:pPr>
        <w:spacing w:after="0" w:line="23" w:lineRule="exact"/>
        <w:rPr>
          <w:sz w:val="20"/>
          <w:szCs w:val="20"/>
          <w:color w:val="auto"/>
        </w:rPr>
      </w:pPr>
    </w:p>
    <w:p>
      <w:pPr>
        <w:ind w:left="660" w:hanging="9"/>
        <w:spacing w:after="0" w:line="261" w:lineRule="auto"/>
        <w:tabs>
          <w:tab w:leader="none" w:pos="9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estimated future costs for landfill development and construction required to develop our landfills to their remaining permitted and expansion airspace; and</w:t>
      </w:r>
    </w:p>
    <w:p>
      <w:pPr>
        <w:spacing w:after="0" w:line="75"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amortization of asset retirement costs arising from landfill final capping, closure and post-closure obligations, including (i) costs that have been incurred and capitalized and (ii) projected asset retirement costs.</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landfill airspace amortization expense on a per-ton basis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bl>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Different per-ton amortization rates are applied at each of our 252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jc w:val="both"/>
        <w:ind w:firstLine="3"/>
        <w:spacing w:after="0" w:line="255" w:lineRule="auto"/>
        <w:tabs>
          <w:tab w:leader="none" w:pos="2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differences in the cost basis of landfills that we develop versus those that we acquire. Accordingly, our landfill airspace amortization expense measured on a per-ton basis can fluctuate due to changes in the mix of volumes we receive across the Company each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30"/>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6280" w:type="dxa"/>
            <w:vAlign w:val="bottom"/>
            <w:gridSpan w:val="2"/>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 (a)</w:t>
            </w:r>
          </w:p>
        </w:tc>
        <w:tc>
          <w:tcPr>
            <w:tcW w:w="9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6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7"/>
        </w:trPr>
        <w:tc>
          <w:tcPr>
            <w:tcW w:w="628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r>
      <w:tr>
        <w:trPr>
          <w:trHeight w:val="108"/>
        </w:trPr>
        <w:tc>
          <w:tcPr>
            <w:tcW w:w="228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Includes $70 million as of December 31, 2018 and 2017 in other current assets in our Consolidated Balance Sheets.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long-term borrowings in addition to the cash we generate from operations as part of our overall financial strategy to support and grow our business. We primarily use senior notes and tax-exempt bonds to borrow on a long-term basis, but we also use other instruments and facilities, when appropriate. The components of our borrowings as of December 31, 2018 are described in Note 7 to the Consolidated Financial Statements.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Changes in our outstanding debt balances from December 31, 2017 to December 31, 2018 were primarily attributable to</w:t>
      </w:r>
    </w:p>
    <w:p>
      <w:pPr>
        <w:spacing w:after="0" w:line="46" w:lineRule="exact"/>
        <w:rPr>
          <w:sz w:val="20"/>
          <w:szCs w:val="20"/>
          <w:color w:val="auto"/>
        </w:rPr>
      </w:pPr>
    </w:p>
    <w:p>
      <w:pPr>
        <w:jc w:val="both"/>
        <w:ind w:firstLine="3"/>
        <w:spacing w:after="0" w:line="281" w:lineRule="auto"/>
        <w:tabs>
          <w:tab w:leader="none" w:pos="2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net debt cash borrowings of $313 million; (ii) our recent federal low-income housing investment discussed in Note 8 to the Consolidated Financial Statements and new capital leases, which increased our debt obligations by $250 million and</w:t>
      </w:r>
    </w:p>
    <w:p>
      <w:pPr>
        <w:spacing w:after="0" w:line="1" w:lineRule="exact"/>
        <w:rPr>
          <w:rFonts w:ascii="Arial" w:cs="Arial" w:eastAsia="Arial" w:hAnsi="Arial"/>
          <w:sz w:val="16"/>
          <w:szCs w:val="16"/>
          <w:color w:val="auto"/>
        </w:rPr>
      </w:pPr>
    </w:p>
    <w:p>
      <w:pPr>
        <w:ind w:firstLine="3"/>
        <w:spacing w:after="0" w:line="261" w:lineRule="auto"/>
        <w:tabs>
          <w:tab w:leader="none" w:pos="3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impacts of other non-cash changes in our debt balances such as divestitures, debt issuance costs, discounts, premiums, foreign currency translation and terminated interest rate derivatives.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December 31, 2018, we had $1.9 billion of debt maturing within the next 12 months, including (i) $990 million of short-term borrowings under our commercial paper program; (ii) $705 million of tax-exempt bonds with term interest rate periods that expire within the next 12 months, which is prior to their scheduled maturities; (iii) $161 million of other debt with scheduled maturities within the next 12 months, including $106 million of tax-exempt bonds and (iv) C$15 million, or $11 million, of Canadian borrowings under our $2.75 billion revolving credit facility. Of the $990 million of short-term borrowings outstanding under our commercial paper program as of December 31, 2018 that are supported by our $2.75 billion revolving credit facility, we have the intent and ability to refinance or maintain approximately $730 million of these borrowings on a long-term basis, and we have classified these amounts as long-term debt. As of December 31, 2018, we have classified an additional $705 million of debt maturing in the next 12 months as long-term because we have the intent and ability to refinance these borrowings on a long-term basis as supported by the forecasted available capacity under our $2.75 billion revolving credit facility, as discussed below. The remaining $432 million of debt maturing in the next 12 months is classified as current obligations.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2018, we also have $268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Consolidated Balance Sheet as of December 31, 2018.</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categorized by type of facility as of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r>
      <w:tr>
        <w:trPr>
          <w:trHeight w:val="21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7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letter of credit facilities (b)</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108"/>
        </w:trPr>
        <w:tc>
          <w:tcPr>
            <w:tcW w:w="228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December 31, 2018, we had an unused and available credit capacity of $1.2 billion.</w:t>
      </w:r>
    </w:p>
    <w:p>
      <w:pPr>
        <w:spacing w:after="0" w:line="117"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December 31, 2018, these other letter of credit facilities are both committed and uncommitted with terms extending through December 2020.</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Refinancing of Revolving Credit Facility</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2018, we entered into the $2.75 billion revolving credit facility, which amended and restated our prior long-term U.S. revolving credit facility. Amendments to the credit agreement included (i) increasing total capacity under the facility from $2.25 billion to $2.75 billion; (ii) establishment of a $750 million accordion feature that may be used to increase total capacity in future periods; (iii) extending the term through June 2023 and (iv) inclusion of two one-year extension options. Waste Management of Canada Corporation and WM Quebec Inc., each an indirect wholly-owned subsidiary of WM, were added as additional borrowers under the $2.75 billion revolving credit facility, and the agreement permits borrowing in Canadian dollars up to the U.S. dollar equivalent of $375 million, with such borrowings to be repaid in Canadian dollars. WM Holdings, a wholly-owned subsidiary of WM, guarantees all of the obligations under the $2.75 billion revolving credit facility.</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2017(a)</w:t>
            </w:r>
          </w:p>
        </w:tc>
        <w:tc>
          <w:tcPr>
            <w:tcW w:w="14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2016(a)</w:t>
            </w:r>
          </w:p>
        </w:tc>
      </w:tr>
      <w:tr>
        <w:trPr>
          <w:trHeight w:val="230"/>
        </w:trPr>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10"/>
        </w:trPr>
        <w:tc>
          <w:tcPr>
            <w:tcW w:w="63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(1,929)</w:t>
            </w:r>
          </w:p>
        </w:tc>
      </w:tr>
      <w:tr>
        <w:trPr>
          <w:trHeight w:val="223"/>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115"/>
        </w:trPr>
        <w:tc>
          <w:tcPr>
            <w:tcW w:w="228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year information was revised to reflect the adoption of ASU 2016</w:t>
      </w:r>
      <w:r>
        <w:rPr>
          <w:rFonts w:ascii="MS PGothic" w:cs="MS PGothic" w:eastAsia="MS PGothic" w:hAnsi="MS PGothic"/>
          <w:sz w:val="18"/>
          <w:szCs w:val="18"/>
          <w:color w:val="auto"/>
        </w:rPr>
        <w:t>‑</w:t>
      </w:r>
      <w:r>
        <w:rPr>
          <w:rFonts w:ascii="Arial" w:cs="Arial" w:eastAsia="Arial" w:hAnsi="Arial"/>
          <w:sz w:val="18"/>
          <w:szCs w:val="18"/>
          <w:color w:val="auto"/>
        </w:rPr>
        <w:t>15 and ASU 2016-18 and conform to our current year presentation. See Note 2 to the Consolidated Financial Statements for further discussion.</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by $390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as compared with the prior year period, as a result of (i) higher earnings from our Traditional Solid Waste business and (ii) lower income tax payments of $213 million, driven by enactment of tax reform and timing of income tax payments partially offset by lower earnings from our recycling line of business.</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operating cash flows increased by $177 million for the year ended December 31, 2017, as compared with the prior year period, as a result of higher earnings from our Traditional Solid Waste business and recycling line of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increase is partially offset by cash paid for income taxes, which was $120 million higher in 2017, largely driven by higher earnings and timing of income tax payments.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affecting the comparison of our investing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periods presented are summarized below:</w:t>
      </w:r>
    </w:p>
    <w:p>
      <w:pPr>
        <w:spacing w:after="0" w:line="62" w:lineRule="exact"/>
        <w:rPr>
          <w:sz w:val="20"/>
          <w:szCs w:val="20"/>
          <w:color w:val="auto"/>
        </w:rPr>
      </w:pPr>
    </w:p>
    <w:p>
      <w:pPr>
        <w:jc w:val="both"/>
        <w:ind w:left="660" w:hanging="333"/>
        <w:spacing w:after="0" w:line="271"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 </w:t>
      </w:r>
      <w:r>
        <w:rPr>
          <w:rFonts w:ascii="Arial" w:cs="Arial" w:eastAsia="Arial" w:hAnsi="Arial"/>
          <w:sz w:val="17"/>
          <w:szCs w:val="17"/>
          <w:color w:val="auto"/>
        </w:rPr>
        <w:t>Our spending on acquisitions was $466 million, $200 million and $611 million in 2018, 2017 and</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of which $460 million, $198 million and $608 million, respectively, are considered cash used in investing activities. The remaining spend is either cash used in a financing or an operating activity related to the timing of contingent consideration paid subsequent to the adoption of ASU 2016-15. Substantially all of these acquisitions are related to our Solid Waste business. Our acquisitions in 2016 included $525 million for certain operations and business assets of Southern Waste Systems/Sun Recycling. See Notes 2 and 17 to the Consolidated Financial Statements for additional information. We continue to focus on accretive acquisitions and growth opportunities that will enhance and expand our existing service offerings.</w:t>
      </w:r>
    </w:p>
    <w:p>
      <w:pPr>
        <w:spacing w:after="0" w:line="70" w:lineRule="exact"/>
        <w:rPr>
          <w:rFonts w:ascii="Arial" w:cs="Arial" w:eastAsia="Arial" w:hAnsi="Arial"/>
          <w:sz w:val="17"/>
          <w:szCs w:val="17"/>
          <w:color w:val="auto"/>
        </w:rPr>
      </w:pPr>
    </w:p>
    <w:p>
      <w:pPr>
        <w:jc w:val="both"/>
        <w:ind w:left="660" w:hanging="333"/>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$1,694 million, $1,509 million and $1,339 million for capital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2017 and 2016, respectively. The Company continues to maintain a disciplined focus on capital management and fluctuations in our capital expenditures are a result of new business opportunities, growth in our existing business, the timing of replacement of aging assets and investment in assets that support our strategy of continuous improvement through efficiency and innovation.</w:t>
      </w:r>
    </w:p>
    <w:p>
      <w:pPr>
        <w:spacing w:after="0" w:line="80"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Divestitures — </w:t>
      </w:r>
      <w:r>
        <w:rPr>
          <w:rFonts w:ascii="Arial" w:cs="Arial" w:eastAsia="Arial" w:hAnsi="Arial"/>
          <w:sz w:val="18"/>
          <w:szCs w:val="18"/>
          <w:color w:val="auto"/>
        </w:rPr>
        <w:t>Proceeds from divestitures of businesses and other assets (net of cash divested) were</w:t>
      </w:r>
      <w:r>
        <w:rPr>
          <w:rFonts w:ascii="Arial" w:cs="Arial" w:eastAsia="Arial" w:hAnsi="Arial"/>
          <w:sz w:val="18"/>
          <w:szCs w:val="18"/>
          <w:i w:val="1"/>
          <w:iCs w:val="1"/>
          <w:color w:val="auto"/>
        </w:rPr>
        <w:t xml:space="preserve"> </w:t>
      </w:r>
      <w:r>
        <w:rPr>
          <w:rFonts w:ascii="Arial" w:cs="Arial" w:eastAsia="Arial" w:hAnsi="Arial"/>
          <w:sz w:val="18"/>
          <w:szCs w:val="18"/>
          <w:color w:val="auto"/>
        </w:rPr>
        <w:t>$208 million, $99 million and $43 million in 2018, 2017 and 2016, respectively. In 2018, 2017 and 2016, $153 million, $62 million and $2 million of these divestitures, respectively, were made as part of our continuous focus on improving or divesting certain non-strategic or underperforming operations, with the remaining amounts generally related to the sale of fixed assets.</w:t>
      </w:r>
    </w:p>
    <w:p>
      <w:pPr>
        <w:spacing w:after="0" w:line="80" w:lineRule="exact"/>
        <w:rPr>
          <w:rFonts w:ascii="Arial" w:cs="Arial" w:eastAsia="Arial" w:hAnsi="Arial"/>
          <w:sz w:val="18"/>
          <w:szCs w:val="18"/>
          <w:color w:val="auto"/>
        </w:rPr>
      </w:pPr>
    </w:p>
    <w:p>
      <w:pPr>
        <w:jc w:val="both"/>
        <w:ind w:left="660" w:hanging="333"/>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Other, Net — </w:t>
      </w:r>
      <w:r>
        <w:rPr>
          <w:rFonts w:ascii="Arial" w:cs="Arial" w:eastAsia="Arial" w:hAnsi="Arial"/>
          <w:sz w:val="17"/>
          <w:szCs w:val="17"/>
          <w:color w:val="auto"/>
        </w:rPr>
        <w:t>Our spending within other, net was $223 million, $12 million, and $25 million in 2018, 2017 and</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The increase in 2018 is primarily due to changes in our investments portfolio associated with our wholly-owned insurance captive from restricted cash and cash equivalents to available-for-sale securities. See Note 16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periods presented are summarized below:</w:t>
      </w:r>
    </w:p>
    <w:p>
      <w:pPr>
        <w:spacing w:after="0" w:line="62" w:lineRule="exact"/>
        <w:rPr>
          <w:sz w:val="20"/>
          <w:szCs w:val="20"/>
          <w:color w:val="auto"/>
        </w:rPr>
      </w:pPr>
    </w:p>
    <w:p>
      <w:pPr>
        <w:ind w:left="580" w:hanging="321"/>
        <w:spacing w:after="0" w:line="308"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Debt Borrowings (Repayments) — </w:t>
      </w:r>
      <w:r>
        <w:rPr>
          <w:rFonts w:ascii="Arial" w:cs="Arial" w:eastAsia="Arial" w:hAnsi="Arial"/>
          <w:sz w:val="17"/>
          <w:szCs w:val="17"/>
          <w:color w:val="auto"/>
        </w:rPr>
        <w:t>The following summarizes our cash borrowings and repayments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our commercial paper program discussed below) for the years ended December 31 (in millions):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8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2017(a)</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5"/>
              </w:rPr>
              <w:t>2016(a)</w:t>
            </w: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 (b)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4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debt</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10"/>
        </w:trPr>
        <w:tc>
          <w:tcPr>
            <w:tcW w:w="1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10"/>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 (b)</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432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0"/>
        </w:trPr>
        <w:tc>
          <w:tcPr>
            <w:tcW w:w="18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r>
      <w:tr>
        <w:trPr>
          <w:trHeight w:val="217"/>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Net cash borrowings (repayments)</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135"/>
        </w:trPr>
        <w:tc>
          <w:tcPr>
            <w:tcW w:w="182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bl>
    <w:p>
      <w:pPr>
        <w:spacing w:after="0" w:line="94" w:lineRule="exact"/>
        <w:rPr>
          <w:sz w:val="20"/>
          <w:szCs w:val="20"/>
          <w:color w:val="auto"/>
        </w:rPr>
      </w:pPr>
    </w:p>
    <w:p>
      <w:pPr>
        <w:jc w:val="both"/>
        <w:ind w:left="1220" w:right="900" w:hanging="305"/>
        <w:spacing w:after="0" w:line="264" w:lineRule="auto"/>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year information was revised to reflect the adoption of ASU 2016-18 and conform to our current year presentation. See Note 2 to the Consolidated Financial Statements for further discussion.</w:t>
      </w:r>
    </w:p>
    <w:p>
      <w:pPr>
        <w:spacing w:after="0" w:line="73" w:lineRule="exact"/>
        <w:rPr>
          <w:rFonts w:ascii="Arial" w:cs="Arial" w:eastAsia="Arial" w:hAnsi="Arial"/>
          <w:sz w:val="18"/>
          <w:szCs w:val="18"/>
          <w:color w:val="auto"/>
        </w:rPr>
      </w:pPr>
    </w:p>
    <w:p>
      <w:pPr>
        <w:ind w:left="1220" w:hanging="305"/>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revolving credit facility was amended and restated in June 2018.</w:t>
      </w:r>
    </w:p>
    <w:p>
      <w:pPr>
        <w:spacing w:after="0" w:line="11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During 2018, we had $250 million of non-cash financing activities from our recent federal low-income housing investment discussed in Note 8 to the Consolidated Financial Statements and new capital leases. During 2017 and 2016, we did not have any significant non-cash investing and financing activities. Non-cash investing and financing activities are generally excluded from the Consolidated Statements of Cash Flows.</w:t>
      </w:r>
    </w:p>
    <w:p>
      <w:pPr>
        <w:spacing w:after="0" w:line="6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Refer to Note 7 to the Consolidated Financial Statements for additional information related to our debt borrowings and repayments.</w:t>
      </w:r>
    </w:p>
    <w:p>
      <w:pPr>
        <w:spacing w:after="0" w:line="62" w:lineRule="exact"/>
        <w:rPr>
          <w:sz w:val="20"/>
          <w:szCs w:val="20"/>
          <w:color w:val="auto"/>
        </w:rPr>
      </w:pPr>
    </w:p>
    <w:p>
      <w:pPr>
        <w:jc w:val="both"/>
        <w:ind w:left="660" w:hanging="333"/>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During 2018 and 2017, we had net cash borrowings of $453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$513 million (net of the related discounts on issuance), respectively, under our commercial paper program. Borrowings were primarily to support new business opportunities and for general corporate purposes.</w:t>
      </w:r>
    </w:p>
    <w:p>
      <w:pPr>
        <w:spacing w:after="0" w:line="57" w:lineRule="exact"/>
        <w:rPr>
          <w:rFonts w:ascii="Arial" w:cs="Arial" w:eastAsia="Arial" w:hAnsi="Arial"/>
          <w:sz w:val="17"/>
          <w:szCs w:val="17"/>
          <w:color w:val="auto"/>
        </w:rPr>
      </w:pPr>
    </w:p>
    <w:p>
      <w:pPr>
        <w:jc w:val="both"/>
        <w:ind w:left="660" w:hanging="333"/>
        <w:spacing w:after="0" w:line="279"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Repurchase Program — </w:t>
      </w:r>
      <w:r>
        <w:rPr>
          <w:rFonts w:ascii="Arial" w:cs="Arial" w:eastAsia="Arial" w:hAnsi="Arial"/>
          <w:sz w:val="17"/>
          <w:szCs w:val="17"/>
          <w:color w:val="auto"/>
        </w:rPr>
        <w:t>For the periods presented, all share repurchases have been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financial plans approved by our Board of Directors. We repurchased $1,008 million, $750 million and $725 million of our common stock during 2018 (including $4 million paid in January 2019), 2017 and 2016, respectively. See Note 13 to the Consolidated Financial Statements for additional information.</w:t>
      </w:r>
    </w:p>
    <w:p>
      <w:pPr>
        <w:spacing w:after="0" w:line="63"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We announced in December 2018 that our Board of Directors has authorized up to $1.5 billion in future share repurchases. Any future share repurchases will be made at the discretion of management and will depend on factors similar to those considered by the Board of Directors in making dividend declarations.</w:t>
      </w:r>
    </w:p>
    <w:p>
      <w:pPr>
        <w:spacing w:after="0" w:line="73" w:lineRule="exact"/>
        <w:rPr>
          <w:rFonts w:ascii="Arial" w:cs="Arial" w:eastAsia="Arial" w:hAnsi="Arial"/>
          <w:sz w:val="17"/>
          <w:szCs w:val="17"/>
          <w:color w:val="auto"/>
        </w:rPr>
      </w:pPr>
    </w:p>
    <w:p>
      <w:pPr>
        <w:ind w:left="660" w:hanging="333"/>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We paid aggregate cash dividends of $802 million, $750 million and $726 million during 2018, 2017 and 2016, respectively. The increase in dividend payments is due to our quarterly per share dividend increasing from $0.41 in 2016 to $0.425 in 2017 and to $0.465 in 2018 and has been offset, in part, by a reduction in our common stock outstanding as a result of our common stock repurchase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December 2018, we announced that our Board of Directors expects to increase the quarterly dividend from $0.465 to $0.5125 per share for dividends declared in 2019.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80" w:lineRule="exact"/>
        <w:rPr>
          <w:sz w:val="20"/>
          <w:szCs w:val="20"/>
          <w:color w:val="auto"/>
        </w:rPr>
      </w:pPr>
    </w:p>
    <w:p>
      <w:pPr>
        <w:jc w:val="both"/>
        <w:ind w:left="660" w:hanging="333"/>
        <w:spacing w:after="0" w:line="31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the Exercise of Common Stock Options — </w:t>
      </w:r>
      <w:r>
        <w:rPr>
          <w:rFonts w:ascii="Arial" w:cs="Arial" w:eastAsia="Arial" w:hAnsi="Arial"/>
          <w:sz w:val="16"/>
          <w:szCs w:val="16"/>
          <w:color w:val="auto"/>
        </w:rPr>
        <w:t>The exercise of common stock options generated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inflows of $52 million, $95 million and $63 million during 2018, 2017 and 2016, respectively. The year-over-year changes are generally due to the number of stock options exercised and the exercise price of those options.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for the years ended December 31 (in millions), and may not be calculated the same as similarly-titled measures presented by other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(1,694)</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7"/>
        </w:trPr>
        <w:tc>
          <w:tcPr>
            <w:tcW w:w="6300" w:type="dxa"/>
            <w:vAlign w:val="bottom"/>
            <w:gridSpan w:val="2"/>
          </w:tcPr>
          <w:p>
            <w:pPr>
              <w:ind w:left="120"/>
              <w:spacing w:after="0"/>
              <w:rPr>
                <w:sz w:val="20"/>
                <w:szCs w:val="20"/>
                <w:color w:val="auto"/>
              </w:rPr>
            </w:pPr>
            <w:r>
              <w:rPr>
                <w:rFonts w:ascii="Arial" w:cs="Arial" w:eastAsia="Arial" w:hAnsi="Arial"/>
                <w:sz w:val="18"/>
                <w:szCs w:val="18"/>
                <w:color w:val="auto"/>
              </w:rPr>
              <w:t>Free cash flow (a)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r>
      <w:tr>
        <w:trPr>
          <w:trHeight w:val="108"/>
        </w:trPr>
        <w:tc>
          <w:tcPr>
            <w:tcW w:w="228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year information was revised to reflect the adoption of ASU 2016</w:t>
      </w:r>
      <w:r>
        <w:rPr>
          <w:rFonts w:ascii="MS PGothic" w:cs="MS PGothic" w:eastAsia="MS PGothic" w:hAnsi="MS PGothic"/>
          <w:sz w:val="18"/>
          <w:szCs w:val="18"/>
          <w:color w:val="auto"/>
        </w:rPr>
        <w:t>‑</w:t>
      </w:r>
      <w:r>
        <w:rPr>
          <w:rFonts w:ascii="Arial" w:cs="Arial" w:eastAsia="Arial" w:hAnsi="Arial"/>
          <w:sz w:val="18"/>
          <w:szCs w:val="18"/>
          <w:color w:val="auto"/>
        </w:rPr>
        <w:t>18 and conform to our current year presentation.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anticipated effect of these obligations on our liquidity in future years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Recorded Obligations:</w:t>
            </w:r>
          </w:p>
        </w:tc>
        <w:tc>
          <w:tcPr>
            <w:tcW w:w="14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environmental liabilities: (a)</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7"/>
                <w:szCs w:val="17"/>
                <w:color w:val="auto"/>
              </w:rPr>
              <w:t>Final capping, closure and post-closure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Environmental remediation</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payments (b) (c) (d)</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10,148</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Unrecorded Obligations: (e)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debt (f)</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7"/>
                <w:szCs w:val="17"/>
                <w:color w:val="auto"/>
              </w:rPr>
              <w:t>Non-cancelable operating lease obligations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unconditional purchase obligations (g)</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7"/>
        </w:trPr>
        <w:tc>
          <w:tcPr>
            <w:tcW w:w="4100" w:type="dxa"/>
            <w:vAlign w:val="bottom"/>
            <w:gridSpan w:val="2"/>
          </w:tcPr>
          <w:p>
            <w:pPr>
              <w:ind w:left="120"/>
              <w:spacing w:after="0"/>
              <w:rPr>
                <w:sz w:val="20"/>
                <w:szCs w:val="20"/>
                <w:color w:val="auto"/>
              </w:rPr>
            </w:pPr>
            <w:r>
              <w:rPr>
                <w:rFonts w:ascii="Arial" w:cs="Arial" w:eastAsia="Arial" w:hAnsi="Arial"/>
                <w:sz w:val="17"/>
                <w:szCs w:val="17"/>
                <w:color w:val="auto"/>
              </w:rPr>
              <w:t>Anticipated liquidity impact as of December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1,478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1,236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11,783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18,568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9"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recorded in our Consolidated Balance Sheet as of December 31, 2018, without the impact of discounting and inflation. Our recorded environmental liabilities for final capping, closure and post-closure will increase as we continue to place additional tons within the permitted airspace at our landfills.</w:t>
      </w:r>
    </w:p>
    <w:p>
      <w:pPr>
        <w:spacing w:after="0" w:line="78" w:lineRule="exact"/>
        <w:rPr>
          <w:rFonts w:ascii="Arial" w:cs="Arial" w:eastAsia="Arial" w:hAnsi="Arial"/>
          <w:sz w:val="18"/>
          <w:szCs w:val="18"/>
          <w:color w:val="auto"/>
        </w:rPr>
      </w:pPr>
    </w:p>
    <w:p>
      <w:pPr>
        <w:ind w:left="320" w:hanging="317"/>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related to our long-term debt, excluding interest.</w:t>
      </w:r>
    </w:p>
    <w:p>
      <w:pPr>
        <w:spacing w:after="0" w:line="117" w:lineRule="exact"/>
        <w:rPr>
          <w:rFonts w:ascii="Arial" w:cs="Arial" w:eastAsia="Arial" w:hAnsi="Arial"/>
          <w:sz w:val="18"/>
          <w:szCs w:val="18"/>
          <w:color w:val="auto"/>
        </w:rPr>
      </w:pPr>
    </w:p>
    <w:p>
      <w:pPr>
        <w:jc w:val="both"/>
        <w:ind w:left="320" w:hanging="317"/>
        <w:spacing w:after="0" w:line="255"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debt obligations as of December 31, 2018 include $705 million of tax-exempt bonds with term interest rate periods that expire within the next 12 months. If the remarketings of our bonds are unsuccessful, then the bonds can be put to us, requiring immediate repayment. We have classified the anticipated cash flows for these contractual obligations based on the scheduled maturity of the borrowings for purposes of this disclosure. For additional information regarding the classification of these borrowings in our Consolidated Balance Sheet as of December 31, 2018, refer to Note 7 to the Consolidated Financial Statements.</w:t>
      </w:r>
    </w:p>
    <w:p>
      <w:pPr>
        <w:spacing w:after="0" w:line="85"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recorded debt obligations include non-cash adjustments associated with debt issuance costs, discounts, premiums and fair value adjustments attributable to terminated interest rate derivatives. These amounts have been excluded as they will not impact our liquidity in future periods.</w:t>
      </w:r>
    </w:p>
    <w:p>
      <w:pPr>
        <w:spacing w:after="0" w:line="73"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and interest payable on our debt. We have also made certain guarantees, as discussed in Note 10 to the Consolidated Financial Statements, that we do not expect to materially affect our current or future financial position, results of operations or liquidity.</w:t>
      </w:r>
    </w:p>
    <w:p>
      <w:pPr>
        <w:spacing w:after="0" w:line="78" w:lineRule="exact"/>
        <w:rPr>
          <w:rFonts w:ascii="Arial" w:cs="Arial" w:eastAsia="Arial" w:hAnsi="Arial"/>
          <w:sz w:val="18"/>
          <w:szCs w:val="18"/>
          <w:color w:val="auto"/>
        </w:rPr>
      </w:pPr>
    </w:p>
    <w:p>
      <w:pPr>
        <w:jc w:val="both"/>
        <w:ind w:left="320" w:hanging="317"/>
        <w:spacing w:after="0" w:line="255"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as of December 31, 2018. For debt balances outstanding under our commercial paper program, we have reflected limited interest amounts due to the short-term nature of the borrowings. For debt balances outstanding under our $2.75 billion revolving credit facility, we have reflected interest based on the current outstanding principal assuming the amount remains unchanged through maturity. As of December 31, 2018, we had $82 million of accrued interest related to our debt obligations.</w:t>
      </w:r>
    </w:p>
    <w:p>
      <w:pPr>
        <w:spacing w:after="0" w:line="85" w:lineRule="exact"/>
        <w:rPr>
          <w:rFonts w:ascii="Arial" w:cs="Arial" w:eastAsia="Arial" w:hAnsi="Arial"/>
          <w:sz w:val="18"/>
          <w:szCs w:val="18"/>
          <w:color w:val="auto"/>
        </w:rPr>
      </w:pPr>
    </w:p>
    <w:p>
      <w:pPr>
        <w:jc w:val="both"/>
        <w:ind w:left="320" w:hanging="317"/>
        <w:spacing w:after="0" w:line="273"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subject to change and actual cash flow obligations in the near future may be different. See Note 10 to the Consolidated Financial Statements for discussion of the nature and terms of our unconditional purchase obligations.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Each of these items is discussed in additional detail below and in Note 3 to the Consolidated Financial Statements. Actual results could differ materially from the estimates and assumptions that we use in the preparation of our financial statements.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Landfills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5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Landfill Costs — </w:t>
      </w:r>
      <w:r>
        <w:rPr>
          <w:rFonts w:ascii="Arial" w:cs="Arial" w:eastAsia="Arial" w:hAnsi="Arial"/>
          <w:sz w:val="16"/>
          <w:szCs w:val="16"/>
          <w:color w:val="auto"/>
        </w:rPr>
        <w:t>We estimate the total cost to develop each of our landfill sites to its remaining permitted and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Final Capping Costs — </w:t>
      </w:r>
      <w:r>
        <w:rPr>
          <w:rFonts w:ascii="Arial" w:cs="Arial" w:eastAsia="Arial" w:hAnsi="Arial"/>
          <w:sz w:val="16"/>
          <w:szCs w:val="16"/>
          <w:color w:val="auto"/>
        </w:rPr>
        <w:t>We estimate the cost for each final capping event based on the area to be capped and the capping</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and activities required. The estimates also consider when these costs are anticipated to be paid and factor in inflation and discount rates. Our engineering personnel allocate landfill final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Closure and Post-Closure Costs — </w:t>
      </w:r>
      <w:r>
        <w:rPr>
          <w:rFonts w:ascii="Arial" w:cs="Arial" w:eastAsia="Arial" w:hAnsi="Arial"/>
          <w:sz w:val="17"/>
          <w:szCs w:val="17"/>
          <w:color w:val="auto"/>
        </w:rPr>
        <w:t>We base our estimates for closure and post-closure costs on our interpretations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8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Remaining Permitted Airspace — </w:t>
      </w:r>
      <w:r>
        <w:rPr>
          <w:rFonts w:ascii="Arial" w:cs="Arial" w:eastAsia="Arial" w:hAnsi="Arial"/>
          <w:sz w:val="16"/>
          <w:szCs w:val="16"/>
          <w:color w:val="auto"/>
        </w:rPr>
        <w:t>Our engineers, in consultation with third-party engineering consultants and surveyors,</w:t>
      </w:r>
      <w:r>
        <w:rPr>
          <w:rFonts w:ascii="Arial" w:cs="Arial" w:eastAsia="Arial" w:hAnsi="Arial"/>
          <w:sz w:val="16"/>
          <w:szCs w:val="16"/>
          <w:i w:val="1"/>
          <w:iCs w:val="1"/>
          <w:color w:val="auto"/>
        </w:rPr>
        <w:t xml:space="preserve"> </w:t>
      </w:r>
      <w:r>
        <w:rPr>
          <w:rFonts w:ascii="Arial" w:cs="Arial" w:eastAsia="Arial" w:hAnsi="Arial"/>
          <w:sz w:val="16"/>
          <w:szCs w:val="16"/>
          <w:color w:val="auto"/>
        </w:rPr>
        <w:t>are responsible for determining remaining permitted airspace at our landfills. The remaining permitted airspace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determined by an annual survey, which is used to compare the existing landfill topography to the expected final landfill topography.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188" w:lineRule="exact"/>
        <w:rPr>
          <w:sz w:val="20"/>
          <w:szCs w:val="20"/>
          <w:color w:val="auto"/>
        </w:rPr>
      </w:pPr>
    </w:p>
    <w:p>
      <w:pPr>
        <w:ind w:left="660" w:hanging="333"/>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65" w:lineRule="exact"/>
        <w:rPr>
          <w:sz w:val="20"/>
          <w:szCs w:val="20"/>
          <w:color w:val="auto"/>
        </w:rPr>
      </w:pPr>
    </w:p>
    <w:p>
      <w:pPr>
        <w:ind w:left="660" w:hanging="33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 </w:t>
      </w:r>
      <w:r>
        <w:rPr>
          <w:rFonts w:ascii="Arial" w:cs="Arial" w:eastAsia="Arial" w:hAnsi="Arial"/>
          <w:sz w:val="16"/>
          <w:szCs w:val="16"/>
          <w:color w:val="auto"/>
        </w:rPr>
        <w:t>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assessment of impairment indicators and the recoverability of our capitalized costs associated with landfills and related expansion projects require significant judgment due to the unique nature of the waste industry, the highly regulated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Indefinite-Lived Intangible Assets, Including Goodwill — </w:t>
      </w:r>
      <w:r>
        <w:rPr>
          <w:rFonts w:ascii="Arial" w:cs="Arial" w:eastAsia="Arial" w:hAnsi="Arial"/>
          <w:sz w:val="16"/>
          <w:szCs w:val="16"/>
          <w:color w:val="auto"/>
        </w:rPr>
        <w:t>At least annually, and more frequently if warranted, we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indefinite-lived intangible assets including the goodwill of our reporting units for impairment using Level 3 inputs.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Beginning in 2018, we first performed a qualitative assessment to determine if it was more likely than not that the fair value of a reporting unit was less than its carrying value. If the assessment indicated a possible impairment, we completed a quantitative review, comparing the estimated fair value of a reporting unit to its carrying amount, including goodwill. An impairment charge was recognized if the asset’s estimated fair value was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(Gain)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Divestitures, Asset Impairments and Unusual Items, Net </w:t>
      </w:r>
      <w:r>
        <w:rPr>
          <w:rFonts w:ascii="Arial" w:cs="Arial" w:eastAsia="Arial" w:hAnsi="Arial"/>
          <w:sz w:val="18"/>
          <w:szCs w:val="18"/>
          <w:color w:val="auto"/>
        </w:rPr>
        <w:t>and Note 6 to the Consolidated Financial Statements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related to goodwill impairments recognized during the reported periods.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are based on an actuarial valuations and internal estimates. The accruals for these liabilities could be revised if future occurrences or loss developments significantly differ from our assumptions used. Estimated recoveries associated with our insured claims are recorded as assets when we believe that the receipt of such amounts is probable.</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December 2017, we elected to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will pay an annual premium to the insurance captive, typically in the first quarter of the year, for the estimated losses based on the external actuarial analysis. These premiums are held in a restricted escrow account to be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used solely for paying insurance claims, resulting in a transfer of risk from WM to the insurance captive and are allocated between current and long-term assets in our Consolidated Balance Sheets depending on timing on the use of funds.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financial interests in unconsolidated variable interest entities as discussed in Note 18 to the Consolidated Financial Statements. Additionally, we are party to guarantee arrangements with unconsolidated entities as discussed in the </w:t>
      </w:r>
      <w:r>
        <w:rPr>
          <w:rFonts w:ascii="Arial" w:cs="Arial" w:eastAsia="Arial" w:hAnsi="Arial"/>
          <w:sz w:val="17"/>
          <w:szCs w:val="17"/>
          <w:i w:val="1"/>
          <w:iCs w:val="1"/>
          <w:color w:val="auto"/>
        </w:rPr>
        <w:t xml:space="preserve">Guarantees </w:t>
      </w:r>
      <w:r>
        <w:rPr>
          <w:rFonts w:ascii="Arial" w:cs="Arial" w:eastAsia="Arial" w:hAnsi="Arial"/>
          <w:sz w:val="17"/>
          <w:szCs w:val="17"/>
          <w:color w:val="auto"/>
        </w:rPr>
        <w:t>section of Note 10 to the Consolidated Financial Statements. These arrangements have not materially affected</w:t>
      </w:r>
      <w:r>
        <w:rPr>
          <w:rFonts w:ascii="Arial" w:cs="Arial" w:eastAsia="Arial" w:hAnsi="Arial"/>
          <w:sz w:val="17"/>
          <w:szCs w:val="17"/>
          <w:i w:val="1"/>
          <w:iCs w:val="1"/>
          <w:color w:val="auto"/>
        </w:rPr>
        <w:t xml:space="preserve"> </w:t>
      </w:r>
      <w:r>
        <w:rPr>
          <w:rFonts w:ascii="Arial" w:cs="Arial" w:eastAsia="Arial" w:hAnsi="Arial"/>
          <w:sz w:val="17"/>
          <w:szCs w:val="17"/>
          <w:color w:val="auto"/>
        </w:rPr>
        <w:t>our financial position, results of operations or liquidity during the year ended December 31, 2018, nor are they expected to have a material impact on our future financial position,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 accounting. There have been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including practical expedients, with the issuance of ASU 2018-01 in January 2018, ASU 2018-11 in July 2018 and ASU 2018-20 in December 2018.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We elected the optional transition method which allows entities to continue to apply historical accounting guidance in the comparative periods presented in the year of adoption.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transition, lessees and lessors may elect to apply a package of practical expedients permitting entities not to reassess:</w:t>
      </w:r>
    </w:p>
    <w:p>
      <w:pPr>
        <w:spacing w:after="0" w:line="46" w:lineRule="exact"/>
        <w:rPr>
          <w:sz w:val="20"/>
          <w:szCs w:val="20"/>
          <w:color w:val="auto"/>
        </w:rPr>
      </w:pPr>
    </w:p>
    <w:p>
      <w:pPr>
        <w:jc w:val="both"/>
        <w:ind w:firstLine="3"/>
        <w:spacing w:after="0" w:line="254" w:lineRule="auto"/>
        <w:tabs>
          <w:tab w:leader="none" w:pos="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lease classification for any expired or existing leases and (iii) whether initial direct costs for any expired or existing leases qualify for capitalization under the amended guidance. These practical expedients must be elected as a package and consistently applied. We have elected to apply the package of practical expedients upon adoption.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identified our leases or other contracts impacted by the new standard and are currently in the process of</w:t>
      </w:r>
    </w:p>
    <w:p>
      <w:pPr>
        <w:spacing w:after="0" w:line="35" w:lineRule="exact"/>
        <w:rPr>
          <w:sz w:val="20"/>
          <w:szCs w:val="20"/>
          <w:color w:val="auto"/>
        </w:rPr>
      </w:pPr>
    </w:p>
    <w:p>
      <w:pPr>
        <w:ind w:left="260" w:hanging="257"/>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finalizing our implementation of a software solution to manage and account for leases under the new standard and</w:t>
      </w:r>
    </w:p>
    <w:p>
      <w:pPr>
        <w:spacing w:after="0" w:line="20" w:lineRule="exact"/>
        <w:rPr>
          <w:rFonts w:ascii="Arial" w:cs="Arial" w:eastAsia="Arial" w:hAnsi="Arial"/>
          <w:sz w:val="17"/>
          <w:szCs w:val="17"/>
          <w:color w:val="auto"/>
        </w:rPr>
      </w:pPr>
    </w:p>
    <w:p>
      <w:pPr>
        <w:ind w:firstLine="3"/>
        <w:spacing w:after="0" w:line="261" w:lineRule="auto"/>
        <w:tabs>
          <w:tab w:leader="none" w:pos="2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updating our business processes and related policies, systems and controls to support recognition and disclosure under the new standard.</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adoption of the amended guidance, we expect to recognize right-of-use assets and related liabilities of approximately $300 million to $350 million for our contracts which contain an operating lease. We currently do not expect the amended guidance to have any other material impacts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inflationary increases in costs can affect our income from operations margins, we believe that inflation generally has not had, and in the near future is not expected to have, any material adverse effect on our results of operations. However, as of December 31, 2018, approximately 35%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2018.</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Interest Rate Exposure — </w:t>
      </w:r>
      <w:r>
        <w:rPr>
          <w:rFonts w:ascii="Arial" w:cs="Arial" w:eastAsia="Arial" w:hAnsi="Arial"/>
          <w:sz w:val="17"/>
          <w:szCs w:val="17"/>
          <w:color w:val="auto"/>
        </w:rPr>
        <w:t>Our exposure to market risk for changes in interest rates relates primarily to our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As of December 31, 2018, we had $10.1 billion of long-term debt, excluding the impacts of accounting for debt issuance costs, discounts, premiums and fair value adjustments attributable to terminated interest rate derivatives. We have $2.2 billion of debt that is exposed to changes in market interest rates within the next 12 months comprised of</w:t>
      </w:r>
    </w:p>
    <w:p>
      <w:pPr>
        <w:spacing w:after="0" w:line="2" w:lineRule="exact"/>
        <w:rPr>
          <w:sz w:val="20"/>
          <w:szCs w:val="20"/>
          <w:color w:val="auto"/>
        </w:rPr>
      </w:pPr>
    </w:p>
    <w:p>
      <w:pPr>
        <w:jc w:val="both"/>
        <w:ind w:firstLine="3"/>
        <w:spacing w:after="0" w:line="216" w:lineRule="exact"/>
        <w:tabs>
          <w:tab w:leader="none" w:pos="2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$990 million of short-term borrowings under our commercial paper program; (ii) $705 million of tax-exempt bonds with term interest rate periods that expire within the next 12 months; (iii) $513 million of variable-rate tax-exempt bonds that are subject to repricing on either a daily or weekly basis and (iv) C$15 million, or $11 million, of Canadian borrowings under our $2.75 billion revolving credit facility. We currently estimate that a 100</w:t>
      </w:r>
      <w:r>
        <w:rPr>
          <w:rFonts w:ascii="MS PGothic" w:cs="MS PGothic" w:eastAsia="MS PGothic" w:hAnsi="MS PGothic"/>
          <w:sz w:val="17"/>
          <w:szCs w:val="17"/>
          <w:color w:val="auto"/>
        </w:rPr>
        <w:t>‑</w:t>
      </w:r>
      <w:r>
        <w:rPr>
          <w:rFonts w:ascii="Arial" w:cs="Arial" w:eastAsia="Arial" w:hAnsi="Arial"/>
          <w:sz w:val="17"/>
          <w:szCs w:val="17"/>
          <w:color w:val="auto"/>
        </w:rPr>
        <w:t>basis point increase in the interest rates of our outstanding variable-rate debt obligations would increase our 2019 interest expense by $19 million.</w:t>
      </w:r>
    </w:p>
    <w:p>
      <w:pPr>
        <w:spacing w:after="0" w:line="20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w:t>
      </w:r>
      <w:r>
        <w:rPr>
          <w:rFonts w:ascii="MS PGothic" w:cs="MS PGothic" w:eastAsia="MS PGothic" w:hAnsi="MS PGothic"/>
          <w:sz w:val="18"/>
          <w:szCs w:val="18"/>
          <w:color w:val="auto"/>
        </w:rPr>
        <w:t>‑</w:t>
      </w:r>
      <w:r>
        <w:rPr>
          <w:rFonts w:ascii="Arial" w:cs="Arial" w:eastAsia="Arial" w:hAnsi="Arial"/>
          <w:sz w:val="18"/>
          <w:szCs w:val="18"/>
          <w:color w:val="auto"/>
        </w:rPr>
        <w:t>basis point increase in interest rates across all maturities attributable to these instruments would have decreased the fair value of our debt by approximately $575 million as of December 31, 2018.</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exposed to interest rate market risk from our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and escrow account balances in available-for-sale securities, including U.S. Treasury securities, U.S. agency securities, municipal securities, mortgage- and asset-backed securities and equity securities.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Commodity Price Exposure — </w:t>
      </w:r>
      <w:r>
        <w:rPr>
          <w:rFonts w:ascii="Arial" w:cs="Arial" w:eastAsia="Arial" w:hAnsi="Arial"/>
          <w:sz w:val="16"/>
          <w:szCs w:val="16"/>
          <w:color w:val="auto"/>
        </w:rPr>
        <w:t>In the normal course of our business, we are subject to operating agreements that expose</w:t>
      </w:r>
      <w:r>
        <w:rPr>
          <w:rFonts w:ascii="Arial" w:cs="Arial" w:eastAsia="Arial" w:hAnsi="Arial"/>
          <w:sz w:val="16"/>
          <w:szCs w:val="16"/>
          <w:i w:val="1"/>
          <w:iCs w:val="1"/>
          <w:color w:val="auto"/>
        </w:rPr>
        <w:t xml:space="preserve"> </w:t>
      </w:r>
      <w:r>
        <w:rPr>
          <w:rFonts w:ascii="Arial" w:cs="Arial" w:eastAsia="Arial" w:hAnsi="Arial"/>
          <w:sz w:val="16"/>
          <w:szCs w:val="16"/>
          <w:color w:val="auto"/>
        </w:rPr>
        <w:t>us to market risks arising from changes in the prices for commodities such as diesel fuel; recyclable materials, including old corrugated cardboard, old newsprint and plastics; and electricity, which generally correlates with natural gas prices in many of the markets in which we operate. We attempt to manage these risks through operational strategies that focus on capturing our costs in the prices we charge our customers for the services provided. Accordingly, as the market prices for these commodities increase or decrease, our revenues may also increase or decrease.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 </w:t>
      </w:r>
      <w:r>
        <w:rPr>
          <w:rFonts w:ascii="Arial" w:cs="Arial" w:eastAsia="Arial" w:hAnsi="Arial"/>
          <w:sz w:val="18"/>
          <w:szCs w:val="18"/>
          <w:color w:val="auto"/>
        </w:rPr>
        <w:t>We have operations in Canada as well as certain support functions in India. Where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vMerge w:val="restart"/>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Reports of Independent Registered Public Accounting Firm</w:t>
              </w:r>
            </w:hyperlink>
          </w:p>
        </w:tc>
        <w:tc>
          <w:tcPr>
            <w:tcW w:w="4420" w:type="dxa"/>
            <w:vAlign w:val="bottom"/>
            <w:gridSpan w:val="6"/>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2"/>
            <w:vMerge w:val="continue"/>
          </w:tcPr>
          <w:p>
            <w:pPr>
              <w:spacing w:after="0"/>
              <w:rPr>
                <w:sz w:val="14"/>
                <w:szCs w:val="14"/>
                <w:color w:val="auto"/>
              </w:rPr>
            </w:pPr>
          </w:p>
        </w:tc>
        <w:tc>
          <w:tcPr>
            <w:tcW w:w="4420" w:type="dxa"/>
            <w:vAlign w:val="bottom"/>
            <w:gridSpan w:val="6"/>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Balance Sheets as of December 31, 2018 and 2017</w:t>
              </w:r>
            </w:hyperlink>
          </w:p>
        </w:tc>
        <w:tc>
          <w:tcPr>
            <w:tcW w:w="40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 for the Years Ended December 31, 2018, 2017 and 2016</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Consolidated Statements of Comprehensive Income for the Years Ended December 31, 2018, 2017 and 2016</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Cash Flows for the Years Ended December 31, 2018, 2017 and 2016</w:t>
              </w:r>
            </w:hyperlink>
          </w:p>
        </w:tc>
        <w:tc>
          <w:tcPr>
            <w:tcW w:w="860" w:type="dxa"/>
            <w:vAlign w:val="bottom"/>
            <w:tcBorders>
              <w:top w:val="single" w:sz="8" w:color="0000EE"/>
            </w:tcBorders>
            <w:gridSpan w:val="2"/>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Changes in Equity for the Years Ended December 31, 2018, 2017 and 2016</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4280" w:type="dxa"/>
            <w:vAlign w:val="bottom"/>
            <w:tcBorders>
              <w:top w:val="single" w:sz="8" w:color="0000EE"/>
            </w:tcBorders>
            <w:gridSpan w:val="5"/>
          </w:tcPr>
          <w:p>
            <w:pPr>
              <w:spacing w:after="0"/>
              <w:rPr>
                <w:sz w:val="17"/>
                <w:szCs w:val="17"/>
                <w:color w:val="auto"/>
              </w:rPr>
            </w:pPr>
          </w:p>
        </w:tc>
        <w:tc>
          <w:tcPr>
            <w:tcW w:w="12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98"/>
        </w:trPr>
        <w:tc>
          <w:tcPr>
            <w:tcW w:w="4660" w:type="dxa"/>
            <w:vAlign w:val="bottom"/>
            <w:gridSpan w:val="3"/>
          </w:tcPr>
          <w:p>
            <w:pPr>
              <w:ind w:left="4440"/>
              <w:spacing w:after="0"/>
              <w:rPr>
                <w:sz w:val="20"/>
                <w:szCs w:val="20"/>
                <w:color w:val="auto"/>
              </w:rPr>
            </w:pPr>
            <w:r>
              <w:rPr>
                <w:rFonts w:ascii="Arial" w:cs="Arial" w:eastAsia="Arial" w:hAnsi="Arial"/>
                <w:sz w:val="18"/>
                <w:szCs w:val="18"/>
                <w:color w:val="auto"/>
                <w:w w:val="99"/>
              </w:rPr>
              <w:t>57</w:t>
            </w: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440" w:firstLine="1449"/>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Waste Management, Inc.’s internal control over financial reporting as of December 31, 2018,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2018, based on the COSO criteria.</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2018 consolidated financial statements of the Company, and our report dated February 14, 2019 expressed an unqualified opinion thereon.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2018 and 2017, the related consolidated statements of operations, comprehensive income, cash flows, and changes in equity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14,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142"/>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674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w w:val="92"/>
              </w:rPr>
              <w:t>Accounts receivable, net of allowance for doubtful accounts of $29 and $21,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Parts and supplies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0"/>
        </w:trPr>
        <w:tc>
          <w:tcPr>
            <w:tcW w:w="67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2,694</w:t>
            </w:r>
          </w:p>
        </w:tc>
      </w:tr>
      <w:tr>
        <w:trPr>
          <w:trHeight w:val="202"/>
        </w:trPr>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and amortization of $18,264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$17,704, respectively</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r>
        <w:trPr>
          <w:trHeight w:val="203"/>
        </w:trPr>
        <w:tc>
          <w:tcPr>
            <w:tcW w:w="6740" w:type="dxa"/>
            <w:vAlign w:val="bottom"/>
          </w:tcPr>
          <w:p>
            <w:pPr>
              <w:ind w:left="228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0"/>
        </w:trPr>
        <w:tc>
          <w:tcPr>
            <w:tcW w:w="67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10"/>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2"/>
        </w:trPr>
        <w:tc>
          <w:tcPr>
            <w:tcW w:w="6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$0.01 par value; 1,500,000,000 shares authorized; 630,282,461 shares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issued</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4,933</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206,299,352 and 196,963,558 shares, respectively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10"/>
        </w:trPr>
        <w:tc>
          <w:tcPr>
            <w:tcW w:w="6740" w:type="dxa"/>
            <w:vAlign w:val="bottom"/>
          </w:tcPr>
          <w:p>
            <w:pPr>
              <w:ind w:left="460"/>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17"/>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(Gain) loss from divestitures, asset impairments and unusual items,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57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11,313</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57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0"/>
        </w:trPr>
        <w:tc>
          <w:tcPr>
            <w:tcW w:w="57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2.66</w:t>
            </w:r>
          </w:p>
        </w:tc>
      </w:tr>
      <w:tr>
        <w:trPr>
          <w:trHeight w:val="23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0"/>
        </w:trPr>
        <w:tc>
          <w:tcPr>
            <w:tcW w:w="5720" w:type="dxa"/>
            <w:vAlign w:val="bottom"/>
          </w:tcPr>
          <w:p>
            <w:pPr>
              <w:spacing w:after="0" w:line="203" w:lineRule="exact"/>
              <w:rPr>
                <w:sz w:val="20"/>
                <w:szCs w:val="20"/>
                <w:color w:val="auto"/>
              </w:rPr>
            </w:pPr>
            <w:r>
              <w:rPr>
                <w:rFonts w:ascii="Arial" w:cs="Arial" w:eastAsia="Arial" w:hAnsi="Arial"/>
                <w:sz w:val="18"/>
                <w:szCs w:val="18"/>
                <w:color w:val="auto"/>
              </w:rPr>
              <w:t>Cash dividends declared per common share</w:t>
            </w:r>
          </w:p>
        </w:tc>
        <w:tc>
          <w:tcPr>
            <w:tcW w:w="4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 net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6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r>
      <w:tr>
        <w:trPr>
          <w:trHeight w:val="19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1,923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1,949</w:t>
            </w:r>
          </w:p>
        </w:tc>
        <w:tc>
          <w:tcPr>
            <w:tcW w:w="180" w:type="dxa"/>
            <w:vAlign w:val="bottom"/>
          </w:tcPr>
          <w:p>
            <w:pPr>
              <w:spacing w:after="0"/>
              <w:rPr>
                <w:sz w:val="17"/>
                <w:szCs w:val="17"/>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w w:val="96"/>
              </w:rPr>
              <w:t>Adjustments to reconcile consolidated net income to net cash provided by operating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Interest accretion on landfill liabilities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bad debts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Equity-based compensation expense</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gain on disposal of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(Gain) loss from divestitures, asset impairments and other, net</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losses of unconsolidated entities, net of dividends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w w:val="99"/>
              </w:rPr>
              <w:t>Change in operating assets and liabilities, net of effects of acquisitions and divestitures: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Receivables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7"/>
                <w:szCs w:val="17"/>
                <w:color w:val="auto"/>
              </w:rPr>
            </w:pPr>
          </w:p>
        </w:tc>
      </w:tr>
      <w:tr>
        <w:trPr>
          <w:trHeight w:val="203"/>
        </w:trPr>
        <w:tc>
          <w:tcPr>
            <w:tcW w:w="6420" w:type="dxa"/>
            <w:vAlign w:val="bottom"/>
          </w:tcPr>
          <w:p>
            <w:pPr>
              <w:ind w:left="44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r>
      <w:tr>
        <w:trPr>
          <w:trHeight w:val="203"/>
        </w:trPr>
        <w:tc>
          <w:tcPr>
            <w:tcW w:w="6420" w:type="dxa"/>
            <w:vAlign w:val="bottom"/>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192</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revenues and other liabilities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3,570</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3,003</w:t>
            </w:r>
          </w:p>
        </w:tc>
        <w:tc>
          <w:tcPr>
            <w:tcW w:w="20" w:type="dxa"/>
            <w:vAlign w:val="bottom"/>
          </w:tcPr>
          <w:p>
            <w:pPr>
              <w:spacing w:after="0"/>
              <w:rPr>
                <w:sz w:val="17"/>
                <w:szCs w:val="17"/>
                <w:color w:val="auto"/>
              </w:rPr>
            </w:pPr>
          </w:p>
        </w:tc>
      </w:tr>
      <w:tr>
        <w:trPr>
          <w:trHeight w:val="19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Acquisitions of businesses, net of cash acquired</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(608)</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(1,339)</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(2,169)</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(1,929)</w:t>
            </w:r>
          </w:p>
        </w:tc>
        <w:tc>
          <w:tcPr>
            <w:tcW w:w="20" w:type="dxa"/>
            <w:vAlign w:val="bottom"/>
          </w:tcPr>
          <w:p>
            <w:pPr>
              <w:spacing w:after="0"/>
              <w:rPr>
                <w:sz w:val="17"/>
                <w:szCs w:val="17"/>
                <w:color w:val="auto"/>
              </w:rPr>
            </w:pPr>
          </w:p>
        </w:tc>
      </w:tr>
      <w:tr>
        <w:trPr>
          <w:trHeight w:val="19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New borrowings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3,057</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repayments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(499)</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(2,682)</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Net commercial paper borrowings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repurchase program</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Cash dividends</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(802)</w:t>
            </w: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(750)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(726)</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of common stock options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7"/>
                <w:szCs w:val="17"/>
                <w:color w:val="auto"/>
              </w:rPr>
            </w:pPr>
          </w:p>
        </w:tc>
      </w:tr>
      <w:tr>
        <w:trPr>
          <w:trHeight w:val="203"/>
        </w:trPr>
        <w:tc>
          <w:tcPr>
            <w:tcW w:w="6420" w:type="dxa"/>
            <w:vAlign w:val="bottom"/>
          </w:tcPr>
          <w:p>
            <w:pPr>
              <w:ind w:left="22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r>
      <w:tr>
        <w:trPr>
          <w:trHeight w:val="196"/>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(1,084)</w:t>
            </w:r>
          </w:p>
        </w:tc>
        <w:tc>
          <w:tcPr>
            <w:tcW w:w="20" w:type="dxa"/>
            <w:vAlign w:val="bottom"/>
          </w:tcPr>
          <w:p>
            <w:pPr>
              <w:spacing w:after="0"/>
              <w:rPr>
                <w:sz w:val="17"/>
                <w:szCs w:val="17"/>
                <w:color w:val="auto"/>
              </w:rPr>
            </w:pPr>
          </w:p>
        </w:tc>
      </w:tr>
      <w:tr>
        <w:trPr>
          <w:trHeight w:val="173"/>
        </w:trPr>
        <w:tc>
          <w:tcPr>
            <w:tcW w:w="64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Effect of exchange rate changes on cash, cash equivalents and restricted cash and cash</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equivalents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 and cash equivalents</w:t>
            </w: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r>
      <w:tr>
        <w:trPr>
          <w:trHeight w:val="203"/>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6420" w:type="dxa"/>
            <w:vAlign w:val="bottom"/>
          </w:tcPr>
          <w:p>
            <w:pPr>
              <w:spacing w:after="0"/>
              <w:rPr>
                <w:sz w:val="20"/>
                <w:szCs w:val="20"/>
                <w:color w:val="auto"/>
              </w:rPr>
            </w:pPr>
            <w:r>
              <w:rPr>
                <w:rFonts w:ascii="Arial" w:cs="Arial" w:eastAsia="Arial" w:hAnsi="Arial"/>
                <w:sz w:val="16"/>
                <w:szCs w:val="16"/>
                <w:color w:val="auto"/>
                <w:w w:val="99"/>
              </w:rPr>
              <w:t>Reconciliation of cash, cash equivalents and restricted cash and cash equivalents at end of</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420" w:type="dxa"/>
            <w:vAlign w:val="bottom"/>
          </w:tcPr>
          <w:p>
            <w:pPr>
              <w:ind w:left="140"/>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5"/>
          </w:tcPr>
          <w:p>
            <w:pPr>
              <w:jc w:val="right"/>
              <w:ind w:right="500"/>
              <w:spacing w:after="0"/>
              <w:rPr>
                <w:sz w:val="20"/>
                <w:szCs w:val="20"/>
                <w:color w:val="auto"/>
              </w:rPr>
            </w:pPr>
            <w:r>
              <w:rPr>
                <w:rFonts w:ascii="Arial" w:cs="Arial" w:eastAsia="Arial" w:hAnsi="Arial"/>
                <w:sz w:val="14"/>
                <w:szCs w:val="14"/>
                <w:b w:val="1"/>
                <w:bCs w:val="1"/>
                <w:color w:val="auto"/>
              </w:rPr>
              <w:t>Waste Management, Inc. Stockholders’ Equity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Comprehensive</w:t>
            </w:r>
          </w:p>
        </w:tc>
        <w:tc>
          <w:tcPr>
            <w:tcW w:w="1380" w:type="dxa"/>
            <w:vAlign w:val="bottom"/>
            <w:gridSpan w:val="5"/>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Total</w:t>
            </w:r>
          </w:p>
        </w:tc>
        <w:tc>
          <w:tcPr>
            <w:tcW w:w="6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2"/>
                <w:szCs w:val="12"/>
                <w:color w:val="auto"/>
              </w:rPr>
            </w:pPr>
          </w:p>
        </w:tc>
        <w:tc>
          <w:tcPr>
            <w:tcW w:w="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2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2015</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5,367</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6,939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(183,105)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(6,300)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1,180</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1,182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(726)</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 net of tax</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(725)</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(11,241)</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320" w:type="dxa"/>
            <w:vAlign w:val="bottom"/>
          </w:tcPr>
          <w:p>
            <w:pPr>
              <w:spacing w:after="0" w:line="142" w:lineRule="exact"/>
              <w:rPr>
                <w:sz w:val="20"/>
                <w:szCs w:val="20"/>
                <w:color w:val="auto"/>
              </w:rPr>
            </w:pPr>
            <w:r>
              <w:rPr>
                <w:rFonts w:ascii="Arial" w:cs="Arial" w:eastAsia="Arial" w:hAnsi="Arial"/>
                <w:sz w:val="14"/>
                <w:szCs w:val="14"/>
                <w:color w:val="auto"/>
              </w:rPr>
              <w:t>Balance, December 31, 2016</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5,320</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(190,967)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(6,867)</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20" w:type="dxa"/>
            <w:vAlign w:val="bottom"/>
          </w:tcPr>
          <w:p>
            <w:pPr>
              <w:spacing w:after="0" w:line="130" w:lineRule="exact"/>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2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140"/>
              <w:spacing w:after="0"/>
              <w:rPr>
                <w:sz w:val="20"/>
                <w:szCs w:val="20"/>
                <w:color w:val="auto"/>
              </w:rPr>
            </w:pPr>
            <w:r>
              <w:rPr>
                <w:rFonts w:ascii="Arial" w:cs="Arial" w:eastAsia="Arial" w:hAnsi="Arial"/>
                <w:sz w:val="14"/>
                <w:szCs w:val="14"/>
                <w:color w:val="auto"/>
              </w:rPr>
              <w:t>transactions, net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(10,058)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6,042</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(196,964)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(7,516)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w w:val="96"/>
              </w:rPr>
              <w:t>Adoption of new accounting standards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320" w:type="dxa"/>
            <w:vAlign w:val="bottom"/>
          </w:tcPr>
          <w:p>
            <w:pPr>
              <w:spacing w:after="0" w:line="130" w:lineRule="exact"/>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(90)</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(90)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(802)</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2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140"/>
              <w:spacing w:after="0"/>
              <w:rPr>
                <w:sz w:val="20"/>
                <w:szCs w:val="20"/>
                <w:color w:val="auto"/>
              </w:rPr>
            </w:pPr>
            <w:r>
              <w:rPr>
                <w:rFonts w:ascii="Arial" w:cs="Arial" w:eastAsia="Arial" w:hAnsi="Arial"/>
                <w:sz w:val="14"/>
                <w:szCs w:val="14"/>
                <w:color w:val="auto"/>
              </w:rPr>
              <w:t>transactions, net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(1,008)</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(11,673)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Divestiture of noncontrolling interest</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20" w:type="dxa"/>
            <w:vAlign w:val="bottom"/>
          </w:tcPr>
          <w:p>
            <w:pPr>
              <w:spacing w:after="0" w:line="142" w:lineRule="exact"/>
              <w:rPr>
                <w:sz w:val="20"/>
                <w:szCs w:val="20"/>
                <w:color w:val="auto"/>
              </w:rPr>
            </w:pPr>
            <w:r>
              <w:rPr>
                <w:rFonts w:ascii="Arial" w:cs="Arial" w:eastAsia="Arial" w:hAnsi="Arial"/>
                <w:sz w:val="14"/>
                <w:szCs w:val="14"/>
                <w:color w:val="auto"/>
              </w:rPr>
              <w:t>Balance, December 31,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6,276</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(206,299)</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(8,434)</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19.</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New Accounting Standards and Reclassifications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In May 2014, the Financial Accounting Standards Board (“FASB”) issued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(“ASU”) 2014-09 associated with revenue recognition. On January 1, 2018, we adopted ASU 2014-09 using the modified retrospective approach for all ongoing customer contracts. Our results of operations for the reported periods after January 1, 2018 are presented under this amended guidance, while prior period amounts are not adjusted and continue to be reported in accordance with historical accounting guidance.</w:t>
      </w:r>
    </w:p>
    <w:p>
      <w:pPr>
        <w:spacing w:after="0" w:line="188"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8"/>
          <w:szCs w:val="18"/>
          <w:color w:val="auto"/>
        </w:rPr>
        <w:t>The impact of adopting the amended guidance primarily relates to (i) the deferral of certain sales incentives, which previously were expensed as incurred, but under the new guidance are capitalized as other assets and amortized to selling, general and administrative expenses over the expected life of the customer relationship and (ii) the recognition of certain consideration payable to our customers as a reduction in operating revenues, which under historical guidance was recorded as operating expenses. We recognized a net $80 million increase to our retained earnings as of January 1, 2018 for the cumulative impact of adopting the amended guidance associated with the capitalization of sales incentives as contract acquisition costs consisting of a $108 million asset and a related $28 million deferred tax liability. There were no material impacts on our consolidated financial statements, which include these changes, as a result of our adoption of this amended guidance.</w:t>
      </w:r>
    </w:p>
    <w:p>
      <w:pPr>
        <w:spacing w:after="0" w:line="197"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For contracts with an effective term greater than one year, we applied the standard’s practical expedient that permits the exclusion of unsatisfied performance obligations as our right to consideration corresponds directly to the value provided to the customer for services completed to date and all future variable consideration is allocated to wholly unsatisfied performance obligations. We also applied the standard’s optional exemption for performance obligations related to contracts that have an original expected duration of one year or less. See Note 3 for additional information and disclosures related to this amended guidance.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01 associated with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using a prospective transition approach, which did not have an impact on our consolidated financial statements.</w:t>
      </w:r>
    </w:p>
    <w:p>
      <w:pPr>
        <w:spacing w:after="0" w:line="20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concluded that all equity investments within the scope of ASU 2016-01, which primarily relate to equity securities previously accounted for under the cost method, do not have readily determinable fair values. Accordingly, the value of these investments beginning January 1, 2018 has been measured using a quantitative approach, or the measurement alternative, as noted above. See Note 3 for additional information and disclosures related to this amended guidance.</w:t>
      </w:r>
    </w:p>
    <w:p>
      <w:pPr>
        <w:spacing w:after="0" w:line="15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15 associated with the classification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in the statement of cash flows. In November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18 associated with the presentation of restricted cash and cash equivalents in the statement of cash flows. The objective of the amended guidance was to reduce existing diversity in practice. This amended guidance was retrospectively adopted on January 1, 2018 and required the following disclosures and changes to the presentation of our financial statements:</w:t>
      </w:r>
    </w:p>
    <w:p>
      <w:pPr>
        <w:spacing w:after="0" w:line="96" w:lineRule="exact"/>
        <w:rPr>
          <w:sz w:val="20"/>
          <w:szCs w:val="20"/>
          <w:color w:val="auto"/>
        </w:rPr>
      </w:pPr>
    </w:p>
    <w:p>
      <w:pPr>
        <w:jc w:val="both"/>
        <w:ind w:left="660" w:hanging="333"/>
        <w:spacing w:after="0" w:line="279"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Cash, cash equivalents and restricted cash and cash equivalents reported on the Consolidated Statements of Cash Flows now includes restricted cash and cash equivalents of $65 million, $62 million and $271 million as of December 31, 2015, 2016 and 2017, respectively, in restricted trust and escrow accounts and other current assets in our Consolidated Balance Sheets as well as previously reported cash and cash equivalents.</w:t>
      </w:r>
    </w:p>
    <w:p>
      <w:pPr>
        <w:spacing w:after="0" w:line="63" w:lineRule="exact"/>
        <w:rPr>
          <w:rFonts w:ascii="Arial" w:cs="Arial" w:eastAsia="Arial" w:hAnsi="Arial"/>
          <w:sz w:val="17"/>
          <w:szCs w:val="17"/>
          <w:color w:val="auto"/>
        </w:rPr>
      </w:pPr>
    </w:p>
    <w:p>
      <w:pPr>
        <w:ind w:left="660" w:hanging="333"/>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Cash payments made within 120 days of the acquisition date of a business combination to settle a contingent</w:t>
      </w:r>
    </w:p>
    <w:p>
      <w:pPr>
        <w:spacing w:after="0" w:line="3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consideration liability are classified as cash outflows from investing activities. Thereafter, cash payments up to the amount of the contingent consideration liability recognized at the acquisition date (including measurement period adjustments) are classified as cash outflows from financing activities and any excess is classified as cash outflows from operating activities. The adoption of this amended guidance did not have a material impact on our Consolidated Statements of Cash Flows.</w:t>
      </w:r>
    </w:p>
    <w:p>
      <w:pPr>
        <w:spacing w:after="0" w:line="1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restricted cash and cash equivalents generally consist of funds deposited into specific accounts for purposes of funding insurance claims and demonstrating our ability to meet our landfill final capping, closure, post-closure and environmental remediation obligations.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Reclassification of Certain Tax Effects from Accumulated Other Comprehensive Income — </w:t>
      </w:r>
      <w:r>
        <w:rPr>
          <w:rFonts w:ascii="Arial" w:cs="Arial" w:eastAsia="Arial" w:hAnsi="Arial"/>
          <w:sz w:val="16"/>
          <w:szCs w:val="16"/>
          <w:color w:val="auto"/>
        </w:rPr>
        <w:t>In February 2018,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ASU 2018-02 associated with the reclassification of certain tax effects from accumulated other comprehensive income (loss). This amended guidance allows a reclassification from accumulated other comprehensive income (loss) to retained earnings for stranded tax effects resulting from the Tax Cuts and Jobs Act (the “Act”) which was signed into law on December 22, 2017. We early adopted this amended guidance on January 1, 2018, and as a result, elected to reclassify $5 million of stranded tax effects from accumulated other comprehensive income (loss) to retained earnings using a specific identification approach. See Note 12 for additional disclosures related to this amended guidance.</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In March 2018, the FASB issued ASU 2018-05 associated with the accounting and disclosures around</w:t>
      </w:r>
      <w:r>
        <w:rPr>
          <w:rFonts w:ascii="Arial" w:cs="Arial" w:eastAsia="Arial" w:hAnsi="Arial"/>
          <w:sz w:val="18"/>
          <w:szCs w:val="18"/>
          <w:i w:val="1"/>
          <w:iCs w:val="1"/>
          <w:color w:val="auto"/>
        </w:rPr>
        <w:t xml:space="preserve"> </w:t>
      </w:r>
      <w:r>
        <w:rPr>
          <w:rFonts w:ascii="Arial" w:cs="Arial" w:eastAsia="Arial" w:hAnsi="Arial"/>
          <w:sz w:val="18"/>
          <w:szCs w:val="18"/>
          <w:color w:val="auto"/>
        </w:rPr>
        <w:t>the enactment of the Act and the Securities and Exchange Commission’s Staff Accounting Bulletin No. 118, Income Tax Accounting Implications of the Tax Cuts and Jobs Act (“SAB 118”), which the Company has adopted. See Note 8 for the disclosures related to this amended guidance.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Standards Pending Adoption</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Financial Instrument Credit Losses — </w:t>
      </w:r>
      <w:r>
        <w:rPr>
          <w:rFonts w:ascii="Arial" w:cs="Arial" w:eastAsia="Arial" w:hAnsi="Arial"/>
          <w:sz w:val="17"/>
          <w:szCs w:val="17"/>
          <w:color w:val="auto"/>
        </w:rPr>
        <w:t>In June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13 associated with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We are assessing the provisions of this amended guidance and evaluating the impact on our consolidated financial statements.</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 accounting. There have been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including practical expedients, with the issuance of ASU 2018-01 in January 2018, ASU 2018-11 in July 2018 and ASU 2018-20 in December 2018.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We elected the optional transition method which allows entities to continue to apply historical accounting guidance in the comparative periods presented in the year of adoption.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transition, lessees and lessors may elect to apply a package of practical expedients permitting entities not to reassess:</w:t>
      </w:r>
    </w:p>
    <w:p>
      <w:pPr>
        <w:spacing w:after="0" w:line="46" w:lineRule="exact"/>
        <w:rPr>
          <w:sz w:val="20"/>
          <w:szCs w:val="20"/>
          <w:color w:val="auto"/>
        </w:rPr>
      </w:pPr>
    </w:p>
    <w:p>
      <w:pPr>
        <w:jc w:val="both"/>
        <w:ind w:firstLine="3"/>
        <w:spacing w:after="0" w:line="254" w:lineRule="auto"/>
        <w:tabs>
          <w:tab w:leader="none" w:pos="22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lease classification for any expired or existing leases and (iii) whether initial direct costs for any expired or existing leases qualify for capitalization under the amended guidance. These practical expedients must be elected as a package and consistently applied. We have elected to apply the package of practical expedients upon adoption.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identified our leases or other contracts impacted by the new standard and are currently in the process of</w:t>
      </w:r>
    </w:p>
    <w:p>
      <w:pPr>
        <w:spacing w:after="0" w:line="35" w:lineRule="exact"/>
        <w:rPr>
          <w:sz w:val="20"/>
          <w:szCs w:val="20"/>
          <w:color w:val="auto"/>
        </w:rPr>
      </w:pPr>
    </w:p>
    <w:p>
      <w:pPr>
        <w:ind w:left="260" w:hanging="257"/>
        <w:spacing w:after="0"/>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finalizing our implementation of a software solution to manage and account for leases under the new standard and</w:t>
      </w:r>
    </w:p>
    <w:p>
      <w:pPr>
        <w:spacing w:after="0" w:line="20" w:lineRule="exact"/>
        <w:rPr>
          <w:rFonts w:ascii="Arial" w:cs="Arial" w:eastAsia="Arial" w:hAnsi="Arial"/>
          <w:sz w:val="17"/>
          <w:szCs w:val="17"/>
          <w:color w:val="auto"/>
        </w:rPr>
      </w:pPr>
    </w:p>
    <w:p>
      <w:pPr>
        <w:ind w:firstLine="3"/>
        <w:spacing w:after="0" w:line="261" w:lineRule="auto"/>
        <w:tabs>
          <w:tab w:leader="none" w:pos="2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updating our business processes and related policies, systems and controls to support recognition and disclosure under the new standard.</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adoption of the amended guidance, we expect to recognize right-of-use assets and related liabilities of approximately $300 million to $350 million for our contracts which contain an operating lease. We currently do not expect the amended guidance to have any other material impacts on our consolidated financial statements.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2018 and 2017, no single customer represented greater than 5% of total accounts receivable.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The activity within our allowance for doubtful accounts was not material for the reported periods.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receivables, as of December 31, 2018 and 2017, include receivables related to income tax payments in excess of our current income tax obligations of $284 million and $504 million,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 Basis of Landfill Assets — </w:t>
      </w:r>
      <w:r>
        <w:rPr>
          <w:rFonts w:ascii="Arial" w:cs="Arial" w:eastAsia="Arial" w:hAnsi="Arial"/>
          <w:sz w:val="18"/>
          <w:szCs w:val="18"/>
          <w:color w:val="auto"/>
        </w:rPr>
        <w:t>We capitalize various costs that we incur to make a landfill ready to accept waste.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Final Capping, Closure and Post-Closure Costs — </w:t>
      </w:r>
      <w:r>
        <w:rPr>
          <w:rFonts w:ascii="Arial" w:cs="Arial" w:eastAsia="Arial" w:hAnsi="Arial"/>
          <w:sz w:val="18"/>
          <w:szCs w:val="18"/>
          <w:color w:val="auto"/>
        </w:rPr>
        <w:t>Following is a description of our asset retirement activities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w:t>
      </w:r>
    </w:p>
    <w:p>
      <w:pPr>
        <w:spacing w:after="0" w:line="170" w:lineRule="exact"/>
        <w:rPr>
          <w:sz w:val="20"/>
          <w:szCs w:val="20"/>
          <w:color w:val="auto"/>
        </w:rPr>
      </w:pPr>
    </w:p>
    <w:p>
      <w:pPr>
        <w:jc w:val="both"/>
        <w:ind w:left="660" w:hanging="333"/>
        <w:spacing w:after="0" w:line="273"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Final Capping — </w:t>
      </w:r>
      <w:r>
        <w:rPr>
          <w:rFonts w:ascii="Arial" w:cs="Arial" w:eastAsia="Arial" w:hAnsi="Arial"/>
          <w:sz w:val="17"/>
          <w:szCs w:val="17"/>
          <w:color w:val="auto"/>
        </w:rPr>
        <w:t>Involves the installation of flexible membrane liners and geosynthetic clay liners, drainage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compacted soil layers and topsoil over 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70" w:lineRule="exact"/>
        <w:rPr>
          <w:rFonts w:ascii="Arial" w:cs="Arial" w:eastAsia="Arial" w:hAnsi="Arial"/>
          <w:sz w:val="17"/>
          <w:szCs w:val="17"/>
          <w:color w:val="auto"/>
        </w:rPr>
      </w:pPr>
    </w:p>
    <w:p>
      <w:pPr>
        <w:jc w:val="both"/>
        <w:ind w:left="660" w:hanging="333"/>
        <w:spacing w:after="0" w:line="255"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Closure — </w:t>
      </w:r>
      <w:r>
        <w:rPr>
          <w:rFonts w:ascii="Arial" w:cs="Arial" w:eastAsia="Arial" w:hAnsi="Arial"/>
          <w:sz w:val="18"/>
          <w:szCs w:val="18"/>
          <w:color w:val="auto"/>
        </w:rPr>
        <w:t>Includes the construction of the final portion of methane gas collection systems (when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demobilization and routine 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85"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Post-Closure — </w:t>
      </w:r>
      <w:r>
        <w:rPr>
          <w:rFonts w:ascii="Arial" w:cs="Arial" w:eastAsia="Arial" w:hAnsi="Arial"/>
          <w:sz w:val="18"/>
          <w:szCs w:val="18"/>
          <w:color w:val="auto"/>
        </w:rPr>
        <w:t>Involves the maintenance and monitoring of a landfill site that has been certified closed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Once we have determined final capping, closure and post-closure costs, we inflate those costs to the expected time of payment and discount those expected future costs back to present value. During the years ended December 31, 2018, 2017 and 2016, we inflated these costs in current dollars to the expected time of payment using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2018 was approximately 5.50%.</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Amortization of Landfill Assets — </w:t>
      </w:r>
      <w:r>
        <w:rPr>
          <w:rFonts w:ascii="Arial" w:cs="Arial" w:eastAsia="Arial" w:hAnsi="Arial"/>
          <w:sz w:val="17"/>
          <w:szCs w:val="17"/>
          <w:color w:val="auto"/>
        </w:rPr>
        <w:t>The amortizable basis of a landfill includes (i) amounts previously expended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(ii) capitalized landfill final 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lease or other contractual agreements, the rate per ton is calculated based on expected capacity to be utilized over the lesser of the contractual term of the underlying agreement or the life of the landfill.</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ind w:left="660" w:hanging="333"/>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Remaining Permitted Airspace — </w:t>
      </w:r>
      <w:r>
        <w:rPr>
          <w:rFonts w:ascii="Arial" w:cs="Arial" w:eastAsia="Arial" w:hAnsi="Arial"/>
          <w:sz w:val="16"/>
          <w:szCs w:val="16"/>
          <w:color w:val="auto"/>
        </w:rPr>
        <w:t>Our engineers, in consultation with third-party engineering consultants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surveyors, are responsible for determining remaining permitted airspace at our landfills. The remaining permitted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airspace is determined by an annual survey, which is used to compare the existing landfill topography to the expected final landfill topography.</w:t>
      </w:r>
    </w:p>
    <w:p>
      <w:pPr>
        <w:spacing w:after="0" w:line="62" w:lineRule="exact"/>
        <w:rPr>
          <w:sz w:val="20"/>
          <w:szCs w:val="20"/>
          <w:color w:val="auto"/>
        </w:rPr>
      </w:pPr>
    </w:p>
    <w:p>
      <w:pPr>
        <w:jc w:val="both"/>
        <w:ind w:left="660" w:hanging="333"/>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80" w:lineRule="exact"/>
        <w:rPr>
          <w:rFonts w:ascii="Arial" w:cs="Arial" w:eastAsia="Arial" w:hAnsi="Arial"/>
          <w:sz w:val="18"/>
          <w:szCs w:val="18"/>
          <w:color w:val="auto"/>
        </w:rPr>
      </w:pPr>
    </w:p>
    <w:p>
      <w:pPr>
        <w:ind w:left="980" w:hanging="329"/>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980" w:hanging="329"/>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980" w:hanging="329"/>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980" w:hanging="329"/>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15 landfill sites with expansions included as of December 31, 2018, two landfills required the Chief Financial Officer to approve the inclusion of the unpermitted airspace because the permit application process did not meet the one- or five-year requirements.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57" w:lineRule="exact"/>
        <w:rPr>
          <w:sz w:val="20"/>
          <w:szCs w:val="20"/>
          <w:color w:val="auto"/>
        </w:rPr>
      </w:pPr>
    </w:p>
    <w:p>
      <w:pPr>
        <w:ind w:left="660" w:hanging="333"/>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$237 million recorded in the Consolidated Balance Sheet as of December 31, 2018.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Where we believe that both the amount of a particular environmental remediation liability and the timing of the payments are fixed or reliably determinable, we inflate the cost in current dollars (by 2.5% as of December 31, 2018 and 2017)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 environmental remediation liabilities and recovery assets for the years ended December 31 (in millions) and the risk-free discount rate applied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recovery assets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portion of our recorded environmental remediation liabilities that were not subject to inflation or discounting, as the amounts and timing of payments are not fixed or reliably determinable, was $35 million and $47 million as of December 31, 2018 and 2017, respectively. Had we not inflated and discounted any portion of our environmental remediation liability, the amount recorded would have increased $3 million as of December 31, 2018 and remained the same as of December 31, 2017.</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960" w:type="dxa"/>
            <w:vAlign w:val="bottom"/>
          </w:tcPr>
          <w:p>
            <w:pPr>
              <w:jc w:val="right"/>
              <w:spacing w:after="0"/>
              <w:rPr>
                <w:sz w:val="20"/>
                <w:szCs w:val="20"/>
                <w:color w:val="auto"/>
              </w:rPr>
            </w:pPr>
            <w:r>
              <w:rPr>
                <w:rFonts w:ascii="Arial" w:cs="Arial" w:eastAsia="Arial" w:hAnsi="Arial"/>
                <w:sz w:val="18"/>
                <w:szCs w:val="18"/>
                <w:color w:val="auto"/>
              </w:rPr>
              <w:t>10 to 30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jc w:val="right"/>
              <w:spacing w:after="0"/>
              <w:rPr>
                <w:sz w:val="20"/>
                <w:szCs w:val="20"/>
                <w:color w:val="auto"/>
              </w:rPr>
            </w:pPr>
            <w:r>
              <w:rPr>
                <w:rFonts w:ascii="Arial" w:cs="Arial" w:eastAsia="Arial" w:hAnsi="Arial"/>
                <w:sz w:val="18"/>
                <w:szCs w:val="18"/>
                <w:color w:val="auto"/>
              </w:rPr>
              <w:t>5 to 40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lease property and equipment in the ordinary course of our business. Our most significant lease obligations are for property and equipment specific to our industry, including real property operated as a landfill or transfer station. Our leases have varying terms. Some may include renewal or purchase options, escalation clauses, restrictions, penalties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obligations that we consider in determining minimum lease payments. The leases are classified as either operating leases or capital leases, as appropriate. See Note 2 for information related to the pending adoption of ASU 2016-02.</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Operating Leases (Excluding Landfill Leases Discussed Below) — </w:t>
      </w:r>
      <w:r>
        <w:rPr>
          <w:rFonts w:ascii="Arial" w:cs="Arial" w:eastAsia="Arial" w:hAnsi="Arial"/>
          <w:sz w:val="17"/>
          <w:szCs w:val="17"/>
          <w:color w:val="auto"/>
        </w:rPr>
        <w:t>The majority of our leases are operating leases.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2018 are disclosed in Note 10.</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Capital Leases (Excluding Landfill Leases Discussed Below) — </w:t>
      </w:r>
      <w:r>
        <w:rPr>
          <w:rFonts w:ascii="Arial" w:cs="Arial" w:eastAsia="Arial" w:hAnsi="Arial"/>
          <w:sz w:val="16"/>
          <w:szCs w:val="16"/>
          <w:color w:val="auto"/>
        </w:rPr>
        <w:t>Assets under capital leases are capitalized using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 determined at the inception of each lease and are amortized over either the useful life of the asset or the lease term, as appropriate, on a straight-line basis. The present value of the related lease payments is recorded as a debt obligation. Our future minimum annual capital lease payments are included in our future debt obligations as disclosed in Note 7.</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Landfill Leases — </w:t>
      </w:r>
      <w:r>
        <w:rPr>
          <w:rFonts w:ascii="Arial" w:cs="Arial" w:eastAsia="Arial" w:hAnsi="Arial"/>
          <w:sz w:val="16"/>
          <w:szCs w:val="16"/>
          <w:color w:val="auto"/>
        </w:rPr>
        <w:t>From an operating perspective, landfills that we lease are similar to landfills we own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we will operate the landfill for the life of the operating permit.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and the ultimate settlement of the obligations being recognized as an adjustment to income from operations.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matters and litigation are recognized at their acquisition-date fair value when their respective fair values can be determined. If the fair values of such contingencies cannot be determined, they are recognized as of the acquisition date if the contingencies are probable and an amount can be reasonably estimated.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a term of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w:t>
      </w:r>
      <w:r>
        <w:rPr>
          <w:rFonts w:ascii="Arial" w:cs="Arial" w:eastAsia="Arial" w:hAnsi="Arial"/>
          <w:sz w:val="16"/>
          <w:szCs w:val="16"/>
          <w:color w:val="auto"/>
        </w:rPr>
        <w:t>— 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Indefinite-Lived Intangible Assets, Including Goodwill — </w:t>
      </w:r>
      <w:r>
        <w:rPr>
          <w:rFonts w:ascii="Arial" w:cs="Arial" w:eastAsia="Arial" w:hAnsi="Arial"/>
          <w:sz w:val="16"/>
          <w:szCs w:val="16"/>
          <w:color w:val="auto"/>
        </w:rPr>
        <w:t>At least annually, and more frequently if warranted, we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indefinite-lived intangible assets including the goodwill of our reporting units for impairment using Level 3 inputs.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Beginning in 2018, we first performed a qualitative assessment to determine if it was more likely than not that the fair value of a reporting unit was less than its carrying value. If the assessment indicated a possible impairment, we completed a quantitative review, comparing the estimated fair value of a reporting unit to its carrying amount, including goodwill. An impairment charge was recognized if the asset’s estimated fair value was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11 for information related to impairments recognized during the reported periods.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2017, we elected to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will pay an annual premium to the insurance captive, typically in the first quarter of the year, for the estimated losses based on the external actuarial analysis. These premiums are held in a restricted escrow account to be used solely for paying insurance claims, resulting in a transfer of risk from WM to the insurance captive and are allocated between current and long-term assets depending on timing on the use of funds.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Our restricted trust and escrow accounts consist principally of funds deposited for purposes of funding insurance claims and settling landfill final capping, closure, post-closure and environmental remediation obligations. These funds are allocated between cash, money market funds and available-for-sale securities depending on the estimated timing and purpose of the use of funds. In December 2017, we elected to use a wholly-owned insurance captive to insure the deductibles for certain claims programs, as discussed above in </w:t>
      </w:r>
      <w:r>
        <w:rPr>
          <w:rFonts w:ascii="Arial" w:cs="Arial" w:eastAsia="Arial" w:hAnsi="Arial"/>
          <w:sz w:val="16"/>
          <w:szCs w:val="16"/>
          <w:i w:val="1"/>
          <w:iCs w:val="1"/>
          <w:color w:val="auto"/>
        </w:rPr>
        <w:t>Insured and Self-Insured Claims</w:t>
      </w:r>
      <w:r>
        <w:rPr>
          <w:rFonts w:ascii="Arial" w:cs="Arial" w:eastAsia="Arial" w:hAnsi="Arial"/>
          <w:sz w:val="16"/>
          <w:szCs w:val="16"/>
          <w:color w:val="auto"/>
        </w:rPr>
        <w:t>, and the premiums paid were directly deposited into a restricted escrow account to be used solely for paying insurance claims. At several of our landfills, we provide financial assurance by depositing cash into restricted trust or escrow accounts for purposes of settling final capping, closure, post-closure and environmental remediation obligations. Balances maintained in these restricted trust and escrow accounts will fluctuate based on (i) changes in statutory requirements; (ii) future deposits made to comply with contractual arrangements;</w:t>
      </w:r>
    </w:p>
    <w:p>
      <w:pPr>
        <w:spacing w:after="0" w:line="7" w:lineRule="exact"/>
        <w:rPr>
          <w:sz w:val="20"/>
          <w:szCs w:val="20"/>
          <w:color w:val="auto"/>
        </w:rPr>
      </w:pPr>
    </w:p>
    <w:p>
      <w:pPr>
        <w:ind w:firstLine="3"/>
        <w:spacing w:after="0" w:line="261" w:lineRule="auto"/>
        <w:tabs>
          <w:tab w:leader="none" w:pos="3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ongoing use of funds; (iv) acquisitions or divestitures and (v) changes in the fair value of the financial instruments held in the restricted trust or escrow accounts.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18 for additional discussion related to restricted trust and escrow accounts for final capping, closure, post-closure or environmental remediation obligations.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Investments in unconsolidated entities over which the Company has significant influence are accounted for under the equity method of accounting. Prior to 2018, investments in entities in which the Company does not have the ability to exert significant influence over the investees’ operating and financing activities were accounted for under the cost method of accounting. On January 1, 2018, we adopted ASU 2016-01, which resulted in certain equity investments previously accounted for under the cost method to be measured using a quantitative approach as we concluded these investments did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See Note 2 for additional information related to this amended guidance.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Investments without readily determinable fair values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7"/>
        </w:trPr>
        <w:tc>
          <w:tcPr>
            <w:tcW w:w="7040" w:type="dxa"/>
            <w:vAlign w:val="bottom"/>
          </w:tcPr>
          <w:p>
            <w:pPr>
              <w:ind w:left="220"/>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bl>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w:t>
      </w:r>
    </w:p>
    <w:p>
      <w:pPr>
        <w:jc w:val="both"/>
        <w:ind w:firstLine="3"/>
        <w:spacing w:after="0" w:line="277" w:lineRule="auto"/>
        <w:tabs>
          <w:tab w:leader="none" w:pos="321"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market or income approach, as deemed appropriate and/or (iv) a quantitative approach, or measurement alternative, as noted above. Impairments of our investments are recorded in equity in net losses of unconsolidated entities or other, net in the Consolidated Statements of Operations in accordance with appropriate accounting guidance.</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Notes 11 and 16 for information related to impairments and other adjustments recognized during the reported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will use derivative financial instruments to manage our risk associated with fluctuations in foreign currency exchange rates. Through March 2016, we used cross-currency swaps to hedge our exposure to fluctuations in exchange rates for anticipated intercompany cash transactions between Waste Management Holdings, Inc., a wholly-owned subsidiary (“WM Holdings”), and its Canadian subsidiaries.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cross-currency swaps had been designated as cash flow hedges for accounting purposes, which resulted in the unrealized changes in the fair value of the derivative instruments being recorded in accumulated other comprehensive income (loss) within our Consolidated Balance Sheets. The associated balance in accumulated other comprehensive income (loss) was reclassified to earnings as the hedged cash flows affected earnings. The financial statement impacts of our cross-currency swaps are discussed in Note 7.</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 from sources other than customer contracts primarily relates to lease revenue associated with compactors and balers. Revenue from these leasing arrangements was not material and represented approximately 1% of total revenue for each of the reported periods.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19 for additional information related to revenue by reportable segment and major lines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Deferred Revenues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 Acquisition Costs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2018, we had $145 million of deferred contract costs, of which $109 million was related to deferred sales incentives. During the year ended December 31, 2018, we amortized $22 million of sales incentives to selling, general and administrative expense and $35 million of other contract acquisition costs as a reduction in revenue.</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Long-Term Contracts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Approximately 25%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capitalize interest on certain projects under development, including landfill expansion projects, certain assets under construction, including operating landfills and landfill gas-to-energy projects and internal-use software. During 2018, 2017 and 2016, total interest costs were $400 million, $383 million and $394 million, respectively, of which $16 million, $15 million and $9 million was capitalized in 2018, 2017 and 2016, respectively.</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fully supportable, we believe that certain positions may be challenged and potentially disallowed. When facts and circumstances change, we adjust these reserves through our income tax expense.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for discussion of the impacts of enactment of the Act which was signed into law on December 22, 2017 and is generally effective for tax years beginning January 1, 2018.</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supplemental cash flow information for the years ended December 31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w:t>
            </w:r>
          </w:p>
        </w:tc>
      </w:tr>
    </w:tbl>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we had $250 million of non-cash financing activities from our recent federal low-income housing investment discussed in Note 8 and new capital leases. During 2017 and 2016, we did not have any significant non-cash investing and financing activities. Non-cash investing and financing activities are generally excluded from the Consolidated Statements of Cash Flows.</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Liabilities for landfill and environmental remediation costs as of December 31 are presented in the table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Landfill</w:t>
            </w:r>
          </w:p>
        </w:tc>
        <w:tc>
          <w:tcPr>
            <w:tcW w:w="10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Environmental</w:t>
            </w:r>
          </w:p>
        </w:tc>
        <w:tc>
          <w:tcPr>
            <w:tcW w:w="18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Remediation</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Remediation</w:t>
            </w: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2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864"/>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2018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Landfill</w:t>
            </w:r>
          </w:p>
        </w:tc>
        <w:tc>
          <w:tcPr>
            <w:tcW w:w="12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Environmental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9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9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(c)</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9"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 net decrease of $15 million primarily related to our year-end annual review of landfill final capping, closure and post-closure obligations partially offset by an increase of $12 million due to the acceleration of the expected timing of capping activities for a landfill. See Note 11 for discussion of the impairment charge related to this landfill.</w:t>
      </w:r>
    </w:p>
    <w:p>
      <w:pPr>
        <w:spacing w:after="0" w:line="78" w:lineRule="exact"/>
        <w:rPr>
          <w:rFonts w:ascii="Arial" w:cs="Arial" w:eastAsia="Arial" w:hAnsi="Arial"/>
          <w:sz w:val="18"/>
          <w:szCs w:val="18"/>
          <w:color w:val="auto"/>
        </w:rPr>
      </w:pPr>
    </w:p>
    <w:p>
      <w:pPr>
        <w:jc w:val="both"/>
        <w:ind w:left="320" w:hanging="317"/>
        <w:spacing w:after="0" w:line="279" w:lineRule="auto"/>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amount reported for our environmental remediation liabilities includes changes in cost estimates associated with environmental remediation projects resulting in an increase in the required obligation. These charges were partially offset by a decrease of $3 million in our environmental remediation liabilities due to an increase in the risk-free discount rate used to measure our liabilities from 2.5% at December 31, 2017 to 2.75% at December 31, 2018.</w:t>
      </w:r>
    </w:p>
    <w:p>
      <w:pPr>
        <w:spacing w:after="0" w:line="63" w:lineRule="exact"/>
        <w:rPr>
          <w:rFonts w:ascii="Arial" w:cs="Arial" w:eastAsia="Arial" w:hAnsi="Arial"/>
          <w:sz w:val="17"/>
          <w:szCs w:val="17"/>
          <w:color w:val="auto"/>
        </w:rPr>
      </w:pPr>
    </w:p>
    <w:p>
      <w:pPr>
        <w:ind w:left="320" w:hanging="317"/>
        <w:spacing w:after="0" w:line="277"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$27 million due to landfill acquisitions partially offset by landfill divestitures and other adjustments.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recorded liabilities as of December 31, 2018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$26 million in 2019, $19 million in 2020, $65 million in 2021, $37 million in 2022, $13 million in 2023 and $81 million thereafter.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Notes 16 and 18 for additional information related to these trusts.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20" w:hanging="317"/>
        <w:spacing w:after="0"/>
        <w:tabs>
          <w:tab w:leader="none" w:pos="3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Landfills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14,904</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2,824</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10"/>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29,263</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of tangible property and equipment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Less: Accumulated amortization of landfill airspace</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(8,788)</w:t>
            </w:r>
          </w:p>
        </w:tc>
      </w:tr>
      <w:tr>
        <w:trPr>
          <w:trHeight w:val="217"/>
        </w:trPr>
        <w:tc>
          <w:tcPr>
            <w:tcW w:w="7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consisted of the following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landfill airspace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17"/>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Other Intangible Assets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Goodwill was $6,430 million and $6,247 million as of December 31, 2018 and 2017, respectively. The $183 million increase in goodwill during 2018 is primarily related to acquisitions partially offset by translation adjustments related to our Canadian operations, divestitures and an impairment charge, which is discussed below.</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discussed more fully in Note 3, we perform our annual impairment test of goodwill balances for our reporting units using a measurement date of October 1. We will also perform interim tests if an impairment indicator exists. During the fourth quarter of 2018, we recorded a goodwill impairment charge of $6 million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as a result of our annual impairment test, as the carrying value including goodwill exceeded the estimated fair value. Fair value was estimated using an income approach based on long-term projected discounted future cash flows of the reporting unit.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Notes 11, 17 and 19 for additional information related to goodwill.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other intangible assets consisted of the following as of December 31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Covenants</w:t>
            </w:r>
          </w:p>
        </w:tc>
        <w:tc>
          <w:tcPr>
            <w:tcW w:w="8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Licenses,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and Supplier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Not-to-</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Permits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Relationships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Compete</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Amortization expense for other intangible assets was $101 million, $96 million and $100 million for 2018, 2017 and 2016, respectively. As of December 31, 2018, we had $18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17. As of December 31, 2018, we expect annual amortization expense related to other intangible assets to be $105 million in 2019, $94 million in 2020, $79 million in 2021, $63 million in 2022 and $55 million in 2023.</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5"/>
              </w:rPr>
              <w:t>Revolving credit facility (weighted average interest rate of 3.1% as of December 31, 2018)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2"/>
              </w:rPr>
              <w:t>Commercial paper program (weighted average interest rate of 2.9% as of December 31, 2018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880" w:type="dxa"/>
            <w:vAlign w:val="bottom"/>
          </w:tcPr>
          <w:p>
            <w:pPr>
              <w:ind w:left="140"/>
              <w:spacing w:after="0"/>
              <w:rPr>
                <w:sz w:val="20"/>
                <w:szCs w:val="20"/>
                <w:color w:val="auto"/>
              </w:rPr>
            </w:pPr>
            <w:r>
              <w:rPr>
                <w:rFonts w:ascii="Arial" w:cs="Arial" w:eastAsia="Arial" w:hAnsi="Arial"/>
                <w:sz w:val="18"/>
                <w:szCs w:val="18"/>
                <w:color w:val="auto"/>
              </w:rPr>
              <w:t>and 1.9% as of December 31, 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Canadian term loan and revolving credit facility (weighted average effective interest rate of</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 as of December 31, 2017)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Senior notes, maturing through 2045, interest rates ranging from 2.4% to 7.75% (weighted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880" w:type="dxa"/>
            <w:vAlign w:val="bottom"/>
          </w:tcPr>
          <w:p>
            <w:pPr>
              <w:ind w:left="140"/>
              <w:spacing w:after="0"/>
              <w:rPr>
                <w:sz w:val="20"/>
                <w:szCs w:val="20"/>
                <w:color w:val="auto"/>
              </w:rPr>
            </w:pPr>
            <w:r>
              <w:rPr>
                <w:rFonts w:ascii="Arial" w:cs="Arial" w:eastAsia="Arial" w:hAnsi="Arial"/>
                <w:sz w:val="18"/>
                <w:szCs w:val="18"/>
                <w:color w:val="auto"/>
              </w:rPr>
              <w:t>average interest rate of 4.3% as of December 31, 2018 and December 31, 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6,222</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bonds, maturing through 2048, fixed and variable interest rates ranging from</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1.35% to 4.3% (weighted average interest rate of 2.35% as of December 31, 2018 and 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of December 31, 2017)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Capital leases and other, maturing through 2040, interest rates up to 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7"/>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2018, we had $1.9 billion of debt maturing within the next 12 months, including (i) $990 million of short-term borrowings under our commercial paper program; (ii) $705 million of tax-exempt bonds with term interest rate periods that expire within the next 12 months, which is prior to their scheduled maturities; (iii) $161 million of other debt with scheduled maturities within the next 12 months, including $106 million of tax-exempt bonds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
        <w:spacing w:after="0" w:line="290" w:lineRule="auto"/>
        <w:tabs>
          <w:tab w:leader="none" w:pos="317" w:val="left"/>
        </w:tabs>
        <w:numPr>
          <w:ilvl w:val="0"/>
          <w:numId w:val="67"/>
        </w:numPr>
        <w:rPr>
          <w:rFonts w:ascii="Arial" w:cs="Arial" w:eastAsia="Arial" w:hAnsi="Arial"/>
          <w:sz w:val="16"/>
          <w:szCs w:val="16"/>
          <w:color w:val="auto"/>
        </w:rPr>
      </w:pPr>
      <w:r>
        <w:rPr>
          <w:rFonts w:ascii="Arial" w:cs="Arial" w:eastAsia="Arial" w:hAnsi="Arial"/>
          <w:sz w:val="16"/>
          <w:szCs w:val="16"/>
          <w:color w:val="auto"/>
        </w:rPr>
        <w:t>C$15 million, or $11 million, of Canadian borrowings under our long-term U.S. and Canadian revolving credit facility (“$2.75 billion revolving credit facility”). Of the $990 million of short-term borrowings outstanding under our commercial paper program as of December 31, 2018 that are supported by our $2.75 billion revolving credit facility, we have the intent and ability to refinance or maintain approximately $730 million of these borrowings on a long-term basis, and we have classified these amounts as long-term debt. As of December 31, 2018, we have classified an additional $705 million of debt maturing in the next 12 months as long-term because we have the intent and ability to refinance these borrowings on a long-term basis as supported by the forecasted available capacity under our $2.75 billion revolving credit facility, as discussed below. The remaining $432 million of debt maturing in the next 12 months is classified as current obligations.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2018, we also have $268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Consolidated Balance Sheet as of December 31, 2018.</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$2.75 Billion Revolving Credit Facility — </w:t>
      </w:r>
      <w:r>
        <w:rPr>
          <w:rFonts w:ascii="Arial" w:cs="Arial" w:eastAsia="Arial" w:hAnsi="Arial"/>
          <w:sz w:val="16"/>
          <w:szCs w:val="16"/>
          <w:color w:val="auto"/>
        </w:rPr>
        <w:t>In June 2018, we entered into the $2.75 billion revolving credit facility,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our prior long-term U.S. revolving credit facility. Amendments to the credit agreement included</w:t>
      </w:r>
    </w:p>
    <w:p>
      <w:pPr>
        <w:jc w:val="both"/>
        <w:ind w:firstLine="3"/>
        <w:spacing w:after="0" w:line="281" w:lineRule="auto"/>
        <w:tabs>
          <w:tab w:leader="none" w:pos="2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increasing total capacity under the facility from $2.25 billion to $2.75 billion; (ii) establishment of a $750 million accordion feature that may be used to increase total capacity in future periods; (iii) extending the term through June 2023 and</w:t>
      </w:r>
    </w:p>
    <w:p>
      <w:pPr>
        <w:spacing w:after="0" w:line="1" w:lineRule="exact"/>
        <w:rPr>
          <w:rFonts w:ascii="Arial" w:cs="Arial" w:eastAsia="Arial" w:hAnsi="Arial"/>
          <w:sz w:val="16"/>
          <w:szCs w:val="16"/>
          <w:color w:val="auto"/>
        </w:rPr>
      </w:pPr>
    </w:p>
    <w:p>
      <w:pPr>
        <w:jc w:val="both"/>
        <w:ind w:firstLine="3"/>
        <w:spacing w:after="0" w:line="253" w:lineRule="auto"/>
        <w:tabs>
          <w:tab w:leader="none" w:pos="3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inclusion of two one-year extension options. Waste Management of Canada Corporation and WM Quebec Inc., each an indirect wholly-owned subsidiary of WM, were added as additional borrowers under the $2.75 billion revolving credit facility, and the agreement permits borrowing in Canadian dollars up to the U.S. dollar equivalent of $375 million, with such borrowings to be repaid in Canadian dollars. WM Holdings, a wholly-owned subsidiary of WM, guarantees all the obligations under the $2.75 billion revolving credit facility.</w:t>
      </w:r>
    </w:p>
    <w:p>
      <w:pPr>
        <w:spacing w:after="0" w:line="1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$2.75 billion revolving credit facility provides us with credit capacity to be used for either cash borrowings or to support letters of credit or commercial paper. The rates we pay for outstanding U.S. or Canadian loans are generally based on LIBOR or CDOR, respectively, plus a spread depending on the Company’s debt rating assigned by Moody’s Investors Service and Standard and Poor’s. The spread above LIBOR or CDOR ranges from 0.69% to 1.05%. Our $2.75 billion revolving credit facility was drafted in anticipation of the phaseout of LIBOR and contains provisions to replace LIBOR with an appropriate alternate benchmark rate as needed. As of December 31, 2018, we had C$15 million, or $11 million, of Canadian borrowings outstanding under this facility. We had $587 million of letters of credit issued and $990 million of outstanding borrowings under our commercial paper program, both supported by this facility, leaving unused and available credit capacity of $1.2 billion as of December 31, 2018.</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 days</w:t>
      </w:r>
      <w:r>
        <w:rPr>
          <w:rFonts w:ascii="Arial" w:cs="Arial" w:eastAsia="Arial" w:hAnsi="Arial"/>
          <w:sz w:val="16"/>
          <w:szCs w:val="16"/>
          <w:i w:val="1"/>
          <w:iCs w:val="1"/>
          <w:color w:val="auto"/>
        </w:rPr>
        <w:t xml:space="preserve"> </w:t>
      </w:r>
      <w:r>
        <w:rPr>
          <w:rFonts w:ascii="Arial" w:cs="Arial" w:eastAsia="Arial" w:hAnsi="Arial"/>
          <w:sz w:val="16"/>
          <w:szCs w:val="16"/>
          <w:color w:val="auto"/>
        </w:rPr>
        <w:t>at competitive interest rates. The rates we pay for outstanding borrowings are based on the term of the notes. The commercial paper program is fully supported by our $2.75 billion revolving credit facility. In June 2018, we amended our commercial paper program, increasing our ability to borrow funds from $1.5 billion to $2.75 billion, provided that the aggregate outstanding amount of commercial paper borrowings, together with borrowings and issued letters of credit under the $2.75 billion revolving credit facility, shall not at any time exceed the aggregate authorized borrowing capacity of such facility. As of December 31, 2018, we had $990 million of outstanding borrowings under our commercial paper program.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Canadian Term Loan and Revolving Credit Facility — </w:t>
      </w:r>
      <w:r>
        <w:rPr>
          <w:rFonts w:ascii="Arial" w:cs="Arial" w:eastAsia="Arial" w:hAnsi="Arial"/>
          <w:sz w:val="16"/>
          <w:szCs w:val="16"/>
          <w:color w:val="auto"/>
        </w:rPr>
        <w:t>In August 2018, we terminated our Canadian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as discussed further below. Prior to its termination, the Canadian credit agreement provided the Company with</w:t>
      </w:r>
    </w:p>
    <w:p>
      <w:pPr>
        <w:ind w:firstLine="3"/>
        <w:spacing w:after="0" w:line="261" w:lineRule="auto"/>
        <w:tabs>
          <w:tab w:leader="none" w:pos="2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C$50 million of revolving credit capacity to be used for borrowings or letters of credit and (ii) C$460 million of non-revolving term credit that was prepayable without penalty.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December 31, 2018, we had utilized $556 million of other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which are both committed and uncommitted, with terms maturing through December 2020.</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During the first half of 2018, we borrowed and repaid $28 million under our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which we amended in June 2018, as discussed above. During the second half of 2018, we had net cash Canadian borrowings of C$15 million, or $11 million, under our $2.75 billion revolving credit facility, a portion of which was used to repay net advances under our Canadian term loan, as discussed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year ended December 31, 2018, we had net cash borrowings of $453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(net of the related discount on issuance) for general corporate purposes.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Canadian Term Loan — </w:t>
      </w:r>
      <w:r>
        <w:rPr>
          <w:rFonts w:ascii="Arial" w:cs="Arial" w:eastAsia="Arial" w:hAnsi="Arial"/>
          <w:sz w:val="18"/>
          <w:szCs w:val="18"/>
          <w:color w:val="auto"/>
        </w:rPr>
        <w:t>Through August 2018, we repaid the remaining balance of C$142 million, or $109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Canadian term loan and revolving credit facility and subsequently terminated our Canadian credit agreement. The remaining change in the carrying value of outstanding borrowings under our Canadian term loan and revolving credit facility is due to foreign currency translation.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We issued $80 million of new tax-exempt bonds in 2018. The proceeds from the issuance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bonds were deposited directly into a restricted trust fund and may only be used for the specific purpose for which the money was raised, which is generally to finance expenditures for landfill and solid waste disposal facility construction and development. Additionally, during the year ended December 31, 2018, we repaid $62 million of our tax-exempt bonds with available cash at their scheduled maturities. In the fourth quarter of 2018, we elected to refund and reissue $105 million of tax-exempt bonds to extend the maturities.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Leases and Other — </w:t>
      </w:r>
      <w:r>
        <w:rPr>
          <w:rFonts w:ascii="Arial" w:cs="Arial" w:eastAsia="Arial" w:hAnsi="Arial"/>
          <w:sz w:val="18"/>
          <w:szCs w:val="18"/>
          <w:color w:val="auto"/>
        </w:rPr>
        <w:t>The increase in our capital leases and other debt obligations in 2018 is related to our recent</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low-income housing investment discussed in Note 8 and new capital leases, which increased our debt obligations by $250 million, offset by $60 million of net cash repayments and $50 million in divestitures.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Scheduled Debt Payments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Principal payments of our debt and capital leases for the next five years and thereafter, based on scheduled maturities are as follows: $1,166 million in 2019, $780 million in 2020, $584 million in 2021, $622 million in 2022, $614 million in 2023 and $6,382 million thereafter. Our recorded debt and capital lease obligations include non-cash adjustments associated with debt issuance costs, discounts, premiums and fair value adjustments attributable to terminated interest rate derivatives, which have been excluded from these amounts because they will not result in cash payments.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2016, our Canadian subsidiaries repaid C$370 million of intercompany debt to WM Holdings with proceeds from our Canadian term loan. Concurrent with the repayment of the intercompany debt, we terminated the related cross-currency swaps and received $67 million in cash. The cash received from our termination of these swaps was classified as a change in other current assets and other assets within net cash provided by operating activities in the Consolidated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 of Cash Flows. In addition, we recognized $8 million of expense associated with the termination of these swaps in 2016, which was included in other, net in the Consolidated Statement of Operations.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debt balances are generally unsecured, except for capital leases and the notes payable associated with our investments in low-income housing properties.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terms of certain of our financing arrangements require that we comply with financial and other covenants. Our most restrictive financial covenant is the one contained in our $2.75 billion revolving credit facility, which sets forth a maximum total debt to consolidated earnings before interest, taxes, depreciation and amortization ratio (the “Leverage Ratio”). This covenant requires that the Leverage Ratio for the preceding four fiscal quarters will not be more than 3.5 to 1, provided that if an acquisition permitted under the $2.75 billion revolving credit facility involving aggregate consideration in excess of $200 million occurs during the fiscal quarter, the Company shall have the right to increase the Leverage Ratio to 4.0 to 1 during such fiscal quarter and for the following three fiscal quarters (the “Elevated Leverage Ratio Period”). There shall be no more than two Elevated Leverage Ratio Periods during the term of the $2.75 billion revolving credit facility, and the Leverage Ratio must return to 3.5 to 1 for at least one fiscal quarter between Elevated Leverage Ratio Periods. The calculation of all components used in the Leverage Ratio covenant are as defined in the $2.75 billion revolving credit facility.</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$2.75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make certain investments and engage in mergers and consolidations. We monitor our compliance with these restrictions, but do not believe that they significantly impact our ability to enter into investing or financing arrangements typical for our business. As of December 31, 2018 and 2017, we were in compliance with all covenants and restrictions under our financing arrangements that may have a material effect on our Consolidated Financial Statements.</w:t>
      </w:r>
    </w:p>
    <w:p>
      <w:pPr>
        <w:spacing w:after="0" w:line="201"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tax expense consisted of the following for the years ended December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Federal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9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0"/>
        </w:trPr>
        <w:tc>
          <w:tcPr>
            <w:tcW w:w="294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State</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9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851"/>
        </w:trPr>
        <w:tc>
          <w:tcPr>
            <w:tcW w:w="2940" w:type="dxa"/>
            <w:vAlign w:val="bottom"/>
          </w:tcPr>
          <w:p>
            <w:pPr>
              <w:spacing w:after="0"/>
              <w:rPr>
                <w:sz w:val="24"/>
                <w:szCs w:val="24"/>
                <w:color w:val="auto"/>
              </w:rPr>
            </w:pPr>
          </w:p>
        </w:tc>
        <w:tc>
          <w:tcPr>
            <w:tcW w:w="3360" w:type="dxa"/>
            <w:vAlign w:val="bottom"/>
          </w:tcPr>
          <w:p>
            <w:pPr>
              <w:jc w:val="right"/>
              <w:ind w:right="159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U.S. federal statutory income tax rate is reconciled to the effective income tax rate for the years ended December 31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700" w:type="dxa"/>
            <w:vAlign w:val="bottom"/>
          </w:tcPr>
          <w:p>
            <w:pPr>
              <w:jc w:val="right"/>
              <w:spacing w:after="0"/>
              <w:rPr>
                <w:sz w:val="20"/>
                <w:szCs w:val="20"/>
                <w:color w:val="auto"/>
              </w:rPr>
            </w:pPr>
            <w:r>
              <w:rPr>
                <w:rFonts w:ascii="Arial" w:cs="Arial" w:eastAsia="Arial" w:hAnsi="Arial"/>
                <w:sz w:val="18"/>
                <w:szCs w:val="18"/>
                <w:color w:val="auto"/>
              </w:rPr>
              <w:t>4.41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Impacts of enactment of tax reform</w:t>
            </w:r>
          </w:p>
        </w:tc>
        <w:tc>
          <w:tcPr>
            <w:tcW w:w="11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(0.51)</w:t>
            </w:r>
          </w:p>
        </w:tc>
        <w:tc>
          <w:tcPr>
            <w:tcW w:w="10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(24.14)</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Federal tax credits</w:t>
            </w: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(2.44)</w:t>
            </w:r>
          </w:p>
        </w:tc>
        <w:tc>
          <w:tcPr>
            <w:tcW w:w="1060" w:type="dxa"/>
            <w:vAlign w:val="bottom"/>
            <w:gridSpan w:val="2"/>
          </w:tcPr>
          <w:p>
            <w:pPr>
              <w:jc w:val="right"/>
              <w:ind w:right="290"/>
              <w:spacing w:after="0"/>
              <w:rPr>
                <w:sz w:val="20"/>
                <w:szCs w:val="20"/>
                <w:color w:val="auto"/>
              </w:rPr>
            </w:pPr>
            <w:r>
              <w:rPr>
                <w:rFonts w:ascii="Arial" w:cs="Arial" w:eastAsia="Arial" w:hAnsi="Arial"/>
                <w:sz w:val="18"/>
                <w:szCs w:val="18"/>
                <w:color w:val="auto"/>
              </w:rPr>
              <w:t>(2.31)</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(3.08)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1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Tax impact of equity-based compensation transactions</w:t>
            </w: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(0.54)</w:t>
            </w:r>
          </w:p>
        </w:tc>
        <w:tc>
          <w:tcPr>
            <w:tcW w:w="1060" w:type="dxa"/>
            <w:vAlign w:val="bottom"/>
            <w:gridSpan w:val="2"/>
          </w:tcPr>
          <w:p>
            <w:pPr>
              <w:jc w:val="right"/>
              <w:ind w:right="290"/>
              <w:spacing w:after="0"/>
              <w:rPr>
                <w:sz w:val="20"/>
                <w:szCs w:val="20"/>
                <w:color w:val="auto"/>
              </w:rPr>
            </w:pPr>
            <w:r>
              <w:rPr>
                <w:rFonts w:ascii="Arial" w:cs="Arial" w:eastAsia="Arial" w:hAnsi="Arial"/>
                <w:sz w:val="18"/>
                <w:szCs w:val="18"/>
                <w:color w:val="auto"/>
              </w:rPr>
              <w:t>(1.45)</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impairments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0.43</w:t>
            </w:r>
          </w:p>
        </w:tc>
        <w:tc>
          <w:tcPr>
            <w:tcW w:w="400" w:type="dxa"/>
            <w:vAlign w:val="bottom"/>
          </w:tcPr>
          <w:p>
            <w:pPr>
              <w:spacing w:after="0"/>
              <w:rPr>
                <w:sz w:val="18"/>
                <w:szCs w:val="18"/>
                <w:color w:val="auto"/>
              </w:rPr>
            </w:pPr>
          </w:p>
        </w:tc>
        <w:tc>
          <w:tcPr>
            <w:tcW w:w="1060" w:type="dxa"/>
            <w:vAlign w:val="bottom"/>
            <w:gridSpan w:val="2"/>
          </w:tcPr>
          <w:p>
            <w:pPr>
              <w:jc w:val="right"/>
              <w:ind w:right="290"/>
              <w:spacing w:after="0"/>
              <w:rPr>
                <w:sz w:val="20"/>
                <w:szCs w:val="20"/>
                <w:color w:val="auto"/>
              </w:rPr>
            </w:pPr>
            <w:r>
              <w:rPr>
                <w:rFonts w:ascii="Arial" w:cs="Arial" w:eastAsia="Arial" w:hAnsi="Arial"/>
                <w:sz w:val="18"/>
                <w:szCs w:val="18"/>
                <w:color w:val="auto"/>
              </w:rPr>
              <w:t>(0.55)</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(0.63)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spacing w:after="0"/>
              <w:rPr>
                <w:sz w:val="18"/>
                <w:szCs w:val="18"/>
                <w:color w:val="auto"/>
              </w:rPr>
            </w:pPr>
          </w:p>
        </w:tc>
      </w:tr>
      <w:tr>
        <w:trPr>
          <w:trHeight w:val="217"/>
        </w:trPr>
        <w:tc>
          <w:tcPr>
            <w:tcW w:w="6020" w:type="dxa"/>
            <w:vAlign w:val="bottom"/>
          </w:tcPr>
          <w:p>
            <w:pPr>
              <w:ind w:left="220"/>
              <w:spacing w:after="0"/>
              <w:rPr>
                <w:sz w:val="20"/>
                <w:szCs w:val="20"/>
                <w:color w:val="auto"/>
              </w:rPr>
            </w:pPr>
            <w:r>
              <w:rPr>
                <w:rFonts w:ascii="Arial" w:cs="Arial" w:eastAsia="Arial" w:hAnsi="Arial"/>
                <w:sz w:val="18"/>
                <w:szCs w:val="18"/>
                <w:color w:val="auto"/>
              </w:rPr>
              <w:t>Effective income tax rate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comparability of our income tax expense for the reported periods has been primarily affected by (i) variations in our income before income taxes; (ii) impacts of enactment of tax reform; (iii) federal tax credits; (iv) tax audit settlements;</w:t>
      </w:r>
    </w:p>
    <w:p>
      <w:pPr>
        <w:ind w:left="300" w:hanging="297"/>
        <w:spacing w:after="0"/>
        <w:tabs>
          <w:tab w:leader="none" w:pos="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adjustments to our accruals and related deferred taxes; (vi) the realization of state net operating losses and credits;</w:t>
      </w:r>
    </w:p>
    <w:p>
      <w:pPr>
        <w:spacing w:after="0" w:line="20" w:lineRule="exact"/>
        <w:rPr>
          <w:rFonts w:ascii="Arial" w:cs="Arial" w:eastAsia="Arial" w:hAnsi="Arial"/>
          <w:sz w:val="17"/>
          <w:szCs w:val="17"/>
          <w:color w:val="auto"/>
        </w:rPr>
      </w:pPr>
    </w:p>
    <w:p>
      <w:pPr>
        <w:ind w:firstLine="3"/>
        <w:spacing w:after="0" w:line="261"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excess tax benefits associated with equity-based compensation transactions and (viii) the tax implications of impairments.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financial reporting purposes, income before income taxes by source for the years ended December 31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7"/>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Enactment of Tax Reform – </w:t>
      </w:r>
      <w:r>
        <w:rPr>
          <w:rFonts w:ascii="Arial" w:cs="Arial" w:eastAsia="Arial" w:hAnsi="Arial"/>
          <w:sz w:val="16"/>
          <w:szCs w:val="16"/>
          <w:color w:val="auto"/>
        </w:rPr>
        <w:t>The Act was signed into law on December 22, 2017. The most significant impacts of the Act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 include a decrease in the federal corporate income tax rate from 35% to 21% effective January 1, 2018 and a one-time, mandatory transition tax on deemed repatriation of previously tax-deferred and unremitted foreign earnings.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ASU 2018-05 and SAB 118, the Company recognized the provisional tax impacts of the Act to the Company in 2017. For the year ended December 31, 2017, we recognized a reduction in our income tax expense of $529 million consisting of a net tax benefit of $595 million for the remeasurement of our deferred income tax assets and liabilities due to the decrease in the federal corporate income tax rate, partially offset by income tax expense of $66 million for the one-time, mandatory transition tax.</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the year ended December 31, 2018, we recognized measurement period adjustments to the provisional tax impacts, as discussed above, primarily due to the filing of our income tax returns resulting in a reduction in our income tax expense of $12 million. The reduction consisted of a net income tax benefit of (i) $7 million for the remeasurement of our deferred income tax assets and liabilities and other reserves due to the decrease in the federal corporate income tax rate and</w:t>
      </w:r>
    </w:p>
    <w:p>
      <w:pPr>
        <w:spacing w:after="0" w:line="2" w:lineRule="exact"/>
        <w:rPr>
          <w:sz w:val="20"/>
          <w:szCs w:val="20"/>
          <w:color w:val="auto"/>
        </w:rPr>
      </w:pPr>
    </w:p>
    <w:p>
      <w:pPr>
        <w:jc w:val="both"/>
        <w:ind w:firstLine="3"/>
        <w:spacing w:after="0" w:line="277" w:lineRule="auto"/>
        <w:tabs>
          <w:tab w:leader="none" w:pos="277"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$5 million adjustment for the one-time, mandatory transition tax. The Company has completed the accounting for the impacts of the Act, although adjustments may be necessary in future periods due to potential technical corrections to the Act and/or regulatory guidance that may be issued by the Internal Revenue Service (“IRS”).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Act provides for a territorial tax system, and it includes two new U.S. tax base erosion provisions, the global intangible low-taxed income (“GILTI”) tax and the base erosion and anti-abuse tax (“BEAT”). For the year ended December 31, 2018, we did not have a material impact to our consolidated financial statements from GILTI and no minimum tax from BEAT. The Company does not expect that it will be subject to any material incremental U.S. tax on GILTI in future periods and has elected to account for any potential GILTI tax in the period in which it is incurred, therefore no deferred income tax impacts of GILTI are provided in our consolidated financial statements for the year ended December 31, 2018. In addition, the Company does not expect it will be subject to minimum tax pursuant to the BEAT.</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Investments Qualifying for Federal Tax Credits — </w:t>
      </w:r>
      <w:r>
        <w:rPr>
          <w:rFonts w:ascii="Arial" w:cs="Arial" w:eastAsia="Arial" w:hAnsi="Arial"/>
          <w:sz w:val="17"/>
          <w:szCs w:val="17"/>
          <w:color w:val="auto"/>
        </w:rPr>
        <w:t>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On September 28, 2018 we acquired an additional noncontrolling interest in a limited liability company established to invest in and manage low-income housing properties. Our consideration for this investment totaled $157 million, which was comprised of a $139 million note payable and an initial cash payment of $18 million. We support the operations of these entities in exchange for a pro-rata share of the tax credits they generate. The low-income housing investments and the coal facility’s refinement processes qualify for federal tax credits that we expect to realize through 2030 under Sections 42 and 45D, and through 2019 under Section 45, respectively, of the Internal Revenue Code.</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2018, 2017 and 2016, we recognized $30 million, $30 million and $31 million of net losses and a reduction in our income tax expense of $57 million, $51 million and $55 million, respectively, primarily due to tax credits realized from these investments. Interest expense associated with our investments in low-income housing properties was not material for the periods presented. See Note 18 for additional information related to these unconsolidated variable interest entities.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Federal Tax Credits — </w:t>
      </w:r>
      <w:r>
        <w:rPr>
          <w:rFonts w:ascii="Arial" w:cs="Arial" w:eastAsia="Arial" w:hAnsi="Arial"/>
          <w:sz w:val="18"/>
          <w:szCs w:val="18"/>
          <w:color w:val="auto"/>
        </w:rPr>
        <w:t>During 2018, 2017 and 2016, we recognized federal tax credits in addition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realized from our investments in low-income housing properties and the refined coal facility, resulting in a reduction in our income tax expense of $10 million, $13 million and $14 million, respectively.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We file income tax returns in the U.S. and Canada, as well as various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We are currently under audit by the IRS, the Canada Revenue Agency and various state and local taxing authorities. Our audits are in various stages of completion. During the reported periods, we closed various tax audits and the settlements resulted in a reduction in our income tax expense of $40 million, $2 million and $11 million for the years ended December 31, 2018, 2017 and 2016, respectively.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We are currently in the examination phase of IRS audits for the 2017 and 2018 tax years and expect these audits to be completed within the next 15 months. We are also currently undergoing audits by various state and local jurisdictions for tax years that date back to 2011. Additionally, we are under audit by the Canada Revenue Agency for the 2014 tax year.</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Adjustments to Accruals and Related Deferred Taxes </w:t>
      </w:r>
      <w:r>
        <w:rPr>
          <w:rFonts w:ascii="Arial" w:cs="Arial" w:eastAsia="Arial" w:hAnsi="Arial"/>
          <w:sz w:val="17"/>
          <w:szCs w:val="17"/>
          <w:color w:val="auto"/>
        </w:rPr>
        <w:t>— Adjustments to our accruals and related deferred taxes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filing of our income tax returns and changes in state laws resulted in a reduction in our income tax expense of $35 million, $5 million and $10 million for the years ended December 31, 2018, 2017 and 2016, respectively.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adjustment to our deferred taxes to reduce our deferred tax liability based on an analysis of certain deferred tax balances also resulted in a net reduction of our income tax expense of $17 million for the year ended December 31, 2018 and is not material to our consolidated financial statements for the reported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State Net Operating Losses and Credits — </w:t>
      </w:r>
      <w:r>
        <w:rPr>
          <w:rFonts w:ascii="Arial" w:cs="Arial" w:eastAsia="Arial" w:hAnsi="Arial"/>
          <w:sz w:val="17"/>
          <w:szCs w:val="17"/>
          <w:color w:val="auto"/>
        </w:rPr>
        <w:t>During 2018, 2017 and 2016, we recognized state net operating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resulting in a reduction in our income tax expense of $22 million, $12 million and $10 million, respectively.</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2018 and 2017, we recognized excess tax benefits related to the vesting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equity-based compensation awards resulting in a reduction in our income tax expense of $17 million and $37 million, respectively.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the reported periods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for tax purposes. Had the charges been fully deductible, our income tax expense would have been reduced by $1 million, $15 million and $15 million for the years ended December 31, 2018, 2017 and 2016, respectively. See Note 11 for more information related to our impairment charges.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Unremitted Earnings in Foreign Subsidiaries — </w:t>
      </w:r>
      <w:r>
        <w:rPr>
          <w:rFonts w:ascii="Arial" w:cs="Arial" w:eastAsia="Arial" w:hAnsi="Arial"/>
          <w:sz w:val="18"/>
          <w:szCs w:val="18"/>
          <w:color w:val="auto"/>
        </w:rPr>
        <w:t>No additional income taxes have been provided for any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undistributed foreign earnings not subject to the one-time, mandatory transition tax, or any additional outside basis difference, as these amounts continue to be indefinitely reinvested in foreign operations.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deferred tax liabilities as of December 31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Net operating loss, capital loss and tax credit carry-forwards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Miscellaneous and other reserves, net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17"/>
        </w:trPr>
        <w:tc>
          <w:tcPr>
            <w:tcW w:w="710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valuation allowance decreased by $3 million in 2018 primarily due to non-benefited foreign tax credit carry-forwards.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we had $1.9 billion of state net operating loss carry-forwards with expiration dates through 2038. We also had $443 million of federal capital loss carry-forwards with expiration dates through 2021, $35 million of foreign tax credit carry-forwards with expiration dates through 2028 and $20 million of state tax credit carry-forwards with expiration dates through 2034.</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for tax positions of prior years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Lapse of statute of limitations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liabilities are included as a component of other long-term liabilities in our Consolidated Balance Sheets because the Company does not anticipate that settlement of the liabilities will require payment of cash within the next 12 months. As of December 31, 2018, we have $31 million of net unrecognized tax benefits that, if recognized in future periods, would impact our effective income tax rate.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 interest expense related to unrecognized tax benefits in our income tax expense, which was not material for the reported periods. We did not have any accrued liabilities or expense for penalties related to unrecognized tax benefits for the reported periods.</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hired on or after January 1, 2018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$80 million, $70 million and $64 million for the years ended December 31, 2018, 2017 and 2016, respectively.</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Defined Benefit Plans (other than multiemployer defined benefit pension plans discussed below) — </w:t>
      </w:r>
      <w:r>
        <w:rPr>
          <w:rFonts w:ascii="Arial" w:cs="Arial" w:eastAsia="Arial" w:hAnsi="Arial"/>
          <w:sz w:val="16"/>
          <w:szCs w:val="16"/>
          <w:color w:val="auto"/>
        </w:rPr>
        <w:t>WM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2018, the combined benefit obligation of these pension plans was $120 million, and the plans had $117 million of combined plan assets, resulting in an aggregate unfunded benefit obligation for these plans of $3 million. As of December 31, 2017, the combined benefit obligation of these pension plans was $126 million, and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plans had $120 million of combined plan assets, resulting in an aggregate unfunded benefit obligation for these plans of $6 million.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$18 million and $23 million as of December 31, 2018 and 2017, respectively.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accrued benefit liabilities for our defined benefit pension and other post-retirement plans were $21 million and $29 million as of December 31, 2018 and 2017, respectively, and are included as components of accrued liabilities and long-term other liabilities in our Consolidated Balance Sheets.</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w:t>
      </w:r>
      <w:r>
        <w:rPr>
          <w:rFonts w:ascii="Arial" w:cs="Arial" w:eastAsia="Arial" w:hAnsi="Arial"/>
          <w:sz w:val="16"/>
          <w:szCs w:val="16"/>
          <w:i w:val="1"/>
          <w:iCs w:val="1"/>
          <w:color w:val="auto"/>
        </w:rPr>
        <w:t xml:space="preserve"> </w:t>
      </w:r>
      <w:r>
        <w:rPr>
          <w:rFonts w:ascii="Arial" w:cs="Arial" w:eastAsia="Arial" w:hAnsi="Arial"/>
          <w:sz w:val="16"/>
          <w:szCs w:val="16"/>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w:t>
      </w:r>
    </w:p>
    <w:p>
      <w:pPr>
        <w:spacing w:after="0" w:line="5" w:lineRule="exact"/>
        <w:rPr>
          <w:sz w:val="20"/>
          <w:szCs w:val="20"/>
          <w:color w:val="auto"/>
        </w:rPr>
      </w:pPr>
    </w:p>
    <w:p>
      <w:pPr>
        <w:jc w:val="both"/>
        <w:ind w:firstLine="3"/>
        <w:spacing w:after="0" w:line="255" w:lineRule="auto"/>
        <w:tabs>
          <w:tab w:leader="none" w:pos="3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 amounts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Expiration Date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Pension Protection Act</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of Collective</w:t>
            </w: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EIN/Pension Plan</w:t>
            </w:r>
          </w:p>
        </w:tc>
        <w:tc>
          <w:tcPr>
            <w:tcW w:w="15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Reported Status(a)</w:t>
            </w:r>
          </w:p>
        </w:tc>
        <w:tc>
          <w:tcPr>
            <w:tcW w:w="920" w:type="dxa"/>
            <w:vAlign w:val="bottom"/>
            <w:gridSpan w:val="3"/>
          </w:tcPr>
          <w:p>
            <w:pPr>
              <w:jc w:val="center"/>
              <w:ind w:right="157"/>
              <w:spacing w:after="0"/>
              <w:rPr>
                <w:sz w:val="20"/>
                <w:szCs w:val="20"/>
                <w:color w:val="auto"/>
              </w:rPr>
            </w:pPr>
            <w:r>
              <w:rPr>
                <w:rFonts w:ascii="Arial" w:cs="Arial" w:eastAsia="Arial" w:hAnsi="Arial"/>
                <w:sz w:val="13"/>
                <w:szCs w:val="13"/>
                <w:b w:val="1"/>
                <w:bCs w:val="1"/>
                <w:color w:val="auto"/>
              </w:rPr>
              <w:t>FIP/RP</w:t>
            </w:r>
          </w:p>
        </w:tc>
        <w:tc>
          <w:tcPr>
            <w:tcW w:w="1340" w:type="dxa"/>
            <w:vAlign w:val="bottom"/>
            <w:gridSpan w:val="6"/>
          </w:tcPr>
          <w:p>
            <w:pPr>
              <w:jc w:val="right"/>
              <w:ind w:right="13"/>
              <w:spacing w:after="0"/>
              <w:rPr>
                <w:sz w:val="20"/>
                <w:szCs w:val="20"/>
                <w:color w:val="auto"/>
              </w:rPr>
            </w:pPr>
            <w:r>
              <w:rPr>
                <w:rFonts w:ascii="Arial" w:cs="Arial" w:eastAsia="Arial" w:hAnsi="Arial"/>
                <w:sz w:val="13"/>
                <w:szCs w:val="13"/>
                <w:b w:val="1"/>
                <w:bCs w:val="1"/>
                <w:color w:val="auto"/>
              </w:rPr>
              <w:t>Contributions(d)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129"/>
        </w:trPr>
        <w:tc>
          <w:tcPr>
            <w:tcW w:w="26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Pension Fund</w:t>
            </w:r>
          </w:p>
        </w:tc>
        <w:tc>
          <w:tcPr>
            <w:tcW w:w="140" w:type="dxa"/>
            <w:vAlign w:val="bottom"/>
          </w:tcPr>
          <w:p>
            <w:pPr>
              <w:spacing w:after="0"/>
              <w:rPr>
                <w:sz w:val="11"/>
                <w:szCs w:val="11"/>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2018</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2017</w:t>
            </w:r>
          </w:p>
        </w:tc>
        <w:tc>
          <w:tcPr>
            <w:tcW w:w="140" w:type="dxa"/>
            <w:vAlign w:val="bottom"/>
          </w:tcPr>
          <w:p>
            <w:pPr>
              <w:spacing w:after="0"/>
              <w:rPr>
                <w:sz w:val="11"/>
                <w:szCs w:val="11"/>
                <w:color w:val="auto"/>
              </w:rPr>
            </w:pP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5"/>
              </w:rPr>
              <w:t>Status(b)(c)</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2018</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2017</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2016</w:t>
            </w:r>
          </w:p>
        </w:tc>
        <w:tc>
          <w:tcPr>
            <w:tcW w:w="1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5"/>
              </w:rPr>
              <w:t>Agreement(s)</w:t>
            </w:r>
          </w:p>
        </w:tc>
        <w:tc>
          <w:tcPr>
            <w:tcW w:w="0" w:type="dxa"/>
            <w:vAlign w:val="bottom"/>
          </w:tcPr>
          <w:p>
            <w:pPr>
              <w:spacing w:after="0"/>
              <w:rPr>
                <w:sz w:val="1"/>
                <w:szCs w:val="1"/>
                <w:color w:val="auto"/>
              </w:rPr>
            </w:pPr>
          </w:p>
        </w:tc>
      </w:tr>
      <w:tr>
        <w:trPr>
          <w:trHeight w:val="114"/>
        </w:trPr>
        <w:tc>
          <w:tcPr>
            <w:tcW w:w="260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EIN: 94-1133245;</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Implemented</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9"/>
              </w:rPr>
              <w:t>9/30/2021</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Plan Number: 001</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Declining</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Declining</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0" w:type="dxa"/>
            <w:vAlign w:val="bottom"/>
            <w:gridSpan w:val="2"/>
          </w:tcPr>
          <w:p>
            <w:pPr>
              <w:spacing w:after="0" w:line="121" w:lineRule="exact"/>
              <w:rPr>
                <w:sz w:val="20"/>
                <w:szCs w:val="20"/>
                <w:color w:val="auto"/>
              </w:rPr>
            </w:pPr>
            <w:r>
              <w:rPr>
                <w:rFonts w:ascii="Arial" w:cs="Arial" w:eastAsia="Arial" w:hAnsi="Arial"/>
                <w:sz w:val="13"/>
                <w:szCs w:val="13"/>
                <w:color w:val="auto"/>
                <w:w w:val="92"/>
              </w:rPr>
              <w:t>Suburban Teamsters of Northern Illinois Pension</w:t>
            </w:r>
          </w:p>
        </w:tc>
        <w:tc>
          <w:tcPr>
            <w:tcW w:w="1260" w:type="dxa"/>
            <w:vAlign w:val="bottom"/>
            <w:gridSpan w:val="3"/>
          </w:tcPr>
          <w:p>
            <w:pPr>
              <w:ind w:left="140"/>
              <w:spacing w:after="0" w:line="121" w:lineRule="exact"/>
              <w:rPr>
                <w:sz w:val="20"/>
                <w:szCs w:val="20"/>
                <w:color w:val="auto"/>
              </w:rPr>
            </w:pPr>
            <w:r>
              <w:rPr>
                <w:rFonts w:ascii="Arial" w:cs="Arial" w:eastAsia="Arial" w:hAnsi="Arial"/>
                <w:sz w:val="13"/>
                <w:szCs w:val="13"/>
                <w:color w:val="auto"/>
              </w:rPr>
              <w:t>EIN: 36-6155778;</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4"/>
              </w:rPr>
              <w:t>Endangered</w:t>
            </w:r>
          </w:p>
        </w:tc>
        <w:tc>
          <w:tcPr>
            <w:tcW w:w="920" w:type="dxa"/>
            <w:vAlign w:val="bottom"/>
            <w:gridSpan w:val="3"/>
          </w:tcPr>
          <w:p>
            <w:pPr>
              <w:jc w:val="center"/>
              <w:ind w:right="157"/>
              <w:spacing w:after="0" w:line="121" w:lineRule="exact"/>
              <w:rPr>
                <w:sz w:val="20"/>
                <w:szCs w:val="20"/>
                <w:color w:val="auto"/>
              </w:rPr>
            </w:pPr>
            <w:r>
              <w:rPr>
                <w:rFonts w:ascii="Arial" w:cs="Arial" w:eastAsia="Arial" w:hAnsi="Arial"/>
                <w:sz w:val="13"/>
                <w:szCs w:val="13"/>
                <w:color w:val="auto"/>
                <w:w w:val="87"/>
              </w:rPr>
              <w:t>Implemented</w:t>
            </w: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6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Plan</w:t>
            </w:r>
          </w:p>
        </w:tc>
        <w:tc>
          <w:tcPr>
            <w:tcW w:w="12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Plan Number: 001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through</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3/31/2023</w:t>
            </w:r>
          </w:p>
        </w:tc>
        <w:tc>
          <w:tcPr>
            <w:tcW w:w="0" w:type="dxa"/>
            <w:vAlign w:val="bottom"/>
          </w:tcPr>
          <w:p>
            <w:pPr>
              <w:spacing w:after="0"/>
              <w:rPr>
                <w:sz w:val="1"/>
                <w:szCs w:val="1"/>
                <w:color w:val="auto"/>
              </w:rPr>
            </w:pPr>
          </w:p>
        </w:tc>
      </w:tr>
      <w:tr>
        <w:trPr>
          <w:trHeight w:val="121"/>
        </w:trPr>
        <w:tc>
          <w:tcPr>
            <w:tcW w:w="2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Western Conference of Teamsters Pension Plan</w:t>
            </w:r>
          </w:p>
        </w:tc>
        <w:tc>
          <w:tcPr>
            <w:tcW w:w="1260" w:type="dxa"/>
            <w:vAlign w:val="bottom"/>
            <w:gridSpan w:val="3"/>
            <w:shd w:val="clear" w:color="auto" w:fill="CCEEFF"/>
          </w:tcPr>
          <w:p>
            <w:pPr>
              <w:ind w:left="140"/>
              <w:spacing w:after="0" w:line="121" w:lineRule="exact"/>
              <w:rPr>
                <w:sz w:val="20"/>
                <w:szCs w:val="20"/>
                <w:color w:val="auto"/>
              </w:rPr>
            </w:pPr>
            <w:r>
              <w:rPr>
                <w:rFonts w:ascii="Arial" w:cs="Arial" w:eastAsia="Arial" w:hAnsi="Arial"/>
                <w:sz w:val="13"/>
                <w:szCs w:val="13"/>
                <w:color w:val="auto"/>
              </w:rPr>
              <w:t>EIN: 91-6145047;</w:t>
            </w:r>
          </w:p>
        </w:tc>
        <w:tc>
          <w:tcPr>
            <w:tcW w:w="7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76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8"/>
              </w:rPr>
              <w:t>Not</w:t>
            </w:r>
          </w:p>
        </w:tc>
        <w:tc>
          <w:tcPr>
            <w:tcW w:w="920" w:type="dxa"/>
            <w:vAlign w:val="bottom"/>
            <w:gridSpan w:val="3"/>
            <w:shd w:val="clear" w:color="auto" w:fill="CCEEFF"/>
          </w:tcPr>
          <w:p>
            <w:pPr>
              <w:jc w:val="center"/>
              <w:ind w:right="157"/>
              <w:spacing w:after="0" w:line="121" w:lineRule="exact"/>
              <w:rPr>
                <w:sz w:val="20"/>
                <w:szCs w:val="20"/>
                <w:color w:val="auto"/>
              </w:rPr>
            </w:pPr>
            <w:r>
              <w:rPr>
                <w:rFonts w:ascii="Arial" w:cs="Arial" w:eastAsia="Arial" w:hAnsi="Arial"/>
                <w:sz w:val="13"/>
                <w:szCs w:val="13"/>
                <w:color w:val="auto"/>
                <w:w w:val="88"/>
              </w:rPr>
              <w:t>Not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Plan Number: 001</w:t>
            </w:r>
          </w:p>
        </w:tc>
        <w:tc>
          <w:tcPr>
            <w:tcW w:w="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920" w:type="dxa"/>
            <w:vAlign w:val="bottom"/>
            <w:gridSpan w:val="3"/>
            <w:shd w:val="clear" w:color="auto" w:fill="CCEEFF"/>
          </w:tcPr>
          <w:p>
            <w:pPr>
              <w:jc w:val="center"/>
              <w:ind w:right="157"/>
              <w:spacing w:after="0" w:line="135" w:lineRule="exact"/>
              <w:rPr>
                <w:sz w:val="20"/>
                <w:szCs w:val="20"/>
                <w:color w:val="auto"/>
              </w:rPr>
            </w:pPr>
            <w:r>
              <w:rPr>
                <w:rFonts w:ascii="Arial" w:cs="Arial" w:eastAsia="Arial" w:hAnsi="Arial"/>
                <w:sz w:val="13"/>
                <w:szCs w:val="13"/>
                <w:color w:val="auto"/>
                <w:w w:val="89"/>
              </w:rPr>
              <w:t>Applicable</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through</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or Critical</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left="77"/>
              <w:spacing w:after="0"/>
              <w:rPr>
                <w:sz w:val="20"/>
                <w:szCs w:val="20"/>
                <w:color w:val="auto"/>
              </w:rPr>
            </w:pPr>
            <w:r>
              <w:rPr>
                <w:rFonts w:ascii="Arial" w:cs="Arial" w:eastAsia="Arial" w:hAnsi="Arial"/>
                <w:sz w:val="13"/>
                <w:szCs w:val="13"/>
                <w:color w:val="auto"/>
                <w:w w:val="86"/>
              </w:rPr>
              <w:t>10/20/2023</w:t>
            </w:r>
          </w:p>
        </w:tc>
        <w:tc>
          <w:tcPr>
            <w:tcW w:w="0" w:type="dxa"/>
            <w:vAlign w:val="bottom"/>
          </w:tcPr>
          <w:p>
            <w:pPr>
              <w:spacing w:after="0"/>
              <w:rPr>
                <w:sz w:val="1"/>
                <w:szCs w:val="1"/>
                <w:color w:val="auto"/>
              </w:rPr>
            </w:pPr>
          </w:p>
        </w:tc>
      </w:tr>
      <w:tr>
        <w:trPr>
          <w:trHeight w:val="121"/>
        </w:trPr>
        <w:tc>
          <w:tcPr>
            <w:tcW w:w="2600" w:type="dxa"/>
            <w:vAlign w:val="bottom"/>
            <w:gridSpan w:val="2"/>
          </w:tcPr>
          <w:p>
            <w:pPr>
              <w:spacing w:after="0" w:line="121" w:lineRule="exact"/>
              <w:rPr>
                <w:sz w:val="20"/>
                <w:szCs w:val="20"/>
                <w:color w:val="auto"/>
              </w:rPr>
            </w:pPr>
            <w:r>
              <w:rPr>
                <w:rFonts w:ascii="Arial" w:cs="Arial" w:eastAsia="Arial" w:hAnsi="Arial"/>
                <w:sz w:val="13"/>
                <w:szCs w:val="13"/>
                <w:color w:val="auto"/>
                <w:w w:val="90"/>
              </w:rPr>
              <w:t>Western Pennsylvania Teamsters and Employers</w:t>
            </w:r>
          </w:p>
        </w:tc>
        <w:tc>
          <w:tcPr>
            <w:tcW w:w="1260" w:type="dxa"/>
            <w:vAlign w:val="bottom"/>
            <w:gridSpan w:val="3"/>
          </w:tcPr>
          <w:p>
            <w:pPr>
              <w:ind w:left="140"/>
              <w:spacing w:after="0" w:line="121" w:lineRule="exact"/>
              <w:rPr>
                <w:sz w:val="20"/>
                <w:szCs w:val="20"/>
                <w:color w:val="auto"/>
              </w:rPr>
            </w:pPr>
            <w:r>
              <w:rPr>
                <w:rFonts w:ascii="Arial" w:cs="Arial" w:eastAsia="Arial" w:hAnsi="Arial"/>
                <w:sz w:val="13"/>
                <w:szCs w:val="13"/>
                <w:color w:val="auto"/>
              </w:rPr>
              <w:t>EIN: 25-6029946;</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2"/>
              </w:rPr>
              <w:t>Critical and</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0"/>
              </w:rPr>
              <w:t>Critical</w:t>
            </w:r>
          </w:p>
        </w:tc>
        <w:tc>
          <w:tcPr>
            <w:tcW w:w="920" w:type="dxa"/>
            <w:vAlign w:val="bottom"/>
            <w:gridSpan w:val="3"/>
          </w:tcPr>
          <w:p>
            <w:pPr>
              <w:jc w:val="center"/>
              <w:ind w:right="157"/>
              <w:spacing w:after="0" w:line="121" w:lineRule="exact"/>
              <w:rPr>
                <w:sz w:val="20"/>
                <w:szCs w:val="20"/>
                <w:color w:val="auto"/>
              </w:rPr>
            </w:pPr>
            <w:r>
              <w:rPr>
                <w:rFonts w:ascii="Arial" w:cs="Arial" w:eastAsia="Arial" w:hAnsi="Arial"/>
                <w:sz w:val="13"/>
                <w:szCs w:val="13"/>
                <w:color w:val="auto"/>
                <w:w w:val="87"/>
              </w:rPr>
              <w:t>Implemented</w:t>
            </w:r>
          </w:p>
        </w:tc>
        <w:tc>
          <w:tcPr>
            <w:tcW w:w="5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97"/>
              </w:rPr>
              <w:t>(f)</w:t>
            </w:r>
          </w:p>
        </w:tc>
        <w:tc>
          <w:tcPr>
            <w:tcW w:w="0" w:type="dxa"/>
            <w:vAlign w:val="bottom"/>
          </w:tcPr>
          <w:p>
            <w:pPr>
              <w:spacing w:after="0"/>
              <w:rPr>
                <w:sz w:val="1"/>
                <w:szCs w:val="1"/>
                <w:color w:val="auto"/>
              </w:rPr>
            </w:pPr>
          </w:p>
        </w:tc>
      </w:tr>
      <w:tr>
        <w:trPr>
          <w:trHeight w:val="149"/>
        </w:trPr>
        <w:tc>
          <w:tcPr>
            <w:tcW w:w="2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Pension Plan</w:t>
            </w:r>
          </w:p>
        </w:tc>
        <w:tc>
          <w:tcPr>
            <w:tcW w:w="1260" w:type="dxa"/>
            <w:vAlign w:val="bottom"/>
            <w:tcBorders>
              <w:bottom w:val="single" w:sz="8" w:color="CCEEFF"/>
            </w:tcBorders>
            <w:gridSpan w:val="3"/>
          </w:tcPr>
          <w:p>
            <w:pPr>
              <w:ind w:left="140"/>
              <w:spacing w:after="0"/>
              <w:rPr>
                <w:sz w:val="20"/>
                <w:szCs w:val="20"/>
                <w:color w:val="auto"/>
              </w:rPr>
            </w:pPr>
            <w:r>
              <w:rPr>
                <w:rFonts w:ascii="Arial" w:cs="Arial" w:eastAsia="Arial" w:hAnsi="Arial"/>
                <w:sz w:val="13"/>
                <w:szCs w:val="13"/>
                <w:color w:val="auto"/>
              </w:rPr>
              <w:t>Plan Number: 001</w:t>
            </w:r>
          </w:p>
        </w:tc>
        <w:tc>
          <w:tcPr>
            <w:tcW w:w="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3"/>
              </w:rPr>
              <w:t>Declining</w:t>
            </w: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0" w:type="dxa"/>
            <w:vAlign w:val="bottom"/>
            <w:gridSpan w:val="2"/>
          </w:tcPr>
          <w:p>
            <w:pPr>
              <w:spacing w:after="0" w:line="121" w:lineRule="exact"/>
              <w:rPr>
                <w:sz w:val="20"/>
                <w:szCs w:val="20"/>
                <w:color w:val="auto"/>
              </w:rPr>
            </w:pPr>
            <w:r>
              <w:rPr>
                <w:rFonts w:ascii="Arial" w:cs="Arial" w:eastAsia="Arial" w:hAnsi="Arial"/>
                <w:sz w:val="13"/>
                <w:szCs w:val="13"/>
                <w:color w:val="auto"/>
                <w:w w:val="99"/>
              </w:rPr>
              <w:t>Contributions to other Multiemployer Pension</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Plans</w:t>
            </w: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Total contributions to Multiemployer Pension</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6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Plans (e)</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98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5" w:lineRule="auto"/>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most recent Pension Protection Act zone status available in 2018 and 2017 is for the plan’s year-end as of December 31, 2017 and 2016,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8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6"/>
          <w:szCs w:val="16"/>
          <w:color w:val="auto"/>
        </w:rPr>
        <w:t>As of the date the financial statements were issued, Forms 5500 were not available for the plan years ended in 2018.</w:t>
      </w:r>
    </w:p>
    <w:p>
      <w:pPr>
        <w:spacing w:after="0" w:line="14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has been implemented.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20" w:hanging="317"/>
        <w:spacing w:after="0" w:line="279" w:lineRule="auto"/>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63" w:lineRule="exact"/>
        <w:rPr>
          <w:rFonts w:ascii="Arial" w:cs="Arial" w:eastAsia="Arial" w:hAnsi="Arial"/>
          <w:sz w:val="17"/>
          <w:szCs w:val="17"/>
          <w:color w:val="auto"/>
        </w:rPr>
      </w:pPr>
    </w:p>
    <w:p>
      <w:pPr>
        <w:jc w:val="both"/>
        <w:ind w:left="320" w:hanging="317"/>
        <w:spacing w:after="0" w:line="264" w:lineRule="auto"/>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2017 and 2016.</w:t>
      </w:r>
    </w:p>
    <w:p>
      <w:pPr>
        <w:spacing w:after="0" w:line="73" w:lineRule="exact"/>
        <w:rPr>
          <w:rFonts w:ascii="Arial" w:cs="Arial" w:eastAsia="Arial" w:hAnsi="Arial"/>
          <w:sz w:val="18"/>
          <w:szCs w:val="18"/>
          <w:color w:val="auto"/>
        </w:rPr>
      </w:pPr>
    </w:p>
    <w:p>
      <w:pPr>
        <w:ind w:left="320" w:hanging="317"/>
        <w:spacing w:after="0" w:line="277" w:lineRule="auto"/>
        <w:tabs>
          <w:tab w:leader="none" w:pos="3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Total contributions to Multiemployer Pension Plans excludes contributions related to withdrawal liabilities discussed below.</w:t>
      </w:r>
    </w:p>
    <w:p>
      <w:pPr>
        <w:spacing w:after="0" w:line="62" w:lineRule="exact"/>
        <w:rPr>
          <w:rFonts w:ascii="Arial" w:cs="Arial" w:eastAsia="Arial" w:hAnsi="Arial"/>
          <w:sz w:val="18"/>
          <w:szCs w:val="18"/>
          <w:color w:val="auto"/>
        </w:rPr>
      </w:pPr>
    </w:p>
    <w:p>
      <w:pPr>
        <w:jc w:val="both"/>
        <w:ind w:left="320" w:hanging="317"/>
        <w:spacing w:after="0" w:line="286" w:lineRule="auto"/>
        <w:tabs>
          <w:tab w:leader="none" w:pos="33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had a complete withdrawal from this plan during 2017 and correspondingly accrued a liability of $11 million relating to such withdrawal. In 2018, the Company received the final withdrawal liability assessment from the plan and accrued an additional $2 million. The total accrual was paid as of December 31, 2018.</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2018 and 2017, we recognized charges of $3 million and $12 million, respectively, to operating expenses for the withdrawal from certain underfunded Multiemployer Pension Plans. In 2016, we did not recognize any charges for the withdrawal from Multiemployer Pension Plans. Refer to Note 10 for additional information related to our obligations to Multiemployer Pension Plans for which we have withdrawn or partially withdrawn.</w:t>
      </w:r>
    </w:p>
    <w:p>
      <w:pPr>
        <w:spacing w:after="0" w:line="1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Multiemployer Plan Benefits Other Than Pensions — </w:t>
      </w:r>
      <w:r>
        <w:rPr>
          <w:rFonts w:ascii="Arial" w:cs="Arial" w:eastAsia="Arial" w:hAnsi="Arial"/>
          <w:sz w:val="17"/>
          <w:szCs w:val="17"/>
          <w:color w:val="auto"/>
        </w:rPr>
        <w:t>During the years ended December 31, 2018, 2017 and 2016,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made contributions of $43 million, $42 million and $40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$2.75 billion revolving credit facility and other credit facilities established for that purpose. These facilities are discussed further in Note 7.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future cost increases and reductions in available capacity, we continue to evaluate various options to access cost-effective sources of financial assurance.</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workers’ compensation, real and personal property, directors’ and officers’ liability, pollution legal liability and other coverages we believe are customary to the industry. Our exposure to loss for insurance claims is generally limited to the per-incident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In December 2017, we elected to use a wholly-owned insurance captive to insure the deductibles for our general liability, automobile liability and workers’ compensation claims programs. As of December 31, 2018, both our commercial General Liability Insurance Policy and our workers’ compensation insurance program carried self-insurance exposures of up to $5 million per incident. As of December 31, 2018, our automobile liability insurance program included a per-incident deductible of up to $10 million. Our receivable balance associated with insurance claims was $130 million and $153 million as of December 31, 2018 and 2017, respectively. The changes to our insurance reserves for the years ended December 31 are summarized below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2018(a)</w:t>
            </w:r>
          </w:p>
        </w:tc>
        <w:tc>
          <w:tcPr>
            <w:tcW w:w="18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Self-insurance expense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and 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7"/>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w:t>
            </w:r>
          </w:p>
        </w:tc>
        <w:tc>
          <w:tcPr>
            <w:tcW w:w="2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as of December 31</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Long-term portion as of December 31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line="277" w:lineRule="auto"/>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current estimates, we anticipate that most of our insurance reserves will be settled in cash over the next six years.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Operating Leases — </w:t>
      </w:r>
      <w:r>
        <w:rPr>
          <w:rFonts w:ascii="Arial" w:cs="Arial" w:eastAsia="Arial" w:hAnsi="Arial"/>
          <w:sz w:val="16"/>
          <w:szCs w:val="16"/>
          <w:color w:val="auto"/>
        </w:rPr>
        <w:t>Operating lease expense was $129 million, $134 million and $125 million during 2018,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2016, respectively. Minimum contractual payments due for our operating lease obligations are $74 million in 2019, $69 million in 2020, $54 million in 2021, $40 million in 2022, $37 million in 2023 and $370 million thereafter. Our minimum contractual payments for lease agreements during future periods is less than current year operating lease expense primarily due to the effect of short-term leases. See Note 2 for information related to the pending adoption of ASU 2016</w:t>
      </w:r>
      <w:r>
        <w:rPr>
          <w:rFonts w:ascii="MS PGothic" w:cs="MS PGothic" w:eastAsia="MS PGothic" w:hAnsi="MS PGothic"/>
          <w:sz w:val="16"/>
          <w:szCs w:val="16"/>
          <w:color w:val="auto"/>
        </w:rPr>
        <w:t>‑</w:t>
      </w:r>
      <w:r>
        <w:rPr>
          <w:rFonts w:ascii="Arial" w:cs="Arial" w:eastAsia="Arial" w:hAnsi="Arial"/>
          <w:sz w:val="16"/>
          <w:szCs w:val="16"/>
          <w:color w:val="auto"/>
        </w:rPr>
        <w:t>02.</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left="660" w:hanging="333"/>
        <w:spacing w:after="0" w:line="293"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Disposal — </w:t>
      </w:r>
      <w:r>
        <w:rPr>
          <w:rFonts w:ascii="Arial" w:cs="Arial" w:eastAsia="Arial" w:hAnsi="Arial"/>
          <w:sz w:val="16"/>
          <w:szCs w:val="16"/>
          <w:color w:val="auto"/>
        </w:rPr>
        <w:t>We have several agreements expiring at various dates through 2052 that require us to dispose of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number of tons at third-party disposal facilities. Under these put-or-pay agreements, we are required to pay for the agreed upon minimum volumes regardless of the actual number of tons placed at the facilities. Following the 2014 divestiture of our Wheelabrator business, which provides waste-to-energy services and manages waste-to-energy facilities and independent power production plants, we entered into several agreements to dispose of a minimum number of tons of waste at certain Wheelabrator facilities. These agreements generally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provide for fixed volume commitments with certain market price resets through 2021. We generally fulfill our minimum contractual obligations by disposing of volumes collected in the ordinary course of business at these disposal facilities.</w:t>
      </w:r>
    </w:p>
    <w:p>
      <w:pPr>
        <w:spacing w:after="0" w:line="73" w:lineRule="exact"/>
        <w:rPr>
          <w:sz w:val="20"/>
          <w:szCs w:val="20"/>
          <w:color w:val="auto"/>
        </w:rPr>
      </w:pPr>
    </w:p>
    <w:p>
      <w:pPr>
        <w:ind w:left="660" w:hanging="333"/>
        <w:spacing w:after="0" w:line="342"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Waste Paper — </w:t>
      </w:r>
      <w:r>
        <w:rPr>
          <w:rFonts w:ascii="Arial" w:cs="Arial" w:eastAsia="Arial" w:hAnsi="Arial"/>
          <w:sz w:val="16"/>
          <w:szCs w:val="16"/>
          <w:color w:val="auto"/>
        </w:rPr>
        <w:t>We are party to waste paper purchase agreements expiring at various dates through 2023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us to purchase a minimum number of tons of waste paper. The cost per ton we pay is based on market prices.</w:t>
      </w:r>
    </w:p>
    <w:p>
      <w:pPr>
        <w:spacing w:after="0" w:line="15" w:lineRule="exact"/>
        <w:rPr>
          <w:rFonts w:ascii="Arial" w:cs="Arial" w:eastAsia="Arial" w:hAnsi="Arial"/>
          <w:sz w:val="16"/>
          <w:szCs w:val="16"/>
          <w:color w:val="auto"/>
        </w:rPr>
      </w:pPr>
    </w:p>
    <w:p>
      <w:pPr>
        <w:jc w:val="both"/>
        <w:ind w:left="660" w:hanging="333"/>
        <w:spacing w:after="0" w:line="276"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Royalties — </w:t>
      </w:r>
      <w:r>
        <w:rPr>
          <w:rFonts w:ascii="Arial" w:cs="Arial" w:eastAsia="Arial" w:hAnsi="Arial"/>
          <w:sz w:val="17"/>
          <w:szCs w:val="17"/>
          <w:color w:val="auto"/>
        </w:rPr>
        <w:t>We have various arrangements that require us to make royalty payments to third parties including prior</w:t>
      </w:r>
      <w:r>
        <w:rPr>
          <w:rFonts w:ascii="Arial" w:cs="Arial" w:eastAsia="Arial" w:hAnsi="Arial"/>
          <w:sz w:val="17"/>
          <w:szCs w:val="17"/>
          <w:i w:val="1"/>
          <w:iCs w:val="1"/>
          <w:color w:val="auto"/>
        </w:rPr>
        <w:t xml:space="preserve"> </w:t>
      </w:r>
      <w:r>
        <w:rPr>
          <w:rFonts w:ascii="Arial" w:cs="Arial" w:eastAsia="Arial" w:hAnsi="Arial"/>
          <w:sz w:val="17"/>
          <w:szCs w:val="17"/>
          <w:color w:val="auto"/>
        </w:rPr>
        <w:t>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capital leases and other debt obligations in our Consolidated Balance Sheets as disclosed in Note 7.</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unconditional purchase obligations are generally established in the ordinary course of our business and are structured in a manner that provides us with access to important resources at competitive, market-driven rates. As of December 31, 2018, our estimated minimum obligations associated with unconditional purchase obligations, which are not recognized in our Consolidated Balance Sheets, were $138 million in 2019, $121 million in 2020, $110 million in 2021, $45 million in 2022, $41 million in 2023 and $399 million thereafter. We may also establish unconditional purchase obligations in conjunction with acquisitions or divestitures. Our actual future minimum obligations under these outstanding purchase agreements are generally quantity driven and, as a result, our associated financial obligations are not fixed as of December 31, 2018. For contracts that require us to purchase minimum quantities of goods or services, we have estimated our future minimum obligations based on the current market values of the underlying products or services.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117" w:lineRule="exact"/>
        <w:rPr>
          <w:sz w:val="20"/>
          <w:szCs w:val="20"/>
          <w:color w:val="auto"/>
        </w:rPr>
      </w:pPr>
    </w:p>
    <w:p>
      <w:pPr>
        <w:jc w:val="both"/>
        <w:ind w:left="660" w:hanging="333"/>
        <w:spacing w:after="0" w:line="293"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December 31, 2018, WM Holdings has fully and unconditionally guaranteed all of WM’s senior indebtedness, including its senior notes, $2.75 billion revolving credit facility and certain letter of credit facilities, which mature through 2045.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 See Note 21 for further discussion.</w:t>
      </w:r>
    </w:p>
    <w:p>
      <w:pPr>
        <w:spacing w:after="0" w:line="56"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WM and WM Holdings have guaranteed subsidiary debt obligations, including tax-exempt bonds, capital leases and other indebtedness. If a subsidiary fails to meet its obligations associated with its debt agreements as they come due, WM or WM Holdings will be required to perform under the related guarantee agreement. No additional liabilities have been recorded for these intercompany guarantees because all of the underlying obligations are reflected in our Consolidated Balance Sheets. See Note 7 for information related to the balances and maturities of these debt obligations.</w:t>
      </w:r>
    </w:p>
    <w:p>
      <w:pPr>
        <w:spacing w:after="0" w:line="85" w:lineRule="exact"/>
        <w:rPr>
          <w:rFonts w:ascii="Arial" w:cs="Arial" w:eastAsia="Arial" w:hAnsi="Arial"/>
          <w:sz w:val="18"/>
          <w:szCs w:val="18"/>
          <w:color w:val="auto"/>
        </w:rPr>
      </w:pPr>
    </w:p>
    <w:p>
      <w:pPr>
        <w:jc w:val="both"/>
        <w:ind w:left="660" w:hanging="333"/>
        <w:spacing w:after="0" w:line="29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Before the divestiture of our Wheelabrator business in 2014,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When possible, Wheelabrator seeks to have the applicable third-party beneficiaries release WM from these guarantees, but until such efforts are successful, or the underlying financial commitments are restructured, WM has agreed to retain the guarantees and, in exchange, receive a credit support fee or other financial assurances guaranteed by a third-party financial institution to protect WM in the event of non-compliance by Wheelabrator. The most significant of these guarantees specifically define WM’s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maximum financial obligation over the course of the relevant agreements. As of December 31, 2018, WM’s maximum future payments under these guarantees were $85 million. WM’s exposure under certain of the performance guarantees is variable and a maximum exposure is not defined. We have recorded the fair value of the operational and financial performance guarantees, some of which could extend through 2038 if not terminated, in our Consolidated Balance Sheets. We currently do not expect the financial impact of such operational and financial performance guarantees to materially exceed the recorded fair value.</w:t>
      </w:r>
    </w:p>
    <w:p>
      <w:pPr>
        <w:spacing w:after="0" w:line="70" w:lineRule="exact"/>
        <w:rPr>
          <w:sz w:val="20"/>
          <w:szCs w:val="20"/>
          <w:color w:val="auto"/>
        </w:rPr>
      </w:pPr>
    </w:p>
    <w:p>
      <w:pPr>
        <w:jc w:val="both"/>
        <w:ind w:left="660" w:hanging="333"/>
        <w:spacing w:after="0" w:line="291"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or contractually-determined value of certain homeowners’ properties that are adjacent to or near certain of our landfills. These guarantee agreements extend over the life of the</w:t>
      </w:r>
    </w:p>
    <w:p>
      <w:pPr>
        <w:jc w:val="both"/>
        <w:ind w:left="660"/>
        <w:spacing w:after="0" w:line="252" w:lineRule="auto"/>
        <w:rPr>
          <w:sz w:val="20"/>
          <w:szCs w:val="20"/>
          <w:color w:val="auto"/>
        </w:rPr>
      </w:pPr>
      <w:r>
        <w:rPr>
          <w:rFonts w:ascii="Arial" w:cs="Arial" w:eastAsia="Arial" w:hAnsi="Arial"/>
          <w:sz w:val="18"/>
          <w:szCs w:val="18"/>
          <w:color w:val="auto"/>
        </w:rPr>
        <w:t>respective landfill. Under these agreements, we would be responsible for the difference, if any, between the sale value and the guaranteed market or contractually-determined value of the homeowners’ properties. As of December 31, 2018, we have agreements guaranteeing certain market value losses for approximately 775 homeowners’ properties adjacent to or near 19 of our landfills. We do not believe that these contingent obligations will have a material adverse effect on the Company’s financial position, results of operations or cash flows.</w:t>
      </w:r>
    </w:p>
    <w:p>
      <w:pPr>
        <w:spacing w:after="0" w:line="86" w:lineRule="exact"/>
        <w:rPr>
          <w:sz w:val="20"/>
          <w:szCs w:val="20"/>
          <w:color w:val="auto"/>
        </w:rPr>
      </w:pPr>
    </w:p>
    <w:p>
      <w:pPr>
        <w:jc w:val="both"/>
        <w:ind w:left="660" w:hanging="333"/>
        <w:spacing w:after="0" w:line="289"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58"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Environmental Matters — </w:t>
      </w:r>
      <w:r>
        <w:rPr>
          <w:rFonts w:ascii="Arial" w:cs="Arial" w:eastAsia="Arial" w:hAnsi="Arial"/>
          <w:sz w:val="18"/>
          <w:szCs w:val="18"/>
          <w:color w:val="auto"/>
        </w:rPr>
        <w:t>A significant portion of our operating costs and capital expenditures could be characterized as</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December 31, 2018,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sites, which we do not own, are at various procedural stages under the Comprehensive Environmental Response, Compensation and Liability Act of 1980, as amended, known as CERCLA or Superfund.</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proposed remedy has not been established. As of December 31, 2018 and 2017, our recorded liability for MIMC’s estimated potential share of the EPA’s proposed remedy and related costs was $55 million. MIMC’s ultimate liability could be materially different from current estimates.</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color w:val="auto"/>
        </w:rPr>
        <w:t>The Hawaii Department of Health and the EPA have asserted civil penalty claims against Waste Management of Hawaii, Inc. (“WMHI”), an indirect wholly-owned subsidiary of WM, based on stormwater discharges at the Waimanalo Gulch Sanitary Landfill following two major rainstorms in December 2010 and January 2011 and alleged violations of stormwater permit requirements prior to and after the storms. WMHI operates the landfill for the City and County of Honolulu.</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and 2017, we recognized $3 million and $12 million, respectively, of charges to operating expenses for the withdrawal from certain underfunded Multiemployer Pension Plans. In 2016, we did not recognize any charges for the withdrawal from Multiemployer Pension Plans.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maintain a liability for uncertain tax positions, the balance of which management believes is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Results of audit assessments by taxing authorities are not currently expected to have a material adverse effect on our financial condition, results of operations or cash flows. See Note 8 for additional discussion regarding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Impairments and Unusual Items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(gain) loss from divestitures, asset impairments and unusual items, net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divestitures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Asset impairments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4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 ended December 31, 2018, we recognized net gains of $58 million, primarily related to (i) a $52 million gain associated with the sale of certain hauling operations in our Tier 1 segment and (ii) net gains of $44 million substantially all from divestitures of certain ancillary operations. These gains were partially offset by (i) a $30 million charge to impair a landfill in our Tier 3 segment based on an internally developed discounted projected cash flow analysis, taking into account continued volume decreases and revised capping cost estimates and (ii) $8 million of impairment charges primarily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year ended December 31, 2017, we recognized net gains of $16 million, primarily related to (i) gains of $31 million from the sale of certain oil and gas producing properties and (ii) a $30 million reduction in post-closing, performance-based contingent consideration obligations associated with an acquired business in our EES organization. These gains were partially offset by (i) $34 million of goodwill impairment charges primarily related to our EES organization;</w:t>
      </w:r>
    </w:p>
    <w:p>
      <w:pPr>
        <w:spacing w:after="0" w:line="2" w:lineRule="exact"/>
        <w:rPr>
          <w:sz w:val="20"/>
          <w:szCs w:val="20"/>
          <w:color w:val="auto"/>
        </w:rPr>
      </w:pPr>
    </w:p>
    <w:p>
      <w:pPr>
        <w:jc w:val="both"/>
        <w:ind w:firstLine="3"/>
        <w:spacing w:after="0" w:line="255" w:lineRule="auto"/>
        <w:tabs>
          <w:tab w:leader="none" w:pos="2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$11 million of charges to adjust our subsidiary’s estimated potential share of an environmental remediation liability and related costs for a closed site in Harris County, Texas, as discussed in Note 10 and (iii) $7 million of charges to write down certain renewable energy assets.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2016, we recognized net charges of $112 million, primarily related to</w:t>
      </w:r>
    </w:p>
    <w:p>
      <w:pPr>
        <w:spacing w:after="0" w:line="23" w:lineRule="exact"/>
        <w:rPr>
          <w:sz w:val="20"/>
          <w:szCs w:val="20"/>
          <w:color w:val="auto"/>
        </w:rPr>
      </w:pPr>
    </w:p>
    <w:p>
      <w:pPr>
        <w:jc w:val="both"/>
        <w:ind w:firstLine="3"/>
        <w:spacing w:after="0" w:line="273" w:lineRule="auto"/>
        <w:tabs>
          <w:tab w:leader="none" w:pos="228" w:val="left"/>
        </w:tabs>
        <w:numPr>
          <w:ilvl w:val="0"/>
          <w:numId w:val="84"/>
        </w:numPr>
        <w:rPr>
          <w:rFonts w:ascii="Arial" w:cs="Arial" w:eastAsia="Arial" w:hAnsi="Arial"/>
          <w:sz w:val="17"/>
          <w:szCs w:val="17"/>
          <w:color w:val="auto"/>
        </w:rPr>
      </w:pPr>
      <w:r>
        <w:rPr>
          <w:rFonts w:ascii="Arial" w:cs="Arial" w:eastAsia="Arial" w:hAnsi="Arial"/>
          <w:sz w:val="17"/>
          <w:szCs w:val="17"/>
          <w:color w:val="auto"/>
        </w:rPr>
        <w:t>$44 million of charges to adjust our subsidiary’s estimated potential share of an environmental remediation liability and related costs for a closed site in Harris County, Texas, as discussed in Note 10; (ii) a $43 million charge to impair a landfill in our Tier 3 segment due to a loss of expected volumes; (iii) $12 million of goodwill impairment charges primarily related to our LampTracker</w:t>
      </w:r>
      <w:r>
        <w:rPr>
          <w:rFonts w:ascii="Arial" w:cs="Arial" w:eastAsia="Arial" w:hAnsi="Arial"/>
          <w:sz w:val="8"/>
          <w:szCs w:val="8"/>
          <w:color w:val="auto"/>
        </w:rPr>
        <w:t>®</w:t>
      </w:r>
      <w:r>
        <w:rPr>
          <w:rFonts w:ascii="Arial" w:cs="Arial" w:eastAsia="Arial" w:hAnsi="Arial"/>
          <w:sz w:val="17"/>
          <w:szCs w:val="17"/>
          <w:color w:val="auto"/>
        </w:rPr>
        <w:t xml:space="preserve"> reporting unit and (iv) an $8 million loss on the sale of a majority-owned organics company.</w:t>
      </w:r>
    </w:p>
    <w:p>
      <w:pPr>
        <w:spacing w:after="0" w:line="1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3 for additional information related to the accounting policy and analysis involved in identifying and calculating impairments and see Note 19 for additional information related to the impact of impairments on the results of operations of our reportable segments.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we recognized $29 million of impairment charges to write down equity method investments in waste diversion technology companies to their estimated fair values.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years ended December 31, 2017 and 2016, we recognized impairment charges of $11 million and $42 million, respectively, related to other-than-temporary declines in the value of minority-owned investments in waste diversion technology companies. We wrote down our investments to their estimated fair values which was primarily determined using an income approach based on estimated future cash flow projections and, to a lesser extent, third-party investors’ recent transactions in these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2"/>
        </w:trPr>
        <w:tc>
          <w:tcPr>
            <w:tcW w:w="49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Other comprehensive income (loss) before reclassifications, net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360"/>
              <w:spacing w:after="0"/>
              <w:rPr>
                <w:sz w:val="20"/>
                <w:szCs w:val="20"/>
                <w:color w:val="auto"/>
              </w:rPr>
            </w:pPr>
            <w:r>
              <w:rPr>
                <w:rFonts w:ascii="Arial" w:cs="Arial" w:eastAsia="Arial" w:hAnsi="Arial"/>
                <w:sz w:val="18"/>
                <w:szCs w:val="18"/>
                <w:color w:val="auto"/>
                <w:w w:val="97"/>
              </w:rPr>
              <w:t>of tax expense (benefit) of $(4), $3, $0 and $0, respectively</w:t>
            </w:r>
          </w:p>
        </w:tc>
        <w:tc>
          <w:tcPr>
            <w:tcW w:w="2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4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Amounts reclassified from accumulated other comprehensive</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(income) loss, net of tax (expense) benefit of $12, $0, $0 and</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 respectively</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49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Other comprehensive income (loss) before reclassifications, net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of tax expense (benefit) of $0, $2, $0 and $1, respectively</w:t>
            </w:r>
          </w:p>
        </w:tc>
        <w:tc>
          <w:tcPr>
            <w:tcW w:w="2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4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Amounts reclassified from accumulated other comprehensive</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(income) loss, net of tax (expense) benefit of $5, $(1), $0 and</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respectively</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9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Other comprehensive income (loss) before reclassifications, net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of tax expense (benefit) of $0, $2, $0 and $1, respectively</w:t>
            </w:r>
          </w:p>
        </w:tc>
        <w:tc>
          <w:tcPr>
            <w:tcW w:w="2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4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Amounts reclassified from accumulated other comprehensive</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(income) loss, net of tax (expense) benefit of $3, $0, $0 and</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respectively</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new accounting standard (a)</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98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of January 1, 2018, we adopted ASU 2018</w:t>
      </w:r>
      <w:r>
        <w:rPr>
          <w:rFonts w:ascii="MS PGothic" w:cs="MS PGothic" w:eastAsia="MS PGothic" w:hAnsi="MS PGothic"/>
          <w:sz w:val="18"/>
          <w:szCs w:val="18"/>
          <w:color w:val="auto"/>
        </w:rPr>
        <w:t>‑</w:t>
      </w:r>
      <w:r>
        <w:rPr>
          <w:rFonts w:ascii="Arial" w:cs="Arial" w:eastAsia="Arial" w:hAnsi="Arial"/>
          <w:sz w:val="18"/>
          <w:szCs w:val="18"/>
          <w:color w:val="auto"/>
        </w:rPr>
        <w:t>02 and reclassified stranded tax effects to retained earnings. See Note 2 for further discussion of ASU 2018-02.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derivatives outstanding subsequent to March 31, 2016. For the year ended December 31, 2016, other comprehensive loss before reclassifications associated with the effective portion of derivatives designated as cash flow hedges for foreign currency derivatives was $7 million, net of tax benefit of $4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(loss) associated with our previously terminated cash flow hedges for the years ended December 31 are as follows (in millions, with amounts in parentheses representing debits to the statement of operations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Operations Classification</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expense, net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Treasury rate locks</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20"/>
                <w:szCs w:val="20"/>
                <w:color w:val="auto"/>
              </w:rPr>
            </w:pPr>
            <w:r>
              <w:rPr>
                <w:rFonts w:ascii="Arial" w:cs="Arial" w:eastAsia="Arial" w:hAnsi="Arial"/>
                <w:sz w:val="18"/>
                <w:szCs w:val="18"/>
                <w:color w:val="auto"/>
                <w:w w:val="96"/>
              </w:rPr>
              <w:t>Interest expense, net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3"/>
              </w:rPr>
              <w:t>Tax (expense) benefit</w:t>
            </w:r>
          </w:p>
        </w:tc>
        <w:tc>
          <w:tcPr>
            <w:tcW w:w="0" w:type="dxa"/>
            <w:vAlign w:val="bottom"/>
          </w:tcPr>
          <w:p>
            <w:pPr>
              <w:spacing w:after="0"/>
              <w:rPr>
                <w:sz w:val="1"/>
                <w:szCs w:val="1"/>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Stock, Dividends and Common Stock Repurchase Program</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2018, we had 424.0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$802 million in 2018, or $1.86 per common share, $750 million in 2017, or $1.70 per common share, and $726 million in 2016, or $1.64 per common share.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2018, we announced that our Board of Directors expects to increase the quarterly dividend from $0.465 to $0.5125 per share for dividends declared in 2019.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Shares repurchased 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reflected in the period the shares are delivered to us. The following is a summary of our share repurchases under our common stock repurchase program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2018(a)</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2017(b)</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2016(c)</w:t>
            </w: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w:t>
            </w: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Weighted average price per share</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60.49</w:t>
            </w: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108"/>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2018, we executed and completed four ASR agreements to repurchase $850 million of our common stock and we received 9.8 million shares in connection with these ASR agreements.</w:t>
      </w:r>
    </w:p>
    <w:p>
      <w:pPr>
        <w:spacing w:after="0" w:line="62" w:lineRule="exact"/>
        <w:rPr>
          <w:rFonts w:ascii="Arial" w:cs="Arial" w:eastAsia="Arial" w:hAnsi="Arial"/>
          <w:sz w:val="18"/>
          <w:szCs w:val="18"/>
          <w:color w:val="auto"/>
        </w:rPr>
      </w:pPr>
    </w:p>
    <w:p>
      <w:pPr>
        <w:jc w:val="both"/>
        <w:ind w:left="320"/>
        <w:spacing w:after="0" w:line="264" w:lineRule="auto"/>
        <w:rPr>
          <w:rFonts w:ascii="Arial" w:cs="Arial" w:eastAsia="Arial" w:hAnsi="Arial"/>
          <w:sz w:val="18"/>
          <w:szCs w:val="18"/>
          <w:color w:val="auto"/>
        </w:rPr>
      </w:pPr>
      <w:r>
        <w:rPr>
          <w:rFonts w:ascii="Arial" w:cs="Arial" w:eastAsia="Arial" w:hAnsi="Arial"/>
          <w:sz w:val="18"/>
          <w:szCs w:val="18"/>
          <w:color w:val="auto"/>
        </w:rPr>
        <w:t>During 2018, we repurchased an additional 1.9 million shares of our common stock in open market transactions in compliance with Rule 10b5-1 and Rule 10b-18 of the Exchange Act for $158 million, inclusive of per-share commissions, which includes $4 million paid in 2019.</w:t>
      </w:r>
    </w:p>
    <w:p>
      <w:pPr>
        <w:spacing w:after="0" w:line="73"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2017, we executed and completed two ASR agreements to repurchase $750 million of our common stock. Our “Shares repurchased” includes the 0.4 million shares related to the ASR agreement executed in November 2016, discussed further below.</w:t>
      </w:r>
    </w:p>
    <w:p>
      <w:pPr>
        <w:spacing w:after="0" w:line="73"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2016, we executed four ASR agreements to repurchase $725 million of our common stock. The ASR agreement entered into in November 2016 was for the repurchase of $225 million of our common stock and was completed in February 2017. We received a total of 3.2 million shares based on a final weighted average price per share during the repurchase period of $69.43.</w:t>
      </w:r>
    </w:p>
    <w:p>
      <w:pPr>
        <w:spacing w:after="0" w:line="187"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Through February 8, 2019, we repurchased an additional 0.6 million shares of our common stock in open market transactions in compliance with Rule 10b5-1 and Rule 10b-18 of the Exchange Act for $54 million, inclusive of per</w:t>
      </w:r>
      <w:r>
        <w:rPr>
          <w:rFonts w:ascii="MS PGothic" w:cs="MS PGothic" w:eastAsia="MS PGothic" w:hAnsi="MS PGothic"/>
          <w:sz w:val="17"/>
          <w:szCs w:val="17"/>
          <w:color w:val="auto"/>
        </w:rPr>
        <w:t>‑</w:t>
      </w:r>
      <w:r>
        <w:rPr>
          <w:rFonts w:ascii="Arial" w:cs="Arial" w:eastAsia="Arial" w:hAnsi="Arial"/>
          <w:sz w:val="17"/>
          <w:szCs w:val="17"/>
          <w:color w:val="auto"/>
        </w:rPr>
        <w:t>share commissions, under our prior $1.25 billion Board of Directors authorization announced in December 2017.</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announced in December 2018 that the Board of Directors has authorized up to $1.5 billion in future share repurchases, which supersedes and replaces remaining authority under any prior Board of Directors authorization for share repurchases after the completion of our current open market repurchase plan ending February 15, 2019. Any future share repurchases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Equity-Based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2018, 2017 and 2016 was approximately 582,000, 594,000 and 647,000, respectively. After the January 2019 issuance of shares associated with the July to December 2018 offering period, 1.3 million shares remain available for issuance under the ESPP.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Accounting for our ESPP increased annual compensation expense by $9 million, or $7 million net of tax expense, for 2018 and $7 million, or $4 million net of tax expense, for 2017 and 2016.</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both incentive plans that are subsequently cancelled, forfeited, terminate, expire or lapse. As of December 31, 2018, approximately 20.8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2018 annual Incentive Plan awards granted to the Company’s senior leadership team, which generally includes the Company’s executive officers, included a combination of PSUs and stock options. The annual Incentive Plan awards granted to other eligible employees included a combination of PSUs, RSUs and stock options in 2018. The Company also periodically grants RSUs to employees working on key initiatives, in connection with new hires and promotions and to field-based managers.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17"/>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2018, 2017 and 2016 was $13 million, $12 million and $12 million, respectively. During the year ended December 31, 2018, we issued approximately 106,000 shares of common stock for these vested RSUs, net of approximately 48,000 units deferred or used for payment of associated taxes.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subject to pro-rata vesting upon an employee’s retirement or involuntary termination other than for cause and generally payout at the end of the three-year vesting period and become immediately vested in the event of an employee’s death or disability.</w:t>
      </w:r>
    </w:p>
    <w:p>
      <w:pPr>
        <w:spacing w:after="0" w:line="1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Compensation expense associated with RSUs is measured based on the grant-date fair value of our common stock and is recognized on a straight-line basis over the required employment period, which is generally the vesting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is only recognized for those awards that we expect to vest, which we estimate based upon an assessment of expected forfeitures.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Two types of PSUs are currently outstanding: (i) PSUs for which payout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total shareholder return relative to the S&amp;P 500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7"/>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determination of achievement of performance results and corresponding vesting of PSUs for the three-year performance period ended December 31, 2018 was performed by the Management Development and Compensation Committee in February 2019. Accordingly, vesting information for such awards is not included in the table above as of December 31, 2018. The “vested” PSUs are for the three-year performance period ended December 31, 2017, as achievement of performance results and corresponding vesting was determined in February 2018. The Company’s financial results, as measured for purposes of these awards, achieved the maximum performance criteria. Accordingly, recipients of these PSU awards were entitled to receive a payout of 200% of the vested TSR PSUs and Cash Flow PSUs. In February 2018, approximately 918,000 PSUs vested and we issued approximately 575,000 shares of common stock for these vested PSUs, net of units deferred or used for payment of associated taxes. The shares of common stock that were issued or deferred during the years ended December 31, 2018, 2017 and 2016 for prior PSU award grants had a fair market value of $78 million, $80 million and $50 million, respectively.</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With respect to outstanding PSUs granted prior to 2018, such awards generally vest on a pro-rata basis upon retirement; whereas, the terms of the award agreements for outstanding PSUs granted in 2018 provide for continued vesting following retirement as if the employee had remained employed until the end of the performance period. As a result, beginning in 2018, compensation expense for PSUs granted to retirement-eligible employees is accelerated over the period that the recipient becomes retirement-eligible plus a defined service requirement.</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Prior to 2017, compensation expense associated with our Cash Flow PSUs was primarily measured based on the fair value of our common stock at the end of each reporting period until the performance period ends. Beginning in 2017, 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Deferred Units — </w:t>
      </w:r>
      <w:r>
        <w:rPr>
          <w:rFonts w:ascii="Arial" w:cs="Arial" w:eastAsia="Arial" w:hAnsi="Arial"/>
          <w:sz w:val="17"/>
          <w:szCs w:val="17"/>
          <w:color w:val="auto"/>
        </w:rPr>
        <w:t>Certain employees can elect to defer some or all of the vested RSU or PSU awards until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2018, we had approximately 262,000 vested deferred units outstanding.</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Stock options granted vest primarily in 25% increments on the first two anniversaries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with the remaining 50% vesting on the third anniversary. The exercise price of the options is the average of the high and low market value of our common stock on the date of grant, and the options have a term of ten years. A summary of our stock options is presented in the table below (options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30"/>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as of December 31, 2018 (b)</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342" w:lineRule="auto"/>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Stock options outstanding as of December 31, 2018 have a weighted average remaining contractual term of 6.4 years and an aggregate intrinsic value of $131 million based on the market value of our common stock on December 31, 2018.</w:t>
      </w:r>
    </w:p>
    <w:p>
      <w:pPr>
        <w:spacing w:after="0" w:line="15" w:lineRule="exact"/>
        <w:rPr>
          <w:rFonts w:ascii="Arial" w:cs="Arial" w:eastAsia="Arial" w:hAnsi="Arial"/>
          <w:sz w:val="16"/>
          <w:szCs w:val="16"/>
          <w:color w:val="auto"/>
        </w:rPr>
      </w:pPr>
    </w:p>
    <w:p>
      <w:pPr>
        <w:ind w:left="320" w:hanging="317"/>
        <w:spacing w:after="0" w:line="277"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Stock options exercisable as of December 31, 2018 have an aggregate intrinsic value of $96 million based on the market value of our common stock on December 31, 2018.</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received cash proceeds of $52 million, $95 million and $63 million during the years ended December 31, 2018, 2017 and 2016, respectively, from employee stock option exercises. The aggregate intrinsic value of stock options exercised during the years ended December 31, 2018, 2017 and 2016 was $41 million, $71 million and $67 million, respectively.</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options exercisable as of December 31, 2018 were as follows (options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Share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6"/>
              </w:rPr>
              <w:t>Remaining Years</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$33.49-$50.00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$50.01-$70.00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$70.01-$85.34</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$33.49-$85.34</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exercise all stock options outstanding and exercisable within a specified time frame after such termination. All outstanding stock options, whether exercisable or not, are forfeited upon termination for cause.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2018, 2017 and 2016 was $12.16, $11.71 and $6.31, respectively. The fair value of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years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17.9 %</w:t>
            </w: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15.3 %</w:t>
            </w: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18.4 %</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2.9 %</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0"/>
                <w:szCs w:val="20"/>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20"/>
                <w:szCs w:val="20"/>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1.3 %</w:t>
            </w:r>
          </w:p>
        </w:tc>
      </w:tr>
    </w:tbl>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years ended December 31, 2018, 2017 and 2016, we recognized $79 million, $92 million and $81 million, respectively, of compensation expense associated with RSU, PSU and stock option awards as a component of selling, general and administrative expenses in our Consolidated Statements of Operations. Our income tax expense for the years ended December 31, 2018, 2017 and 2016 includes related deferred income tax benefits of $17 million, $36 million and $32 million, respectively. We have not capitalized any equity-based compensation costs during the reported periods.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Compensation expense increased in 2017 primarily due to charges related to the retirement treatment for unexercised stock options of certain former employees. As of December 31, 2018, we estimate that $44 million of currently unrecognized compensation expense will be recognized over a weighted average period of 1.4 years for our unvested RSU, PSU and stock option awards issued and outstanding.</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2014 Plan described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Basic and diluted earnings per share were computed using the following common share data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(shares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16"/>
        </w:trPr>
        <w:tc>
          <w:tcPr>
            <w:tcW w:w="6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r>
      <w:tr>
        <w:trPr>
          <w:trHeight w:val="202"/>
        </w:trPr>
        <w:tc>
          <w:tcPr>
            <w:tcW w:w="65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Dilutive effect of equity-based compensation awards and other contingently issuable</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shares (a)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r>
      <w:tr>
        <w:trPr>
          <w:trHeight w:val="203"/>
        </w:trPr>
        <w:tc>
          <w:tcPr>
            <w:tcW w:w="6520" w:type="dxa"/>
            <w:vAlign w:val="bottom"/>
            <w:gridSpan w:val="2"/>
          </w:tcPr>
          <w:p>
            <w:pPr>
              <w:spacing w:after="0" w:line="203" w:lineRule="exact"/>
              <w:rPr>
                <w:sz w:val="20"/>
                <w:szCs w:val="20"/>
                <w:color w:val="auto"/>
              </w:rPr>
            </w:pPr>
            <w:r>
              <w:rPr>
                <w:rFonts w:ascii="Arial" w:cs="Arial" w:eastAsia="Arial" w:hAnsi="Arial"/>
                <w:sz w:val="18"/>
                <w:szCs w:val="18"/>
                <w:color w:val="auto"/>
              </w:rPr>
              <w:t>Potentially issuable shares</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r>
      <w:tr>
        <w:trPr>
          <w:trHeight w:val="202"/>
        </w:trPr>
        <w:tc>
          <w:tcPr>
            <w:tcW w:w="6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08"/>
        </w:trPr>
        <w:tc>
          <w:tcPr>
            <w:tcW w:w="22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January 1, 2017, we adopted ASU 2016-09 prospectively and no longer include excess tax benefits as assumed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 active markets for identical assets and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that are generally unobservable and typically reflect management’s estimate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participants would use in pricing an asset or liability, including assumptions about risk when appropriate. Our assets and liabilities that are measured at fair value on a recurring basis include the following as of December 31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Fair Value Measurements Using:</w:t>
            </w:r>
          </w:p>
        </w:tc>
        <w:tc>
          <w:tcPr>
            <w:tcW w:w="1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500" w:type="dxa"/>
            <w:vAlign w:val="bottom"/>
            <w:tcBorders>
              <w:top w:val="single" w:sz="8" w:color="auto"/>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Quoted prices in active markets (Level 1):</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Money market funds</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Significant other observable inputs (Level 2):</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Available-for-sale securities</w:t>
            </w:r>
          </w:p>
        </w:tc>
        <w:tc>
          <w:tcPr>
            <w:tcW w:w="1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Significant unobservable inputs (Level 3):</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Redeemable preferred stock</w:t>
            </w:r>
          </w:p>
        </w:tc>
        <w:tc>
          <w:tcPr>
            <w:tcW w:w="1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Money Market Funds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invest portions of our restricted trust and escrow account balances in money market funds. We measure the fair value of these investments using quoted prices in active markets for identical assets. The fair value of our money market funds approximates our cost basis in the investments. The decrease in 2018 is primarily attributable to changes in our investments portfolio associated with our wholly-owned insurance captive from money market funds to available-for-sale securities.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available-for-sale securities include restricted trust and escrow account balances and an investment in an unconsolidated entity, as discussed in Note 18. We invest primarily in debt securities, including U.S. Treasury securities, U.S. agency securities, municipal securities and mortgage- and asset-backed securities. Additionally, some funds are invested in equity securities.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 The increase in 2018 is primarily attributable to changes in our investments portfolio, as discussed above.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Redeemable preferred stock is related to noncontrolling investments in unconsolidated entities and is included in investments in unconsolidated entities in our Consolidated Balance Sheets. The fair value of our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 During 2018, the unrealized gain in fair value of our redeemable preferred stock of $11 million was based on recent third-party investors’ transactions in these securities and was reflected as a component of accumulated other comprehensive income (loss).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and 2017, the carrying value of our debt was $10.0 billion and $9.5 billion, respectively. The estimated fair value of our debt was approximately $10.1 billion and $9.9 billion as of December 31, 2018 and 2017, respectively. The increase in the fair value of our debt when comparing December 31, 2018 with December 31, 2017 is primarily related to net borrowings of $563 million during 2018 and fluctuations in current market rates for similar types of instruments.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2018 and 2017. These amounts have not been revalued since those dates, and current estimates of fair value could differ significantly from the amounts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Acquisitions and Divestitures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pursue the acquisition of businesses that are accretive to our Solid Waste business and enhance and expand our existing service offerings. During the year ended December 31, 2018, we acquired 32 businesses primarily related to our Solid Waste business. Total consideration, net of cash acquired, for all acquisitions was $471 million, which included $440 million in cash paid and $31 million of other consideration, primarily purchase price holdbacks. In 2018, we paid $6 million of contingent consideration associated with acquisitions completed prior to 2018. In addition, we paid $20 million of holdbacks, of which $15 million related to current year acquisitions. Contingent consideration obligations are primarily based on achievement by the acquired businesses of certain negotiated goals, which generally include targeted financial metrics.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consideration for our 2018 acquisitions was primarily allocated to $115 million of property and equipment, $141 million of other intangible assets and $248 million of goodwill. Other intangible assets included $124 million of customer and supplier relationships, $16 million of covenants not-to-compete and $1 million of other intangible assets. The goodwill is primarily a result of expected synergies from combining the acquired businesses with our existing operations and substantially all is tax deductible.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2017, we acquired 24 businesses related to our Solid Waste business. Total consideration, net of cash acquired, for all acquisitions was $205 million, which included $183 million in cash paid and other consideration of $22 million, primarily purchase price holdbacks. In 2017, we paid $3 million of contingent consideration associated with acquisitions completed prior to 2017. In addition, we paid $14 million of holdbacks, of which $13 million related to 2017 acquisitions.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consideration for our 2017 acquisitions was primarily allocated to $127 million of property and equipment, $46 million of other intangible assets and $39 million of goodwill. Other intangible assets included $39 million of customer and supplier relationships and $7 million of covenants not-to-compete. The goodwill was primarily a result of expected synergies from combining the acquired businesses with our existing operations and was tax deductible.</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year ended December 31, 2016, we acquired 30 businesses primarily related to our Solid Waste business. Total consideration, net of cash acquired, for all acquisitions was $604 million, which included $581 million in cash paid and other consideration of $23 million, primarily purchase price holdbacks. In 2016, we paid $4 million of contingent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consideration for acquisitions completed prior to 2016. In addition, we paid $26 million of holdbacks, of which $16 million related to 2016 acquisitions.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consideration for our 2016 acquisitions was primarily allocated to $115 million of property and equipment, $212 million of other intangible assets and $280 million of goodwill. Other intangible assets included $185 million of customer and supplier relationships, $23 million of covenants not-to-compete and $4 million for a trade name. The goodwill was primarily a result of expected synergies from combining the acquired businesses with our existing operations and was tax deductible.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Southern Waste Systems/Sun Recycling (“SWS”) </w:t>
      </w:r>
      <w:r>
        <w:rPr>
          <w:rFonts w:ascii="Arial" w:cs="Arial" w:eastAsia="Arial" w:hAnsi="Arial"/>
          <w:sz w:val="17"/>
          <w:szCs w:val="17"/>
          <w:color w:val="auto"/>
        </w:rPr>
        <w:t>— On January 8, 2016, Waste Management Inc. of Florida, an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wholly-owned subsidiary of WM, 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 The acquisition was funded primarily with borrowings under our revolving credit facility.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consideration for SWS was allocated to $93 million of property and equipment, $182 million of other intangible assets and $250 million of goodwill. The goodwill was assigned to our Florida Area, in our Tier 3 segment, and was tax deductible. The acquisition accounting for this transaction was finalized in 2016.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assigned to other intangible assets for the SWS acquisition (amounts in millions, except for amortization periods):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005"/>
              <w:spacing w:after="0"/>
              <w:rPr>
                <w:sz w:val="20"/>
                <w:szCs w:val="20"/>
                <w:color w:val="auto"/>
              </w:rPr>
            </w:pPr>
            <w:r>
              <w:rPr>
                <w:rFonts w:ascii="Arial" w:cs="Arial" w:eastAsia="Arial" w:hAnsi="Arial"/>
                <w:sz w:val="14"/>
                <w:szCs w:val="14"/>
                <w:b w:val="1"/>
                <w:bCs w:val="1"/>
                <w:color w:val="auto"/>
                <w:w w:val="93"/>
              </w:rPr>
              <w:t>SWS</w:t>
            </w: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Customer and supplier relationships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Covenants not-to-compete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6600" w:type="dxa"/>
            <w:vAlign w:val="bottom"/>
          </w:tcPr>
          <w:p>
            <w:pPr>
              <w:ind w:left="120"/>
              <w:spacing w:after="0"/>
              <w:rPr>
                <w:sz w:val="20"/>
                <w:szCs w:val="20"/>
                <w:color w:val="auto"/>
              </w:rPr>
            </w:pPr>
            <w:r>
              <w:rPr>
                <w:rFonts w:ascii="Arial" w:cs="Arial" w:eastAsia="Arial" w:hAnsi="Arial"/>
                <w:sz w:val="18"/>
                <w:szCs w:val="18"/>
                <w:color w:val="auto"/>
              </w:rPr>
              <w:t>Total other intangible assets subject to amortization</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40" w:type="dxa"/>
            <w:vAlign w:val="bottom"/>
            <w:tcBorders>
              <w:top w:val="single" w:sz="8" w:color="auto"/>
              <w:bottom w:val="single" w:sz="8" w:color="auto"/>
            </w:tcBorders>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2018, 2017 and 2016, the aggregate sales price for divestitures of certain hauling and ancillary operations was $153 million, $62 million and $2 million and we recognized net gains of $96 million, net gains of $38 million and net losses of $9 million, respectively. These divestitures were made as part of our continuous focus on improving or divesting certain non-strategic or underperforming operations. The remaining amounts reported in the Consolidated Statements of Cash Flows generally relate to the sale of fixed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aggregate investment balance in these entities was $189 million and $59 million as of December 31, 2018 and 2017, respectively. The debt balance related to our investments in low-income housing properties was $151 million and $34 million as of December 31, 2018 and 2017, respectively. Additional information related to these investments is discussed in Note 8.</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$92 million and $99 million as of December 31, 2018 and 2017, respectively.</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primary beneficiary. These trust funds are recorded in restricted trust and escrow accounts in our Consolidated Balance Sheets. Unrealized gains and losses on available-for-sale securities held by these trusts are recorded as a component of accumulated other comprehensive income (loss). These trusts had a fair value of $103 million and $101 million as of December 31, 2018 and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In 2017,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divestments, business mix and the economic climate of various geographies. In 2018, there was no realignment of our Solid Waste tiers.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includes Southern California, Eastern Canada, Wisconsin and Minnesota. Tier 3 encompasses all the remaining operations including the Pacific Northwest and Northern California, the Mid-Atlantic region of the U.S., the Florida peninsula, Illinois and Missouri.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December 31 and for the years then ended is shown in the following table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Intercompany</w:t>
            </w:r>
          </w:p>
        </w:tc>
        <w:tc>
          <w:tcPr>
            <w:tcW w:w="120" w:type="dxa"/>
            <w:vAlign w:val="bottom"/>
          </w:tcPr>
          <w:p>
            <w:pPr>
              <w:spacing w:after="0"/>
              <w:rPr>
                <w:sz w:val="14"/>
                <w:szCs w:val="14"/>
                <w:color w:val="auto"/>
              </w:rPr>
            </w:pPr>
          </w:p>
        </w:tc>
        <w:tc>
          <w:tcPr>
            <w:tcW w:w="58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Operating</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31"/>
              <w:spacing w:after="0" w:line="149" w:lineRule="exact"/>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Expenditures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Years Ended December 31:</w:t>
            </w:r>
          </w:p>
        </w:tc>
        <w:tc>
          <w:tcPr>
            <w:tcW w:w="4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Revenues(c)</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(d)(e)</w:t>
            </w: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(g)(h)</w:t>
            </w:r>
          </w:p>
        </w:tc>
        <w:tc>
          <w:tcPr>
            <w:tcW w:w="0" w:type="dxa"/>
            <w:vAlign w:val="bottom"/>
          </w:tcPr>
          <w:p>
            <w:pPr>
              <w:spacing w:after="0"/>
              <w:rPr>
                <w:sz w:val="1"/>
                <w:szCs w:val="1"/>
                <w:color w:val="auto"/>
              </w:rPr>
            </w:pPr>
          </w:p>
        </w:tc>
      </w:tr>
      <w:tr>
        <w:trPr>
          <w:trHeight w:val="156"/>
        </w:trPr>
        <w:tc>
          <w:tcPr>
            <w:tcW w:w="22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28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10"/>
        </w:trPr>
        <w:tc>
          <w:tcPr>
            <w:tcW w:w="228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15,537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12,622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19,838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18,024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14,914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21,409</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18,024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14,914</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22,896</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5,576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1,538</w:t>
            </w:r>
          </w:p>
        </w:tc>
        <w:tc>
          <w:tcPr>
            <w:tcW w:w="6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28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19,004</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Other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20,789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22,116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228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0"/>
        </w:trPr>
        <w:tc>
          <w:tcPr>
            <w:tcW w:w="228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13,968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11,516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18,247</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16,246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13,609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19,736</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7"/>
        </w:trPr>
        <w:tc>
          <w:tcPr>
            <w:tcW w:w="22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16,246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13,609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21,137</w:t>
            </w:r>
          </w:p>
        </w:tc>
        <w:tc>
          <w:tcPr>
            <w:tcW w:w="0" w:type="dxa"/>
            <w:vAlign w:val="bottom"/>
          </w:tcPr>
          <w:p>
            <w:pPr>
              <w:spacing w:after="0"/>
              <w:rPr>
                <w:sz w:val="1"/>
                <w:szCs w:val="1"/>
                <w:color w:val="auto"/>
              </w:rPr>
            </w:pPr>
          </w:p>
        </w:tc>
      </w:tr>
      <w:tr>
        <w:trPr>
          <w:trHeight w:val="108"/>
        </w:trPr>
        <w:tc>
          <w:tcPr>
            <w:tcW w:w="2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79" w:lineRule="auto"/>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“Other” net operating revenues and “Other” income from operations include (i) our WMSBS organization; (ii) those elements of our landfill gas-to-energy operations and third-party subcontract and administration revenues managed by our EES and WM Renewable Energy organizations that are not included in the operations of our reportable segments; (iii) our recycling brokerage services and (iv) certain other expanded service offerings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solutions. In addition, our “Other” segment reflects the results of non-operating entities that provide financial assurance and self-insurance support for our Solid Waste business, net of intercompany activity.</w:t>
      </w:r>
    </w:p>
    <w:p>
      <w:pPr>
        <w:spacing w:after="0" w:line="62" w:lineRule="exact"/>
        <w:rPr>
          <w:sz w:val="20"/>
          <w:szCs w:val="20"/>
          <w:color w:val="auto"/>
        </w:rPr>
      </w:pPr>
    </w:p>
    <w:p>
      <w:pPr>
        <w:jc w:val="both"/>
        <w:ind w:left="320" w:hanging="317"/>
        <w:spacing w:after="0" w:line="297" w:lineRule="auto"/>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50" w:lineRule="exact"/>
        <w:rPr>
          <w:rFonts w:ascii="Arial" w:cs="Arial" w:eastAsia="Arial" w:hAnsi="Arial"/>
          <w:sz w:val="16"/>
          <w:szCs w:val="16"/>
          <w:color w:val="auto"/>
        </w:rPr>
      </w:pPr>
    </w:p>
    <w:p>
      <w:pPr>
        <w:jc w:val="both"/>
        <w:ind w:left="320" w:hanging="317"/>
        <w:spacing w:after="0" w:line="264"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3"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3.</w:t>
      </w:r>
    </w:p>
    <w:p>
      <w:pPr>
        <w:spacing w:after="0" w:line="62" w:lineRule="exact"/>
        <w:rPr>
          <w:rFonts w:ascii="Arial" w:cs="Arial" w:eastAsia="Arial" w:hAnsi="Arial"/>
          <w:sz w:val="18"/>
          <w:szCs w:val="18"/>
          <w:color w:val="auto"/>
        </w:rPr>
      </w:pPr>
    </w:p>
    <w:p>
      <w:pPr>
        <w:jc w:val="both"/>
        <w:ind w:left="320" w:hanging="317"/>
        <w:spacing w:after="0" w:line="257"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Refer to Note 11 for explanations of certain transactions and events affecting our operating results.</w:t>
      </w:r>
    </w:p>
    <w:p>
      <w:pPr>
        <w:spacing w:after="0" w:line="80"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may include amounts that have been accrued but not yet paid.</w:t>
      </w:r>
    </w:p>
    <w:p>
      <w:pPr>
        <w:spacing w:after="0" w:line="73" w:lineRule="exact"/>
        <w:rPr>
          <w:rFonts w:ascii="Arial" w:cs="Arial" w:eastAsia="Arial" w:hAnsi="Arial"/>
          <w:sz w:val="18"/>
          <w:szCs w:val="18"/>
          <w:color w:val="auto"/>
        </w:rPr>
      </w:pPr>
    </w:p>
    <w:p>
      <w:pPr>
        <w:ind w:left="320" w:hanging="317"/>
        <w:spacing w:after="0" w:line="277" w:lineRule="auto"/>
        <w:tabs>
          <w:tab w:leader="none" w:pos="3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as of December 31 is as follows (in millions):</w:t>
      </w:r>
    </w:p>
    <w:p>
      <w:pPr>
        <w:spacing w:after="0" w:line="6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as reported above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22,896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$ 22,116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$ 21,137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w:t>
            </w:r>
          </w:p>
        </w:tc>
      </w:tr>
      <w:tr>
        <w:trPr>
          <w:trHeight w:val="217"/>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per Consolidated Balance Sheet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$ 21,829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$ 20,859</w:t>
            </w:r>
          </w:p>
        </w:tc>
      </w:tr>
    </w:tbl>
    <w:p>
      <w:pPr>
        <w:spacing w:after="0" w:line="107" w:lineRule="exact"/>
        <w:rPr>
          <w:sz w:val="20"/>
          <w:szCs w:val="20"/>
          <w:color w:val="auto"/>
        </w:rPr>
      </w:pPr>
    </w:p>
    <w:p>
      <w:pPr>
        <w:ind w:left="320" w:hanging="317"/>
        <w:spacing w:after="0" w:line="342" w:lineRule="auto"/>
        <w:tabs>
          <w:tab w:leader="none" w:pos="307" w:val="left"/>
        </w:tabs>
        <w:numPr>
          <w:ilvl w:val="0"/>
          <w:numId w:val="91"/>
        </w:numPr>
        <w:rPr>
          <w:rFonts w:ascii="Arial" w:cs="Arial" w:eastAsia="Arial" w:hAnsi="Arial"/>
          <w:sz w:val="16"/>
          <w:szCs w:val="16"/>
          <w:color w:val="auto"/>
        </w:rPr>
      </w:pPr>
      <w:r>
        <w:rPr>
          <w:rFonts w:ascii="Arial" w:cs="Arial" w:eastAsia="Arial" w:hAnsi="Arial"/>
          <w:sz w:val="16"/>
          <w:szCs w:val="16"/>
          <w:color w:val="auto"/>
        </w:rPr>
        <w:t>Goodwill is included within each segment’s total assets. For segment reporting purposes, our material recovery facilities are included as a component of their respective Areas and our recycling brokerage services are included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part of our “Other” operations. The following table presents changes in goodwill during the reported periods by segment (in millions):</w:t>
      </w:r>
    </w:p>
    <w:p>
      <w:pPr>
        <w:spacing w:after="0" w:line="6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Solid Waste</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Tier 1</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Tier 2</w:t>
            </w:r>
          </w:p>
        </w:tc>
        <w:tc>
          <w:tcPr>
            <w:tcW w:w="6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Tier 3</w:t>
            </w:r>
          </w:p>
        </w:tc>
        <w:tc>
          <w:tcPr>
            <w:tcW w:w="16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$ 1,196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$ 6,215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Acquired goodwill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Divested goodwill</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Impairments</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$ 1,237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$ 2,668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$ 6,247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Acquired goodwill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Divested goodwill</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$ 6,430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years ended December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16"/>
        </w:trPr>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10"/>
        </w:trPr>
        <w:tc>
          <w:tcPr>
            <w:tcW w:w="6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collection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Intercompany (b)</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17"/>
        </w:trPr>
        <w:tc>
          <w:tcPr>
            <w:tcW w:w="64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13,609</w:t>
            </w:r>
          </w:p>
        </w:tc>
      </w:tr>
      <w:tr>
        <w:trPr>
          <w:trHeight w:val="108"/>
        </w:trPr>
        <w:tc>
          <w:tcPr>
            <w:tcW w:w="228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operating revenues relating to operations in the U.S. and Canada for the years ended December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12,915</w:t>
            </w:r>
          </w:p>
        </w:tc>
      </w:tr>
      <w:tr>
        <w:trPr>
          <w:trHeight w:val="216"/>
        </w:trPr>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3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2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13,609</w:t>
            </w:r>
          </w:p>
        </w:tc>
      </w:tr>
      <w:tr>
        <w:trPr>
          <w:trHeight w:val="851"/>
        </w:trPr>
        <w:tc>
          <w:tcPr>
            <w:tcW w:w="2500" w:type="dxa"/>
            <w:vAlign w:val="bottom"/>
          </w:tcPr>
          <w:p>
            <w:pPr>
              <w:spacing w:after="0"/>
              <w:rPr>
                <w:sz w:val="24"/>
                <w:szCs w:val="24"/>
                <w:color w:val="auto"/>
              </w:rPr>
            </w:pPr>
          </w:p>
        </w:tc>
        <w:tc>
          <w:tcPr>
            <w:tcW w:w="3860" w:type="dxa"/>
            <w:vAlign w:val="bottom"/>
          </w:tcPr>
          <w:p>
            <w:pPr>
              <w:jc w:val="right"/>
              <w:ind w:right="161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9"/>
        </w:trPr>
        <w:tc>
          <w:tcPr>
            <w:tcW w:w="250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and equipment, net of accumulated depreciation and amortization, relating to operations in the U.S. and Canada for the years ended December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10,040</w:t>
            </w: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17"/>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11,942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11,559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10,950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2018 and 2017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Fourth</w:t>
            </w:r>
          </w:p>
        </w:tc>
      </w:tr>
      <w:tr>
        <w:trPr>
          <w:trHeight w:val="17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3,511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3,842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3,440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ongoing results. The following items significantly impacted our operating results during the periods indicated: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2018</w:t>
      </w:r>
    </w:p>
    <w:p>
      <w:pPr>
        <w:spacing w:after="0" w:line="117" w:lineRule="exact"/>
        <w:rPr>
          <w:sz w:val="20"/>
          <w:szCs w:val="20"/>
          <w:color w:val="auto"/>
        </w:rPr>
      </w:pPr>
    </w:p>
    <w:p>
      <w:pPr>
        <w:ind w:left="660" w:hanging="333"/>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recognition of net pre-tax gains of $40 million related to the sale of certain ancillary operations, which had a favorable impact of $0.07 on our diluted earnings per share.</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income tax benefit of $33 million due to the settlement of various tax audits, which had a favorable impact of $0.07 on our diluted earnings per share.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2018</w:t>
      </w:r>
    </w:p>
    <w:p>
      <w:pPr>
        <w:spacing w:after="0" w:line="117" w:lineRule="exact"/>
        <w:rPr>
          <w:sz w:val="20"/>
          <w:szCs w:val="20"/>
          <w:color w:val="auto"/>
        </w:rPr>
      </w:pPr>
    </w:p>
    <w:p>
      <w:pPr>
        <w:ind w:left="660" w:hanging="333"/>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Income tax benefits of $27 million primarily due to impacts of enactment of tax reform and changes in state laws, which had a favorable impact of $0.06 on our diluted earnings per share.</w:t>
      </w:r>
    </w:p>
    <w:p>
      <w:pPr>
        <w:spacing w:after="0" w:line="62"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recognition of pre-tax charges of $32 million primarily related to a $29 million charge to impair a landfill in our Tier 3 segment, which is discussed further in Note 11. These charges had a negative impact of $0.05 on our diluted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2018</w:t>
      </w:r>
    </w:p>
    <w:p>
      <w:pPr>
        <w:spacing w:after="0" w:line="117" w:lineRule="exact"/>
        <w:rPr>
          <w:sz w:val="20"/>
          <w:szCs w:val="20"/>
          <w:color w:val="auto"/>
        </w:rPr>
      </w:pPr>
    </w:p>
    <w:p>
      <w:pPr>
        <w:jc w:val="both"/>
        <w:ind w:left="660" w:hanging="333"/>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recognition of a pre-tax gain of $52 million associated with the sale of certain hauling operations in our Tier 1 segment and $8 million of impairment charges primarily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These items had a favorable impact of $0.07 on our diluted earnings per share.</w:t>
      </w:r>
    </w:p>
    <w:p>
      <w:pPr>
        <w:spacing w:after="0" w:line="73"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reduction in our income tax expense of $17 million for an adjustment to our deferred taxes to reduce our deferred tax liability based on an analysis of certain deferred tax balances. This item had a favorable impact of $0.04 on our diluted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2017</w:t>
      </w:r>
    </w:p>
    <w:p>
      <w:pPr>
        <w:spacing w:after="0" w:line="117" w:lineRule="exact"/>
        <w:rPr>
          <w:sz w:val="20"/>
          <w:szCs w:val="20"/>
          <w:color w:val="auto"/>
        </w:rPr>
      </w:pPr>
    </w:p>
    <w:p>
      <w:pPr>
        <w:jc w:val="both"/>
        <w:ind w:left="660" w:hanging="333"/>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reduction in our income tax expense of $32 million for excess tax benefits related to the vesting or exercise of equity-based compensation awards and a $25 million pre-tax charge to write down an equity method investment in a waste diversion technology company to its fair value. These items had a favorable impact of $0.01 on our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2017</w:t>
      </w:r>
    </w:p>
    <w:p>
      <w:pPr>
        <w:spacing w:after="0" w:line="117" w:lineRule="exact"/>
        <w:rPr>
          <w:sz w:val="20"/>
          <w:szCs w:val="20"/>
          <w:color w:val="auto"/>
        </w:rPr>
      </w:pPr>
    </w:p>
    <w:p>
      <w:pPr>
        <w:jc w:val="both"/>
        <w:ind w:left="660" w:hanging="333"/>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recognition of pre-tax charges including (i) an $11 million charge for the withdrawal from an underfunded Multiemployer Pension Plan and (ii) a $9 million charge to adjust our subsidiary’s estimated potential share of an environmental remediation liability and related costs for a closed site in Harris County, Texas. These charges had a negative impact of $0.03 on our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2017</w:t>
      </w:r>
    </w:p>
    <w:p>
      <w:pPr>
        <w:spacing w:after="0" w:line="117" w:lineRule="exact"/>
        <w:rPr>
          <w:sz w:val="20"/>
          <w:szCs w:val="20"/>
          <w:color w:val="auto"/>
        </w:rPr>
      </w:pPr>
    </w:p>
    <w:p>
      <w:pPr>
        <w:jc w:val="both"/>
        <w:ind w:left="660" w:hanging="333"/>
        <w:spacing w:after="0" w:line="25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income tax benefit of $529 million related to enactment of the Act, consisting of a net tax benefit of $595 million related to the remeasurement of our deferred income tax assets and liabilities, partially offset by income tax expense of $66 million for a one-time, mandatory transition tax on the deemed repatriation of previously tax-deferred and unremitted foreign earnings. This net tax benefit had a favorable impact of $1.21 on our diluted earnings per share.</w:t>
      </w:r>
    </w:p>
    <w:p>
      <w:pPr>
        <w:spacing w:after="0" w:line="80"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recognition of net pre-tax gains of $26 million primarily related to (i) gains of $31 million from the sale of certain oil and gas producing properties and (ii) a gain of $30 million related to the reduction in post-closing, performance-based contingent consideration obligations associated with an acquired business in our EES organization, partially offset by goodwill impairment charges of $34 million, primarily related to our EES organization. These net gains had a favorable impact of $0.03 on our diluted earnings per share.</w:t>
      </w:r>
    </w:p>
    <w:p>
      <w:pPr>
        <w:spacing w:after="0" w:line="8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recognition of pre-tax charges of $11 million related to the impairment of investments in waste diversion technology companies. These impairments were not deductible for income taxes and had a negative impact of $0.02 on our diluted earnings per share.</w:t>
      </w:r>
    </w:p>
    <w:p>
      <w:pPr>
        <w:spacing w:after="0" w:line="73"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recognition of a pre-tax loss of $6 million associated with the early extinguishment of $590 million of 6.1% senior notes ahead of their scheduled maturity date, which had a negative impact of $0.01 on our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WM</w:t>
            </w:r>
          </w:p>
        </w:tc>
        <w:tc>
          <w:tcPr>
            <w:tcW w:w="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left="30"/>
              <w:spacing w:after="0" w:line="196" w:lineRule="exact"/>
              <w:rPr>
                <w:sz w:val="20"/>
                <w:szCs w:val="20"/>
                <w:color w:val="auto"/>
              </w:rPr>
            </w:pPr>
            <w:r>
              <w:rPr>
                <w:rFonts w:ascii="Arial" w:cs="Arial" w:eastAsia="Arial" w:hAnsi="Arial"/>
                <w:sz w:val="18"/>
                <w:szCs w:val="18"/>
                <w:b w:val="1"/>
                <w:bCs w:val="1"/>
                <w:color w:val="auto"/>
                <w:w w:val="91"/>
              </w:rPr>
              <w:t>ASSETS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24,676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(49,773)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24,686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25,133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(67,031)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17,398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(24,253)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25,120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(24,253)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24,674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(49,773)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(6,709)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24,674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(42,778)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24,686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25,133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86"/>
              </w:rPr>
              <w:t>115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(15,349)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jc w:val="right"/>
              <w:ind w:right="191"/>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(45,286)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5"/>
                <w:szCs w:val="15"/>
                <w:b w:val="1"/>
                <w:bCs w:val="1"/>
                <w:color w:val="auto"/>
              </w:rPr>
              <w:t>WM</w:t>
            </w:r>
          </w:p>
        </w:tc>
        <w:tc>
          <w:tcPr>
            <w:tcW w:w="8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w w:val="95"/>
              </w:rPr>
              <w:t>Non-Guarantor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9"/>
        </w:trPr>
        <w:tc>
          <w:tcPr>
            <w:tcW w:w="1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WM</w:t>
            </w:r>
          </w:p>
        </w:tc>
        <w:tc>
          <w:tcPr>
            <w:tcW w:w="680" w:type="dxa"/>
            <w:vAlign w:val="bottom"/>
            <w:gridSpan w:val="3"/>
          </w:tcPr>
          <w:p>
            <w:pPr>
              <w:spacing w:after="0"/>
              <w:rPr>
                <w:sz w:val="20"/>
                <w:szCs w:val="20"/>
                <w:color w:val="auto"/>
              </w:rPr>
            </w:pPr>
            <w:r>
              <w:rPr>
                <w:rFonts w:ascii="Arial" w:cs="Arial" w:eastAsia="Arial" w:hAnsi="Arial"/>
                <w:sz w:val="15"/>
                <w:szCs w:val="15"/>
                <w:b w:val="1"/>
                <w:bCs w:val="1"/>
                <w:color w:val="auto"/>
              </w:rPr>
              <w:t>Holdings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w w:val="91"/>
              </w:rPr>
              <w:t>Subsidiaries</w:t>
            </w:r>
          </w:p>
        </w:tc>
        <w:tc>
          <w:tcPr>
            <w:tcW w:w="8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5"/>
                <w:szCs w:val="15"/>
                <w:b w:val="1"/>
                <w:bCs w:val="1"/>
                <w:color w:val="auto"/>
              </w:rPr>
              <w:t>Eliminations</w:t>
            </w:r>
          </w:p>
        </w:tc>
        <w:tc>
          <w:tcPr>
            <w:tcW w:w="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b w:val="1"/>
                <w:bCs w:val="1"/>
                <w:color w:val="auto"/>
                <w:w w:val="88"/>
              </w:rPr>
              <w:t>Consolidated</w:t>
            </w:r>
          </w:p>
        </w:tc>
      </w:tr>
      <w:tr>
        <w:trPr>
          <w:trHeight w:val="142"/>
        </w:trPr>
        <w:tc>
          <w:tcPr>
            <w:tcW w:w="39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Years Ended December 31:</w:t>
            </w: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r>
      <w:tr>
        <w:trPr>
          <w:trHeight w:val="156"/>
        </w:trPr>
        <w:tc>
          <w:tcPr>
            <w:tcW w:w="17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2018</w:t>
            </w:r>
          </w:p>
        </w:tc>
        <w:tc>
          <w:tcPr>
            <w:tcW w:w="500" w:type="dxa"/>
            <w:vAlign w:val="bottom"/>
            <w:tcBorders>
              <w:top w:val="single" w:sz="8" w:color="CCEEFF"/>
            </w:tcBorders>
          </w:tcPr>
          <w:p>
            <w:pPr>
              <w:spacing w:after="0"/>
              <w:rPr>
                <w:sz w:val="13"/>
                <w:szCs w:val="13"/>
                <w:color w:val="auto"/>
              </w:rPr>
            </w:pPr>
          </w:p>
        </w:tc>
        <w:tc>
          <w:tcPr>
            <w:tcW w:w="164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r>
      <w:tr>
        <w:trPr>
          <w:trHeight w:val="162"/>
        </w:trPr>
        <w:tc>
          <w:tcPr>
            <w:tcW w:w="39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 (a)</w:t>
            </w:r>
          </w:p>
        </w:tc>
        <w:tc>
          <w:tcPr>
            <w:tcW w:w="6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15,090</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(176)</w:t>
            </w:r>
          </w:p>
        </w:tc>
        <w:tc>
          <w:tcPr>
            <w:tcW w:w="32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14,914</w:t>
            </w:r>
          </w:p>
        </w:tc>
      </w:tr>
      <w:tr>
        <w:trPr>
          <w:trHeight w:val="162"/>
        </w:trPr>
        <w:tc>
          <w:tcPr>
            <w:tcW w:w="3920" w:type="dxa"/>
            <w:vAlign w:val="bottom"/>
            <w:gridSpan w:val="3"/>
          </w:tcPr>
          <w:p>
            <w:pPr>
              <w:spacing w:after="0" w:line="162" w:lineRule="exact"/>
              <w:rPr>
                <w:sz w:val="20"/>
                <w:szCs w:val="20"/>
                <w:color w:val="auto"/>
              </w:rPr>
            </w:pPr>
            <w:r>
              <w:rPr>
                <w:rFonts w:ascii="Arial" w:cs="Arial" w:eastAsia="Arial" w:hAnsi="Arial"/>
                <w:sz w:val="15"/>
                <w:szCs w:val="15"/>
                <w:color w:val="auto"/>
              </w:rPr>
              <w:t>Costs and expenses (a)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176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12,125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12,125</w:t>
            </w:r>
          </w:p>
        </w:tc>
      </w:tr>
      <w:tr>
        <w:trPr>
          <w:trHeight w:val="156"/>
        </w:trPr>
        <w:tc>
          <w:tcPr>
            <w:tcW w:w="3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(176)</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2,965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2,789</w:t>
            </w:r>
          </w:p>
        </w:tc>
      </w:tr>
      <w:tr>
        <w:trPr>
          <w:trHeight w:val="156"/>
        </w:trPr>
        <w:tc>
          <w:tcPr>
            <w:tcW w:w="3920" w:type="dxa"/>
            <w:vAlign w:val="bottom"/>
            <w:gridSpan w:val="3"/>
          </w:tcPr>
          <w:p>
            <w:pPr>
              <w:spacing w:after="0" w:line="156" w:lineRule="exact"/>
              <w:rPr>
                <w:sz w:val="20"/>
                <w:szCs w:val="20"/>
                <w:color w:val="auto"/>
              </w:rPr>
            </w:pPr>
            <w:r>
              <w:rPr>
                <w:rFonts w:ascii="Arial" w:cs="Arial" w:eastAsia="Arial" w:hAnsi="Arial"/>
                <w:sz w:val="15"/>
                <w:szCs w:val="15"/>
                <w:color w:val="auto"/>
              </w:rPr>
              <w:t>Other income (expense):</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2"/>
        </w:trPr>
        <w:tc>
          <w:tcPr>
            <w:tcW w:w="39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Interest expense, net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(312)</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(374)</w:t>
            </w:r>
          </w:p>
        </w:tc>
      </w:tr>
      <w:tr>
        <w:trPr>
          <w:trHeight w:val="162"/>
        </w:trPr>
        <w:tc>
          <w:tcPr>
            <w:tcW w:w="39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5"/>
              </w:rPr>
              <w:t>2,284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2,298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(4,582)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9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Other, net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w:t>
            </w:r>
          </w:p>
        </w:tc>
      </w:tr>
      <w:tr>
        <w:trPr>
          <w:trHeight w:val="156"/>
        </w:trPr>
        <w:tc>
          <w:tcPr>
            <w:tcW w:w="17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1,972</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2,278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(4,582)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(413)</w:t>
            </w:r>
          </w:p>
        </w:tc>
      </w:tr>
      <w:tr>
        <w:trPr>
          <w:trHeight w:val="156"/>
        </w:trPr>
        <w:tc>
          <w:tcPr>
            <w:tcW w:w="392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before income taxes</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1,796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2,278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2,884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(4,582)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2,376</w:t>
            </w:r>
          </w:p>
        </w:tc>
      </w:tr>
      <w:tr>
        <w:trPr>
          <w:trHeight w:val="162"/>
        </w:trPr>
        <w:tc>
          <w:tcPr>
            <w:tcW w:w="3920" w:type="dxa"/>
            <w:vAlign w:val="bottom"/>
            <w:gridSpan w:val="3"/>
          </w:tcPr>
          <w:p>
            <w:pPr>
              <w:spacing w:after="0" w:line="162" w:lineRule="exact"/>
              <w:rPr>
                <w:sz w:val="20"/>
                <w:szCs w:val="20"/>
                <w:color w:val="auto"/>
              </w:rPr>
            </w:pPr>
            <w:r>
              <w:rPr>
                <w:rFonts w:ascii="Arial" w:cs="Arial" w:eastAsia="Arial" w:hAnsi="Arial"/>
                <w:sz w:val="15"/>
                <w:szCs w:val="15"/>
                <w:color w:val="auto"/>
              </w:rPr>
              <w:t>Income tax expense (benefit)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(129)</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587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453</w:t>
            </w:r>
          </w:p>
        </w:tc>
      </w:tr>
      <w:tr>
        <w:trPr>
          <w:trHeight w:val="156"/>
        </w:trPr>
        <w:tc>
          <w:tcPr>
            <w:tcW w:w="3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Consolidated net income</w:t>
            </w: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1,925</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2,283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2,297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(4,582)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1,923</w:t>
            </w:r>
          </w:p>
        </w:tc>
      </w:tr>
      <w:tr>
        <w:trPr>
          <w:trHeight w:val="162"/>
        </w:trPr>
        <w:tc>
          <w:tcPr>
            <w:tcW w:w="392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Less: Net loss attributable to noncontrolling interests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r>
      <w:tr>
        <w:trPr>
          <w:trHeight w:val="163"/>
        </w:trPr>
        <w:tc>
          <w:tcPr>
            <w:tcW w:w="3920" w:type="dxa"/>
            <w:vAlign w:val="bottom"/>
            <w:tcBorders>
              <w:top w:val="single" w:sz="8" w:color="CCEEFF"/>
              <w:bottom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1,925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2,283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(4,582)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1,925</w:t>
            </w:r>
          </w:p>
        </w:tc>
      </w:tr>
      <w:tr>
        <w:trPr>
          <w:trHeight w:val="162"/>
        </w:trPr>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1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2017</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3920" w:type="dxa"/>
            <w:vAlign w:val="bottom"/>
            <w:gridSpan w:val="3"/>
          </w:tcPr>
          <w:p>
            <w:pPr>
              <w:spacing w:after="0" w:line="162" w:lineRule="exact"/>
              <w:rPr>
                <w:sz w:val="20"/>
                <w:szCs w:val="20"/>
                <w:color w:val="auto"/>
              </w:rPr>
            </w:pPr>
            <w:r>
              <w:rPr>
                <w:rFonts w:ascii="Arial" w:cs="Arial" w:eastAsia="Arial" w:hAnsi="Arial"/>
                <w:sz w:val="15"/>
                <w:szCs w:val="15"/>
                <w:color w:val="auto"/>
              </w:rPr>
              <w:t>Operating revenues (a)</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15,040</w:t>
            </w:r>
          </w:p>
        </w:tc>
        <w:tc>
          <w:tcPr>
            <w:tcW w:w="80" w:type="dxa"/>
            <w:vAlign w:val="bottom"/>
          </w:tcPr>
          <w:p>
            <w:pPr>
              <w:spacing w:after="0"/>
              <w:rPr>
                <w:sz w:val="14"/>
                <w:szCs w:val="14"/>
                <w:color w:val="auto"/>
              </w:rPr>
            </w:pPr>
          </w:p>
        </w:tc>
        <w:tc>
          <w:tcPr>
            <w:tcW w:w="34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(555)</w:t>
            </w:r>
          </w:p>
        </w:tc>
        <w:tc>
          <w:tcPr>
            <w:tcW w:w="32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14,485</w:t>
            </w:r>
          </w:p>
        </w:tc>
      </w:tr>
      <w:tr>
        <w:trPr>
          <w:trHeight w:val="162"/>
        </w:trPr>
        <w:tc>
          <w:tcPr>
            <w:tcW w:w="39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Costs and expenses (a)</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(555)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11,849</w:t>
            </w:r>
          </w:p>
        </w:tc>
      </w:tr>
      <w:tr>
        <w:trPr>
          <w:trHeight w:val="156"/>
        </w:trPr>
        <w:tc>
          <w:tcPr>
            <w:tcW w:w="3920" w:type="dxa"/>
            <w:vAlign w:val="bottom"/>
            <w:tcBorders>
              <w:bottom w:val="single" w:sz="8" w:color="CCEEFF"/>
            </w:tcBorders>
            <w:gridSpan w:val="3"/>
          </w:tcPr>
          <w:p>
            <w:pPr>
              <w:spacing w:after="0" w:line="156" w:lineRule="exact"/>
              <w:rPr>
                <w:sz w:val="20"/>
                <w:szCs w:val="20"/>
                <w:color w:val="auto"/>
              </w:rPr>
            </w:pPr>
            <w:r>
              <w:rPr>
                <w:rFonts w:ascii="Arial" w:cs="Arial" w:eastAsia="Arial" w:hAnsi="Arial"/>
                <w:sz w:val="15"/>
                <w:szCs w:val="15"/>
                <w:color w:val="auto"/>
              </w:rPr>
              <w:t>Income from operations</w:t>
            </w:r>
          </w:p>
        </w:tc>
        <w:tc>
          <w:tcPr>
            <w:tcW w:w="5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(555)</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3,191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2,636</w:t>
            </w:r>
          </w:p>
        </w:tc>
      </w:tr>
      <w:tr>
        <w:trPr>
          <w:trHeight w:val="156"/>
        </w:trPr>
        <w:tc>
          <w:tcPr>
            <w:tcW w:w="392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Other income (expense):</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2"/>
        </w:trPr>
        <w:tc>
          <w:tcPr>
            <w:tcW w:w="39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Interest expense, net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(299)</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(363)</w:t>
            </w:r>
          </w:p>
        </w:tc>
      </w:tr>
      <w:tr>
        <w:trPr>
          <w:trHeight w:val="162"/>
        </w:trPr>
        <w:tc>
          <w:tcPr>
            <w:tcW w:w="39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2,469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(4,951)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9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Other, net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r>
      <w:tr>
        <w:trPr>
          <w:trHeight w:val="156"/>
        </w:trPr>
        <w:tc>
          <w:tcPr>
            <w:tcW w:w="17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2,166</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2,461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(4,951)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(445)</w:t>
            </w:r>
          </w:p>
        </w:tc>
      </w:tr>
      <w:tr>
        <w:trPr>
          <w:trHeight w:val="156"/>
        </w:trPr>
        <w:tc>
          <w:tcPr>
            <w:tcW w:w="3920" w:type="dxa"/>
            <w:vAlign w:val="bottom"/>
            <w:gridSpan w:val="3"/>
          </w:tcPr>
          <w:p>
            <w:pPr>
              <w:spacing w:after="0" w:line="156" w:lineRule="exact"/>
              <w:rPr>
                <w:sz w:val="20"/>
                <w:szCs w:val="20"/>
                <w:color w:val="auto"/>
              </w:rPr>
            </w:pPr>
            <w:r>
              <w:rPr>
                <w:rFonts w:ascii="Arial" w:cs="Arial" w:eastAsia="Arial" w:hAnsi="Arial"/>
                <w:sz w:val="15"/>
                <w:szCs w:val="15"/>
                <w:color w:val="auto"/>
              </w:rPr>
              <w:t>Income before income taxes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w w:val="95"/>
              </w:rPr>
              <w:t>1,611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2,461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3,070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(4,951)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2,191</w:t>
            </w:r>
          </w:p>
        </w:tc>
      </w:tr>
      <w:tr>
        <w:trPr>
          <w:trHeight w:val="162"/>
        </w:trPr>
        <w:tc>
          <w:tcPr>
            <w:tcW w:w="39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Income tax expense (benefit)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(338)</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242</w:t>
            </w:r>
          </w:p>
        </w:tc>
      </w:tr>
      <w:tr>
        <w:trPr>
          <w:trHeight w:val="156"/>
        </w:trPr>
        <w:tc>
          <w:tcPr>
            <w:tcW w:w="3920" w:type="dxa"/>
            <w:vAlign w:val="bottom"/>
            <w:gridSpan w:val="3"/>
          </w:tcPr>
          <w:p>
            <w:pPr>
              <w:spacing w:after="0" w:line="156" w:lineRule="exact"/>
              <w:rPr>
                <w:sz w:val="20"/>
                <w:szCs w:val="20"/>
                <w:color w:val="auto"/>
              </w:rPr>
            </w:pPr>
            <w:r>
              <w:rPr>
                <w:rFonts w:ascii="Arial" w:cs="Arial" w:eastAsia="Arial" w:hAnsi="Arial"/>
                <w:sz w:val="15"/>
                <w:szCs w:val="15"/>
                <w:color w:val="auto"/>
              </w:rPr>
              <w:t>Consolidated net income</w:t>
            </w: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1,949</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2,469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2,482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(4,951)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1,949</w:t>
            </w:r>
          </w:p>
        </w:tc>
      </w:tr>
      <w:tr>
        <w:trPr>
          <w:trHeight w:val="162"/>
        </w:trPr>
        <w:tc>
          <w:tcPr>
            <w:tcW w:w="392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Less: Net loss attributable to noncontrolling interests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3"/>
        </w:trPr>
        <w:tc>
          <w:tcPr>
            <w:tcW w:w="3920" w:type="dxa"/>
            <w:vAlign w:val="bottom"/>
            <w:tcBorders>
              <w:bottom w:val="single" w:sz="8" w:color="CCEEFF"/>
            </w:tcBorders>
            <w:gridSpan w:val="3"/>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5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1,949</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2,469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2,482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(4,951)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1,949</w:t>
            </w:r>
          </w:p>
        </w:tc>
      </w:tr>
      <w:tr>
        <w:trPr>
          <w:trHeight w:val="162"/>
        </w:trPr>
        <w:tc>
          <w:tcPr>
            <w:tcW w:w="1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1780" w:type="dxa"/>
            <w:vAlign w:val="bottom"/>
          </w:tcPr>
          <w:p>
            <w:pPr>
              <w:spacing w:after="0" w:line="162" w:lineRule="exact"/>
              <w:rPr>
                <w:sz w:val="20"/>
                <w:szCs w:val="20"/>
                <w:color w:val="auto"/>
              </w:rPr>
            </w:pPr>
            <w:r>
              <w:rPr>
                <w:rFonts w:ascii="Arial" w:cs="Arial" w:eastAsia="Arial" w:hAnsi="Arial"/>
                <w:sz w:val="15"/>
                <w:szCs w:val="15"/>
                <w:b w:val="1"/>
                <w:bCs w:val="1"/>
                <w:color w:val="auto"/>
              </w:rPr>
              <w:t>2016</w:t>
            </w: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39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w:t>
            </w:r>
          </w:p>
        </w:tc>
        <w:tc>
          <w:tcPr>
            <w:tcW w:w="6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13,609</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13,609</w:t>
            </w:r>
          </w:p>
        </w:tc>
      </w:tr>
      <w:tr>
        <w:trPr>
          <w:trHeight w:val="162"/>
        </w:trPr>
        <w:tc>
          <w:tcPr>
            <w:tcW w:w="3920" w:type="dxa"/>
            <w:vAlign w:val="bottom"/>
            <w:gridSpan w:val="3"/>
          </w:tcPr>
          <w:p>
            <w:pPr>
              <w:spacing w:after="0" w:line="162" w:lineRule="exact"/>
              <w:rPr>
                <w:sz w:val="20"/>
                <w:szCs w:val="20"/>
                <w:color w:val="auto"/>
              </w:rPr>
            </w:pPr>
            <w:r>
              <w:rPr>
                <w:rFonts w:ascii="Arial" w:cs="Arial" w:eastAsia="Arial" w:hAnsi="Arial"/>
                <w:sz w:val="15"/>
                <w:szCs w:val="15"/>
                <w:color w:val="auto"/>
              </w:rPr>
              <w:t>Costs and expenses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11,313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11,313</w:t>
            </w:r>
          </w:p>
        </w:tc>
      </w:tr>
      <w:tr>
        <w:trPr>
          <w:trHeight w:val="156"/>
        </w:trPr>
        <w:tc>
          <w:tcPr>
            <w:tcW w:w="3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2,296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2,296</w:t>
            </w:r>
          </w:p>
        </w:tc>
      </w:tr>
      <w:tr>
        <w:trPr>
          <w:trHeight w:val="156"/>
        </w:trPr>
        <w:tc>
          <w:tcPr>
            <w:tcW w:w="3920" w:type="dxa"/>
            <w:vAlign w:val="bottom"/>
            <w:gridSpan w:val="3"/>
          </w:tcPr>
          <w:p>
            <w:pPr>
              <w:spacing w:after="0" w:line="156" w:lineRule="exact"/>
              <w:rPr>
                <w:sz w:val="20"/>
                <w:szCs w:val="20"/>
                <w:color w:val="auto"/>
              </w:rPr>
            </w:pPr>
            <w:r>
              <w:rPr>
                <w:rFonts w:ascii="Arial" w:cs="Arial" w:eastAsia="Arial" w:hAnsi="Arial"/>
                <w:sz w:val="15"/>
                <w:szCs w:val="15"/>
                <w:color w:val="auto"/>
              </w:rPr>
              <w:t>Other income (expense):</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2"/>
        </w:trPr>
        <w:tc>
          <w:tcPr>
            <w:tcW w:w="39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Interest expense, net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(376)</w:t>
            </w:r>
          </w:p>
        </w:tc>
      </w:tr>
      <w:tr>
        <w:trPr>
          <w:trHeight w:val="162"/>
        </w:trPr>
        <w:tc>
          <w:tcPr>
            <w:tcW w:w="392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5"/>
              </w:rPr>
              <w:t>1,367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1,381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(2,748)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920" w:type="dxa"/>
            <w:vAlign w:val="bottom"/>
            <w:gridSpan w:val="3"/>
            <w:shd w:val="clear" w:color="auto" w:fill="CCEEFF"/>
          </w:tcPr>
          <w:p>
            <w:pPr>
              <w:ind w:left="220"/>
              <w:spacing w:after="0" w:line="162" w:lineRule="exact"/>
              <w:rPr>
                <w:sz w:val="20"/>
                <w:szCs w:val="20"/>
                <w:color w:val="auto"/>
              </w:rPr>
            </w:pPr>
            <w:r>
              <w:rPr>
                <w:rFonts w:ascii="Arial" w:cs="Arial" w:eastAsia="Arial" w:hAnsi="Arial"/>
                <w:sz w:val="15"/>
                <w:szCs w:val="15"/>
                <w:color w:val="auto"/>
              </w:rPr>
              <w:t>Other, net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w:t>
            </w:r>
          </w:p>
        </w:tc>
      </w:tr>
      <w:tr>
        <w:trPr>
          <w:trHeight w:val="156"/>
        </w:trPr>
        <w:tc>
          <w:tcPr>
            <w:tcW w:w="17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1,063</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1,361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(2,748)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(474)</w:t>
            </w:r>
          </w:p>
        </w:tc>
      </w:tr>
      <w:tr>
        <w:trPr>
          <w:trHeight w:val="156"/>
        </w:trPr>
        <w:tc>
          <w:tcPr>
            <w:tcW w:w="392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before income taxes</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1,063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1,361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2,146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(2,748)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1,822</w:t>
            </w:r>
          </w:p>
        </w:tc>
      </w:tr>
      <w:tr>
        <w:trPr>
          <w:trHeight w:val="162"/>
        </w:trPr>
        <w:tc>
          <w:tcPr>
            <w:tcW w:w="3920" w:type="dxa"/>
            <w:vAlign w:val="bottom"/>
            <w:gridSpan w:val="3"/>
          </w:tcPr>
          <w:p>
            <w:pPr>
              <w:spacing w:after="0" w:line="162" w:lineRule="exact"/>
              <w:rPr>
                <w:sz w:val="20"/>
                <w:szCs w:val="20"/>
                <w:color w:val="auto"/>
              </w:rPr>
            </w:pPr>
            <w:r>
              <w:rPr>
                <w:rFonts w:ascii="Arial" w:cs="Arial" w:eastAsia="Arial" w:hAnsi="Arial"/>
                <w:sz w:val="15"/>
                <w:szCs w:val="15"/>
                <w:color w:val="auto"/>
              </w:rPr>
              <w:t>Income tax expense (benefit)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(119)</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769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642</w:t>
            </w:r>
          </w:p>
        </w:tc>
      </w:tr>
      <w:tr>
        <w:trPr>
          <w:trHeight w:val="156"/>
        </w:trPr>
        <w:tc>
          <w:tcPr>
            <w:tcW w:w="3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Consolidated net income</w:t>
            </w: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1,182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1,369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1,377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(2,748)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1,180</w:t>
            </w:r>
          </w:p>
        </w:tc>
      </w:tr>
      <w:tr>
        <w:trPr>
          <w:trHeight w:val="162"/>
        </w:trPr>
        <w:tc>
          <w:tcPr>
            <w:tcW w:w="392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Less: Net loss attributable to noncontrolling interests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r>
      <w:tr>
        <w:trPr>
          <w:trHeight w:val="163"/>
        </w:trPr>
        <w:tc>
          <w:tcPr>
            <w:tcW w:w="3920" w:type="dxa"/>
            <w:vAlign w:val="bottom"/>
            <w:tcBorders>
              <w:top w:val="single" w:sz="8" w:color="CCEEFF"/>
              <w:bottom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1,182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1,369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1,379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(2,748)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1,182</w:t>
            </w:r>
          </w:p>
        </w:tc>
      </w:tr>
      <w:tr>
        <w:trPr>
          <w:trHeight w:val="108"/>
        </w:trPr>
        <w:tc>
          <w:tcPr>
            <w:tcW w:w="17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2018 and 2017, costs and expenses for WM and operating revenues for Non-Guarantor Subsidiaries include insurance premiums for a wholly-owned insurance captive, which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Years Ended December 31:</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2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Less: Comprehensive loss attributable to noncontrolling</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Comprehensive income attributable to Waste Management,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$ 1,933</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$ 2,283</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86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$ 1,955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$ 2,469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(4,951)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Less: Comprehensive loss attributable to noncontrolling</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tcPr>
          <w:p>
            <w:pPr>
              <w:spacing w:after="0" w:line="182" w:lineRule="exact"/>
              <w:rPr>
                <w:sz w:val="20"/>
                <w:szCs w:val="20"/>
                <w:color w:val="auto"/>
              </w:rPr>
            </w:pPr>
            <w:r>
              <w:rPr>
                <w:rFonts w:ascii="Arial" w:cs="Arial" w:eastAsia="Arial" w:hAnsi="Arial"/>
                <w:sz w:val="18"/>
                <w:szCs w:val="18"/>
                <w:color w:val="auto"/>
                <w:w w:val="90"/>
              </w:rPr>
              <w:t>Comprehensive income attributable to Waste Management,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$ 1,955</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$ 2,469</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2,564</w:t>
            </w:r>
          </w:p>
        </w:tc>
        <w:tc>
          <w:tcPr>
            <w:tcW w:w="3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(4,951)</w:t>
            </w:r>
          </w:p>
        </w:tc>
        <w:tc>
          <w:tcPr>
            <w:tcW w:w="4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86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Less: Comprehensive loss attributable to noncontrolling</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Comprehensive income attributable to Waste Management,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$ 1,189</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$ 1,369</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8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2"/>
          </w:tcPr>
          <w:p>
            <w:pPr>
              <w:jc w:val="right"/>
              <w:ind w:right="454"/>
              <w:spacing w:after="0"/>
              <w:rPr>
                <w:sz w:val="20"/>
                <w:szCs w:val="20"/>
                <w:color w:val="auto"/>
              </w:rPr>
            </w:pPr>
            <w:r>
              <w:rPr>
                <w:rFonts w:ascii="Arial" w:cs="Arial" w:eastAsia="Arial" w:hAnsi="Arial"/>
                <w:sz w:val="18"/>
                <w:szCs w:val="18"/>
                <w:color w:val="auto"/>
                <w:w w:val="99"/>
              </w:rPr>
              <w:t>118</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WM</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5"/>
                <w:szCs w:val="15"/>
                <w:b w:val="1"/>
                <w:bCs w:val="1"/>
                <w:color w:val="auto"/>
              </w:rPr>
              <w:t>Non-Guarantor</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b w:val="1"/>
                <w:bCs w:val="1"/>
                <w:color w:val="auto"/>
              </w:rPr>
              <w:t>WM(a)</w:t>
            </w:r>
          </w:p>
        </w:tc>
        <w:tc>
          <w:tcPr>
            <w:tcW w:w="1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w w:val="89"/>
              </w:rPr>
              <w:t>Holdings(a)</w:t>
            </w:r>
          </w:p>
        </w:tc>
        <w:tc>
          <w:tcPr>
            <w:tcW w:w="1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rPr>
              <w:t>Subsidiaries(a)</w:t>
            </w:r>
          </w:p>
        </w:tc>
        <w:tc>
          <w:tcPr>
            <w:tcW w:w="8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w w:val="96"/>
              </w:rPr>
              <w:t>Eliminations</w:t>
            </w:r>
          </w:p>
        </w:tc>
        <w:tc>
          <w:tcPr>
            <w:tcW w:w="1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Years Ended December 31:</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2018</w:t>
            </w:r>
          </w:p>
        </w:tc>
        <w:tc>
          <w:tcPr>
            <w:tcW w:w="50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Cash flows provided by (used in):</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Operating activities</w:t>
            </w:r>
          </w:p>
        </w:tc>
        <w:tc>
          <w:tcPr>
            <w:tcW w:w="340" w:type="dxa"/>
            <w:vAlign w:val="bottom"/>
            <w:gridSpan w:val="2"/>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3,570</w:t>
            </w:r>
          </w:p>
        </w:tc>
        <w:tc>
          <w:tcPr>
            <w:tcW w:w="80" w:type="dxa"/>
            <w:vAlign w:val="bottom"/>
          </w:tcPr>
          <w:p>
            <w:pPr>
              <w:spacing w:after="0"/>
              <w:rPr>
                <w:sz w:val="14"/>
                <w:szCs w:val="14"/>
                <w:color w:val="auto"/>
              </w:rPr>
            </w:pPr>
          </w:p>
        </w:tc>
        <w:tc>
          <w:tcPr>
            <w:tcW w:w="480" w:type="dxa"/>
            <w:vAlign w:val="bottom"/>
            <w:gridSpan w:val="2"/>
          </w:tcPr>
          <w:p>
            <w:pPr>
              <w:jc w:val="right"/>
              <w:ind w:right="243"/>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3,570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Investing activities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Financing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(1,508)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5"/>
                <w:szCs w:val="15"/>
                <w:color w:val="auto"/>
                <w:w w:val="96"/>
              </w:rPr>
              <w:t>Effect of exchange rate changes on cash, cash equivalents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rPr>
              <w:t>and restricted cash and cash equivalents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Intercompany activity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w w:val="98"/>
              </w:rPr>
              <w:t>Increase (decrease) in cash, cash equivalents and restricted cash</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and cash equivalents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5"/>
                <w:szCs w:val="15"/>
                <w:color w:val="auto"/>
                <w:w w:val="92"/>
              </w:rPr>
              <w:t>Cash, cash equivalents and restricted cash and cash equivalents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Borders>
              <w:bottom w:val="single" w:sz="8" w:color="CCEEFF"/>
            </w:tcBorders>
            <w:gridSpan w:val="3"/>
          </w:tcPr>
          <w:p>
            <w:pPr>
              <w:ind w:left="120"/>
              <w:spacing w:after="0"/>
              <w:rPr>
                <w:sz w:val="20"/>
                <w:szCs w:val="20"/>
                <w:color w:val="auto"/>
              </w:rPr>
            </w:pPr>
            <w:r>
              <w:rPr>
                <w:rFonts w:ascii="Arial" w:cs="Arial" w:eastAsia="Arial" w:hAnsi="Arial"/>
                <w:sz w:val="15"/>
                <w:szCs w:val="15"/>
                <w:color w:val="auto"/>
              </w:rPr>
              <w:t>at beginning of period</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w w:val="99"/>
              </w:rPr>
              <w:t>Cash, cash equivalents and restricted cash and cash equivalents</w:t>
            </w:r>
          </w:p>
        </w:tc>
        <w:tc>
          <w:tcPr>
            <w:tcW w:w="3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at end of period</w:t>
            </w:r>
          </w:p>
        </w:tc>
        <w:tc>
          <w:tcPr>
            <w:tcW w:w="34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6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7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2017</w:t>
            </w:r>
          </w:p>
        </w:tc>
        <w:tc>
          <w:tcPr>
            <w:tcW w:w="5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spacing w:after="0" w:line="162" w:lineRule="exact"/>
              <w:rPr>
                <w:sz w:val="20"/>
                <w:szCs w:val="20"/>
                <w:color w:val="auto"/>
              </w:rPr>
            </w:pPr>
            <w:r>
              <w:rPr>
                <w:rFonts w:ascii="Arial" w:cs="Arial" w:eastAsia="Arial" w:hAnsi="Arial"/>
                <w:sz w:val="15"/>
                <w:szCs w:val="15"/>
                <w:color w:val="auto"/>
              </w:rPr>
              <w:t>Cash flows provided by (used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Operating activities</w:t>
            </w:r>
          </w:p>
        </w:tc>
        <w:tc>
          <w:tcPr>
            <w:tcW w:w="340" w:type="dxa"/>
            <w:vAlign w:val="bottom"/>
            <w:gridSpan w:val="2"/>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3,180</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43"/>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(1,620)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(1,620)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Financing activities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ind w:left="200"/>
              <w:spacing w:after="0" w:line="149" w:lineRule="exact"/>
              <w:rPr>
                <w:sz w:val="20"/>
                <w:szCs w:val="20"/>
                <w:color w:val="auto"/>
              </w:rPr>
            </w:pPr>
            <w:r>
              <w:rPr>
                <w:rFonts w:ascii="Arial" w:cs="Arial" w:eastAsia="Arial" w:hAnsi="Arial"/>
                <w:sz w:val="15"/>
                <w:szCs w:val="15"/>
                <w:color w:val="auto"/>
                <w:w w:val="96"/>
              </w:rPr>
              <w:t>Effect of exchange rate changes on cash, cash equivalents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tcPr>
          <w:p>
            <w:pPr>
              <w:ind w:left="340"/>
              <w:spacing w:after="0"/>
              <w:rPr>
                <w:sz w:val="20"/>
                <w:szCs w:val="20"/>
                <w:color w:val="auto"/>
              </w:rPr>
            </w:pPr>
            <w:r>
              <w:rPr>
                <w:rFonts w:ascii="Arial" w:cs="Arial" w:eastAsia="Arial" w:hAnsi="Arial"/>
                <w:sz w:val="15"/>
                <w:szCs w:val="15"/>
                <w:color w:val="auto"/>
              </w:rPr>
              <w:t>and restricted cash and cash equivalents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Intercompany activity</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gridSpan w:val="3"/>
          </w:tcPr>
          <w:p>
            <w:pPr>
              <w:spacing w:after="0" w:line="129" w:lineRule="exact"/>
              <w:rPr>
                <w:sz w:val="20"/>
                <w:szCs w:val="20"/>
                <w:color w:val="auto"/>
              </w:rPr>
            </w:pPr>
            <w:r>
              <w:rPr>
                <w:rFonts w:ascii="Arial" w:cs="Arial" w:eastAsia="Arial" w:hAnsi="Arial"/>
                <w:sz w:val="14"/>
                <w:szCs w:val="14"/>
                <w:color w:val="auto"/>
                <w:w w:val="98"/>
              </w:rPr>
              <w:t>Increase (decrease) in cash, cash equivalents and restricted cash</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tcPr>
          <w:p>
            <w:pPr>
              <w:ind w:left="120"/>
              <w:spacing w:after="0"/>
              <w:rPr>
                <w:sz w:val="20"/>
                <w:szCs w:val="20"/>
                <w:color w:val="auto"/>
              </w:rPr>
            </w:pPr>
            <w:r>
              <w:rPr>
                <w:rFonts w:ascii="Arial" w:cs="Arial" w:eastAsia="Arial" w:hAnsi="Arial"/>
                <w:sz w:val="15"/>
                <w:szCs w:val="15"/>
                <w:color w:val="auto"/>
              </w:rPr>
              <w:t>and cash equivalents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w w:val="92"/>
              </w:rPr>
              <w:t>Cash, cash equivalents and restricted cash and cash equivalents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at beginning of period</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gridSpan w:val="3"/>
          </w:tcPr>
          <w:p>
            <w:pPr>
              <w:spacing w:after="0" w:line="129" w:lineRule="exact"/>
              <w:rPr>
                <w:sz w:val="20"/>
                <w:szCs w:val="20"/>
                <w:color w:val="auto"/>
              </w:rPr>
            </w:pPr>
            <w:r>
              <w:rPr>
                <w:rFonts w:ascii="Arial" w:cs="Arial" w:eastAsia="Arial" w:hAnsi="Arial"/>
                <w:sz w:val="14"/>
                <w:szCs w:val="14"/>
                <w:color w:val="auto"/>
                <w:w w:val="99"/>
              </w:rPr>
              <w:t>Cash, cash equivalents and restricted cash and cash equivalents</w:t>
            </w:r>
          </w:p>
        </w:tc>
        <w:tc>
          <w:tcPr>
            <w:tcW w:w="340" w:type="dxa"/>
            <w:vAlign w:val="bottom"/>
            <w:gridSpan w:val="2"/>
            <w:vMerge w:val="restart"/>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vMerge w:val="restart"/>
          </w:tcPr>
          <w:p>
            <w:pPr>
              <w:ind w:left="160"/>
              <w:spacing w:after="0"/>
              <w:rPr>
                <w:sz w:val="20"/>
                <w:szCs w:val="20"/>
                <w:color w:val="auto"/>
              </w:rPr>
            </w:pPr>
            <w:r>
              <w:rPr>
                <w:rFonts w:ascii="Arial" w:cs="Arial" w:eastAsia="Arial" w:hAnsi="Arial"/>
                <w:sz w:val="15"/>
                <w:szCs w:val="15"/>
                <w:color w:val="auto"/>
              </w:rPr>
              <w:t>$</w:t>
            </w:r>
          </w:p>
        </w:tc>
        <w:tc>
          <w:tcPr>
            <w:tcW w:w="620" w:type="dxa"/>
            <w:vAlign w:val="bottom"/>
            <w:vMerge w:val="restart"/>
          </w:tcPr>
          <w:p>
            <w:pPr>
              <w:ind w:left="420"/>
              <w:spacing w:after="0"/>
              <w:rPr>
                <w:sz w:val="20"/>
                <w:szCs w:val="20"/>
                <w:color w:val="auto"/>
              </w:rPr>
            </w:pPr>
            <w:r>
              <w:rPr>
                <w:rFonts w:ascii="Arial" w:cs="Arial" w:eastAsia="Arial" w:hAnsi="Arial"/>
                <w:sz w:val="15"/>
                <w:szCs w:val="15"/>
                <w:color w:val="auto"/>
              </w:rPr>
              <w:t>—</w:t>
            </w:r>
          </w:p>
        </w:tc>
        <w:tc>
          <w:tcPr>
            <w:tcW w:w="520" w:type="dxa"/>
            <w:vAlign w:val="bottom"/>
            <w:gridSpan w:val="2"/>
            <w:vMerge w:val="restart"/>
          </w:tcPr>
          <w:p>
            <w:pPr>
              <w:ind w:left="18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1"/>
                <w:szCs w:val="11"/>
                <w:color w:val="auto"/>
              </w:rPr>
            </w:pPr>
          </w:p>
        </w:tc>
        <w:tc>
          <w:tcPr>
            <w:tcW w:w="480" w:type="dxa"/>
            <w:vAlign w:val="bottom"/>
            <w:gridSpan w:val="2"/>
            <w:vMerge w:val="restart"/>
          </w:tcPr>
          <w:p>
            <w:pPr>
              <w:jc w:val="right"/>
              <w:ind w:right="243"/>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ind w:left="30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43"/>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at end of period</w:t>
            </w:r>
          </w:p>
        </w:tc>
        <w:tc>
          <w:tcPr>
            <w:tcW w:w="34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60" w:type="dxa"/>
            <w:vAlign w:val="bottom"/>
          </w:tcPr>
          <w:p>
            <w:pPr>
              <w:spacing w:after="0" w:line="162" w:lineRule="exact"/>
              <w:rPr>
                <w:sz w:val="20"/>
                <w:szCs w:val="20"/>
                <w:color w:val="auto"/>
              </w:rPr>
            </w:pPr>
            <w:r>
              <w:rPr>
                <w:rFonts w:ascii="Arial" w:cs="Arial" w:eastAsia="Arial" w:hAnsi="Arial"/>
                <w:sz w:val="15"/>
                <w:szCs w:val="15"/>
                <w:b w:val="1"/>
                <w:bCs w:val="1"/>
                <w:color w:val="auto"/>
              </w:rPr>
              <w:t>2016</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Cash flows provided by (used in):</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Operating activities</w:t>
            </w:r>
          </w:p>
        </w:tc>
        <w:tc>
          <w:tcPr>
            <w:tcW w:w="340" w:type="dxa"/>
            <w:vAlign w:val="bottom"/>
            <w:gridSpan w:val="2"/>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3,003</w:t>
            </w:r>
          </w:p>
        </w:tc>
        <w:tc>
          <w:tcPr>
            <w:tcW w:w="80" w:type="dxa"/>
            <w:vAlign w:val="bottom"/>
          </w:tcPr>
          <w:p>
            <w:pPr>
              <w:spacing w:after="0"/>
              <w:rPr>
                <w:sz w:val="14"/>
                <w:szCs w:val="14"/>
                <w:color w:val="auto"/>
              </w:rPr>
            </w:pPr>
          </w:p>
        </w:tc>
        <w:tc>
          <w:tcPr>
            <w:tcW w:w="480" w:type="dxa"/>
            <w:vAlign w:val="bottom"/>
            <w:gridSpan w:val="2"/>
          </w:tcPr>
          <w:p>
            <w:pPr>
              <w:jc w:val="right"/>
              <w:ind w:right="243"/>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3,003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Investing activities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Financing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5"/>
                <w:szCs w:val="15"/>
                <w:color w:val="auto"/>
                <w:w w:val="96"/>
              </w:rPr>
              <w:t>Effect of exchange rate changes on cash, cash equivalents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rPr>
              <w:t>and restricted cash and cash equivalents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Intercompany activity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3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w w:val="98"/>
              </w:rPr>
              <w:t>Increase (decrease) in cash, cash equivalents and restricted cash</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and cash equivalents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5"/>
                <w:szCs w:val="15"/>
                <w:color w:val="auto"/>
                <w:w w:val="92"/>
              </w:rPr>
              <w:t>Cash, cash equivalents and restricted cash and cash equivalents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Borders>
              <w:bottom w:val="single" w:sz="8" w:color="CCEEFF"/>
            </w:tcBorders>
            <w:gridSpan w:val="3"/>
          </w:tcPr>
          <w:p>
            <w:pPr>
              <w:ind w:left="120"/>
              <w:spacing w:after="0"/>
              <w:rPr>
                <w:sz w:val="20"/>
                <w:szCs w:val="20"/>
                <w:color w:val="auto"/>
              </w:rPr>
            </w:pPr>
            <w:r>
              <w:rPr>
                <w:rFonts w:ascii="Arial" w:cs="Arial" w:eastAsia="Arial" w:hAnsi="Arial"/>
                <w:sz w:val="15"/>
                <w:szCs w:val="15"/>
                <w:color w:val="auto"/>
              </w:rPr>
              <w:t>at beginning of period</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w w:val="99"/>
              </w:rPr>
              <w:t>Cash, cash equivalents and restricted cash and cash equivalents</w:t>
            </w:r>
          </w:p>
        </w:tc>
        <w:tc>
          <w:tcPr>
            <w:tcW w:w="3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at end of period</w:t>
            </w:r>
          </w:p>
        </w:tc>
        <w:tc>
          <w:tcPr>
            <w:tcW w:w="34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tcBorders>
              <w:top w:val="single" w:sz="8" w:color="CCEEFF"/>
              <w:bottom w:val="single" w:sz="8" w:color="auto"/>
            </w:tcBorders>
          </w:tcPr>
          <w:p>
            <w:pPr>
              <w:spacing w:after="0"/>
              <w:rPr>
                <w:sz w:val="9"/>
                <w:szCs w:val="9"/>
                <w:color w:val="auto"/>
              </w:rPr>
            </w:pPr>
          </w:p>
        </w:tc>
        <w:tc>
          <w:tcPr>
            <w:tcW w:w="500" w:type="dxa"/>
            <w:vAlign w:val="bottom"/>
            <w:tcBorders>
              <w:top w:val="single" w:sz="8" w:color="CCEEFF"/>
              <w:bottom w:val="single" w:sz="8" w:color="auto"/>
            </w:tcBorders>
          </w:tcPr>
          <w:p>
            <w:pPr>
              <w:spacing w:after="0"/>
              <w:rPr>
                <w:sz w:val="9"/>
                <w:szCs w:val="9"/>
                <w:color w:val="auto"/>
              </w:rPr>
            </w:pPr>
          </w:p>
        </w:tc>
        <w:tc>
          <w:tcPr>
            <w:tcW w:w="17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Cash receipts and payments of WM and WM Holdings are transacted by Non-Guarantor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January 31, 2019, we received Hart Scott Rodino antitrust clearance to proceed with the acquisition of landfill assets in West Texas related to our Solid Waste business. This transaction is expected to close in March 2019.</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2018 (the end of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204" w:lineRule="exact"/>
        <w:rPr>
          <w:sz w:val="20"/>
          <w:szCs w:val="20"/>
          <w:color w:val="auto"/>
        </w:rPr>
      </w:pPr>
    </w:p>
    <w:p>
      <w:pPr>
        <w:ind w:left="660" w:hanging="333"/>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6"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the Company assessed the effectiveness of our internal control over financial reporting as of December 31, 2018 based on the Internal Control — Integrated Framework issued by the Committee of Sponsoring Organizations of the Treadway Commission (2013 framework). Based on this assessment, management has concluded that our internal control over financial reporting was effective as of December 31, 2018.</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within this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2018. We determined that there were no changes in our internal control over financial reporting during the quarter ended December 31, 2018 that have materially affected, or are reasonably likely to materially affect, our internal control over financial reporting.</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entitled “Board of Directors,” “Section 16(a) Beneficial Ownership Reporting Compliance,” and “Executive Officers,” in the Company’s definitive Proxy Statement for its 2019 Annual Meeting of Stockholders (the “Proxy Statement”), to be held May 14, 2019. The Proxy Statement will be filed with the SEC within 120 days of the end of our fiscal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and “— Executive Compensation Tables” in the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(1) Consolidated Financial Statements:</w:t>
      </w:r>
    </w:p>
    <w:p>
      <w:pPr>
        <w:spacing w:after="0" w:line="225" w:lineRule="exact"/>
        <w:rPr>
          <w:sz w:val="20"/>
          <w:szCs w:val="20"/>
          <w:color w:val="auto"/>
        </w:rPr>
      </w:pPr>
    </w:p>
    <w:p>
      <w:pPr>
        <w:ind w:left="320" w:right="4080"/>
        <w:spacing w:after="0" w:line="291" w:lineRule="auto"/>
        <w:rPr>
          <w:sz w:val="20"/>
          <w:szCs w:val="20"/>
          <w:color w:val="auto"/>
        </w:rPr>
      </w:pPr>
      <w:r>
        <w:rPr>
          <w:rFonts w:ascii="Arial" w:cs="Arial" w:eastAsia="Arial" w:hAnsi="Arial"/>
          <w:sz w:val="16"/>
          <w:szCs w:val="16"/>
          <w:color w:val="auto"/>
        </w:rPr>
        <w:t>Reports of Independent Registered Public Accounting Firm Consolidated Balance Sheets as of December 31, 2018 and 2017</w:t>
      </w:r>
    </w:p>
    <w:p>
      <w:pPr>
        <w:ind w:left="320" w:right="960"/>
        <w:spacing w:after="0" w:line="253" w:lineRule="auto"/>
        <w:rPr>
          <w:sz w:val="20"/>
          <w:szCs w:val="20"/>
          <w:color w:val="auto"/>
        </w:rPr>
      </w:pPr>
      <w:r>
        <w:rPr>
          <w:rFonts w:ascii="Arial" w:cs="Arial" w:eastAsia="Arial" w:hAnsi="Arial"/>
          <w:sz w:val="18"/>
          <w:szCs w:val="18"/>
          <w:color w:val="auto"/>
        </w:rPr>
        <w:t>Consolidated Statements of Operations for the years ended December 31, 2018, 2017 and 2016 Consolidated Statements of Comprehensive Income for the years ended December 31, 2018, 2017 and 2016 Consolidated Statements of Cash Flows for the years ended December 31, 2018, 2017 and 2016 Consolidated Statements of Changes in Equity for the years ended December 31, 2018, 2017 and 2016 Notes to Consolidated Financial Statements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(2) Consolidated Financial Statement Schedules: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schedules have been omitted because the required information is not significant or is included in the financial statements or notes thereto, or is not applicable.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(3)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900" w:type="dxa"/>
            <w:vAlign w:val="bottom"/>
            <w:gridSpan w:val="6"/>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3"/>
        </w:trPr>
        <w:tc>
          <w:tcPr>
            <w:tcW w:w="70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20" w:type="dxa"/>
            <w:vAlign w:val="bottom"/>
            <w:tcBorders>
              <w:top w:val="single" w:sz="8" w:color="auto"/>
              <w:bottom w:val="single" w:sz="8" w:color="0000EE"/>
            </w:tcBorders>
            <w:gridSpan w:val="9"/>
          </w:tcPr>
          <w:p>
            <w:pPr>
              <w:spacing w:after="0" w:line="163"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Third Restated Certificate of Incorporation of Waste Management, Inc.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Exhibit 3.1 to Form 10</w:t>
              </w:r>
              <w:r>
                <w:rPr>
                  <w:rFonts w:ascii="MS PGothic" w:cs="MS PGothic" w:eastAsia="MS PGothic" w:hAnsi="MS PGothic"/>
                  <w:sz w:val="18"/>
                  <w:szCs w:val="18"/>
                  <w:color w:val="0000EE"/>
                </w:rPr>
                <w:t>‑</w:t>
              </w:r>
              <w:r>
                <w:rPr>
                  <w:rFonts w:ascii="Arial" w:cs="Arial" w:eastAsia="Arial" w:hAnsi="Arial"/>
                  <w:sz w:val="18"/>
                  <w:szCs w:val="18"/>
                  <w:color w:val="0000EE"/>
                </w:rPr>
                <w:t>Q for the quarter ended June 30, 2010].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Amended and Restated By-laws of Waste Management, Inc. [incorporated by reference to Exhibit 3.2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February 19, 2018].</w:t>
              </w:r>
            </w:hyperlink>
          </w:p>
        </w:tc>
        <w:tc>
          <w:tcPr>
            <w:tcW w:w="4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Specimen Stock Certificate [incorporated by reference to Exhibit 4.1 to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K for the year ended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December 31, 1998].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Third Restated Certificate of Incorporation of Waste Management Holdings, Inc. [incorporated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reference to Exhibit 4.2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2014].</w:t>
              </w:r>
            </w:hyperlink>
          </w:p>
        </w:tc>
        <w:tc>
          <w:tcPr>
            <w:tcW w:w="1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Amended and Restated By-laws of Waste Management Holdings, Inc.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Exhibit 4.3 to Form 10</w:t>
              </w:r>
              <w:r>
                <w:rPr>
                  <w:rFonts w:ascii="MS PGothic" w:cs="MS PGothic" w:eastAsia="MS PGothic" w:hAnsi="MS PGothic"/>
                  <w:sz w:val="18"/>
                  <w:szCs w:val="18"/>
                  <w:color w:val="0000EE"/>
                </w:rPr>
                <w:t>‑</w:t>
              </w:r>
              <w:r>
                <w:rPr>
                  <w:rFonts w:ascii="Arial" w:cs="Arial" w:eastAsia="Arial" w:hAnsi="Arial"/>
                  <w:sz w:val="18"/>
                  <w:szCs w:val="18"/>
                  <w:color w:val="0000EE"/>
                </w:rPr>
                <w:t>Q for the quarter ended June 30, 2014].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Indenture for Subordinated Debt Securities dated February 3, 1997, among the Registrant and The Bank</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of New York Mellon Trust Company, N.A. (the current successor to Texas Commerce Bank National</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Association), as trustee [incorporated by reference to Exhibit 4.1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February 7, 1997].</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Indenture for Senior Debt Securities dated September 10, 1997, among the Registrant and The Bank of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130">
              <w:r>
                <w:rPr>
                  <w:rFonts w:ascii="Arial" w:cs="Arial" w:eastAsia="Arial" w:hAnsi="Arial"/>
                  <w:sz w:val="18"/>
                  <w:szCs w:val="18"/>
                  <w:color w:val="0000EE"/>
                  <w:w w:val="96"/>
                </w:rPr>
                <w:t>New York Mellon Trust Company, N.A. (the current successor to Texas Commerce Bank National</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Association), as trustee [incorporated by reference to Exhibit 4.1 to Form 8</w:t>
              </w:r>
              <w:r>
                <w:rPr>
                  <w:rFonts w:ascii="MS PGothic" w:cs="MS PGothic" w:eastAsia="MS PGothic" w:hAnsi="MS PGothic"/>
                  <w:sz w:val="18"/>
                  <w:szCs w:val="18"/>
                  <w:color w:val="0000EE"/>
                  <w:w w:val="95"/>
                </w:rPr>
                <w:t>‑</w:t>
              </w:r>
              <w:r>
                <w:rPr>
                  <w:rFonts w:ascii="Arial" w:cs="Arial" w:eastAsia="Arial" w:hAnsi="Arial"/>
                  <w:sz w:val="18"/>
                  <w:szCs w:val="18"/>
                  <w:color w:val="0000EE"/>
                  <w:w w:val="95"/>
                </w:rPr>
                <w:t>K dated September 10,</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1997].</w:t>
              </w:r>
            </w:hyperlink>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Officers’ Certificate delivered pursuant to Section 301 of the Indenture dated September 10, 1997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and between Waste Management, Inc. and The Bank of New York Mellon Trust Company, N.A., as</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Trustee, establishing the terms and form of Waste Management, Inc.’s 3.150% Senior Notes due 2027</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[incorporated by reference to Exhibit 4.6 to Form 10-K for the year ended December 31, 2017].</w:t>
              </w:r>
            </w:hyperlink>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Guarantee Agreement by Waste Management Holdings, Inc. in favor of The Bank of New York Mellon</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Trust Company, N.A., as Trustee for the holders of Waste Management, Inc.’s 3.150% Senior Notes due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2027 [incorporated by reference to Exhibit 4.7 to Form 10-K for the year ended December 31, 2017].</w:t>
              </w:r>
            </w:hyperlink>
          </w:p>
        </w:tc>
        <w:tc>
          <w:tcPr>
            <w:tcW w:w="0" w:type="dxa"/>
            <w:vAlign w:val="bottom"/>
          </w:tcPr>
          <w:p>
            <w:pPr>
              <w:spacing w:after="0"/>
              <w:rPr>
                <w:sz w:val="1"/>
                <w:szCs w:val="1"/>
                <w:color w:val="auto"/>
              </w:rPr>
            </w:pPr>
          </w:p>
        </w:tc>
      </w:tr>
      <w:tr>
        <w:trPr>
          <w:trHeight w:val="669"/>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top w:val="single" w:sz="8" w:color="0000EE"/>
            </w:tcBorders>
            <w:gridSpan w:val="4"/>
          </w:tcPr>
          <w:p>
            <w:pPr>
              <w:jc w:val="right"/>
              <w:ind w:right="1328"/>
              <w:spacing w:after="0"/>
              <w:rPr>
                <w:sz w:val="20"/>
                <w:szCs w:val="20"/>
                <w:color w:val="auto"/>
              </w:rPr>
            </w:pPr>
            <w:r>
              <w:rPr>
                <w:rFonts w:ascii="Arial" w:cs="Arial" w:eastAsia="Arial" w:hAnsi="Arial"/>
                <w:sz w:val="18"/>
                <w:szCs w:val="18"/>
                <w:color w:val="auto"/>
              </w:rPr>
              <w:t>122</w:t>
            </w:r>
          </w:p>
        </w:tc>
        <w:tc>
          <w:tcPr>
            <w:tcW w:w="1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52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Schedule  of  Officers’  Certificates  delivered  pursuant  to  Section  301  of  the  Indenture  dated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September 10, 1997 establishing the terms and form of Waste Management, Inc.’s Senior Notes. Waste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Management and its subsidiaries are parties to debt instruments that have not been filed with the SEC</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under which the total amount of securities authorized under any single instrument does not exceed 10%</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26">
              <w:r>
                <w:rPr>
                  <w:rFonts w:ascii="Arial" w:cs="Arial" w:eastAsia="Arial" w:hAnsi="Arial"/>
                  <w:sz w:val="18"/>
                  <w:szCs w:val="18"/>
                  <w:color w:val="0000EE"/>
                  <w:w w:val="96"/>
                </w:rPr>
                <w:t>of the total assets of Waste Management and its subsidiaries on a consolidated basis. Pursuant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paragraph 4(iii)(A) of Item 601(b) of Regulation S-K, Waste Management agrees to furnish a copy of</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such instruments to the SEC upon request.</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2014 Stock Incentive Plan [incorporated by reference to Exhibit 10.1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May 13, 2014].</w:t>
              </w:r>
            </w:hyperlink>
          </w:p>
        </w:tc>
        <w:tc>
          <w:tcPr>
            <w:tcW w:w="2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2009 Stock Incentive Plan [incorporated by reference to Appendix B to the Proxy Statement on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Schedule 14A filed March 25, 2009].</w:t>
              </w:r>
            </w:hyperlink>
          </w:p>
        </w:tc>
        <w:tc>
          <w:tcPr>
            <w:tcW w:w="4840" w:type="dxa"/>
            <w:vAlign w:val="bottom"/>
            <w:gridSpan w:val="11"/>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r:id="rId135">
              <w:r>
                <w:rPr>
                  <w:rFonts w:ascii="Arial" w:cs="Arial" w:eastAsia="Arial" w:hAnsi="Arial"/>
                  <w:sz w:val="18"/>
                  <w:szCs w:val="18"/>
                  <w:color w:val="0000EE"/>
                  <w:w w:val="97"/>
                </w:rPr>
                <w:t>2005 Annual Incentive Plan [incorporated by reference to Appendix D to the Proxy Statement on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Schedule 14A filed April 8, 2004].</w:t>
              </w:r>
            </w:hyperlink>
          </w:p>
        </w:tc>
        <w:tc>
          <w:tcPr>
            <w:tcW w:w="5020" w:type="dxa"/>
            <w:vAlign w:val="bottom"/>
            <w:gridSpan w:val="13"/>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Waste Management, Inc. Employee Stock Purchase Plan [incorporated by reference to Exhibit 10.1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May 15, 2015].</w:t>
              </w:r>
            </w:hyperlink>
          </w:p>
        </w:tc>
        <w:tc>
          <w:tcPr>
            <w:tcW w:w="5220" w:type="dxa"/>
            <w:vAlign w:val="bottom"/>
            <w:gridSpan w:val="15"/>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First Amendment to Waste Management, Inc. Employee Stock Purchase Plan effective as of July 1,</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2015 [incorporated by reference to Exhibit 10.5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2015].</w:t>
              </w:r>
            </w:hyperlink>
          </w:p>
        </w:tc>
        <w:tc>
          <w:tcPr>
            <w:tcW w:w="140" w:type="dxa"/>
            <w:vAlign w:val="bottom"/>
            <w:gridSpan w:val="2"/>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Waste Management, Inc. 409A Deferral Savings Plan as Amended and Restated effective January 1,</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2014 [incorporated by reference to Exhibit 10.2 to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Q for the quarter ended March 31, 2014].</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u w:val="single" w:color="auto"/>
                  <w:color w:val="0000EE"/>
                  <w:w w:val="91"/>
                </w:rPr>
                <w:t>$</w:t>
              </w:r>
              <w:r>
                <w:rPr>
                  <w:rFonts w:ascii="Arial" w:cs="Arial" w:eastAsia="Arial" w:hAnsi="Arial"/>
                  <w:sz w:val="18"/>
                  <w:szCs w:val="18"/>
                  <w:color w:val="0000EE"/>
                  <w:w w:val="91"/>
                </w:rPr>
                <w:t>2.75 Billion Fourth Amended and Restated Revolving Credit Agreement dated as of June 26, 2018 by</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and among Waste Management, Inc., Waste Management of Canada Corporation, WM Quebec Inc. and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Waste Management Holdings, Inc., certain banks party thereto, and Bank of America, N.A., as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w w:val="98"/>
              </w:rPr>
            </w:pPr>
            <w:hyperlink r:id="rId139">
              <w:r>
                <w:rPr>
                  <w:rFonts w:ascii="Arial" w:cs="Arial" w:eastAsia="Arial" w:hAnsi="Arial"/>
                  <w:sz w:val="18"/>
                  <w:szCs w:val="18"/>
                  <w:color w:val="0000EE"/>
                  <w:w w:val="98"/>
                </w:rPr>
                <w:t>administrative agent [incorporated by reference to Exhibit 10.1 to Form 8-K filed June 29, 2018].</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u w:val="single" w:color="auto"/>
                  <w:color w:val="0000EE"/>
                  <w:w w:val="93"/>
                </w:rPr>
                <w:t>$</w:t>
              </w:r>
              <w:r>
                <w:rPr>
                  <w:rFonts w:ascii="Arial" w:cs="Arial" w:eastAsia="Arial" w:hAnsi="Arial"/>
                  <w:sz w:val="18"/>
                  <w:szCs w:val="18"/>
                  <w:color w:val="0000EE"/>
                  <w:w w:val="93"/>
                </w:rPr>
                <w:t>2.25 Billion Third Amended and Restated Revolving Credit Agreement dated as of July 10, 2015 by</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and among Waste Management, Inc. and Waste Management Holdings, Inc. and certain banks party</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thereto, and Bank of America, N.A., as administrative agent [incorporated by reference to Exhibit 10.1</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to Form 8</w:t>
              </w:r>
              <w:r>
                <w:rPr>
                  <w:rFonts w:ascii="MS PGothic" w:cs="MS PGothic" w:eastAsia="MS PGothic" w:hAnsi="MS PGothic"/>
                  <w:sz w:val="18"/>
                  <w:szCs w:val="18"/>
                  <w:color w:val="0000EE"/>
                </w:rPr>
                <w:t>‑</w:t>
              </w:r>
              <w:r>
                <w:rPr>
                  <w:rFonts w:ascii="Arial" w:cs="Arial" w:eastAsia="Arial" w:hAnsi="Arial"/>
                  <w:sz w:val="18"/>
                  <w:szCs w:val="18"/>
                  <w:color w:val="0000EE"/>
                </w:rPr>
                <w:t>K dated July 10, 2015].</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u w:val="single" w:color="auto"/>
                  <w:color w:val="0000EE"/>
                  <w:w w:val="94"/>
                </w:rPr>
                <w:t>CDN$</w:t>
              </w:r>
              <w:r>
                <w:rPr>
                  <w:rFonts w:ascii="Arial" w:cs="Arial" w:eastAsia="Arial" w:hAnsi="Arial"/>
                  <w:sz w:val="18"/>
                  <w:szCs w:val="18"/>
                  <w:color w:val="0000EE"/>
                  <w:w w:val="94"/>
                </w:rPr>
                <w:t>509,500,000 Credit Facilities Amended and Restated Credit Agreement by and among Waste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Management of Canada Corporation and WM Quebec Inc., as borrowers, Waste Management, Inc. and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Waste Management Holdings, Inc., as guarantors, The Bank of Nova Scotia, as administrative agent,</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JPMorgan Chase Bank, N.A., Bank of America, N.A. and PNC Bank Canada Branch, as co-syndication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agents, The Bank of Nova Scotia, JPMorgan Chase Bank, N.A., Merrill Lynch, Pierce, Fenner &amp; Smith</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Incorporated and PNC Capital Markets LLC, as joint lead arrangers and joint bookrunners and the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Lenders from time to time party thereto [incorporated by reference to Exhibit 10.1 to Form 8</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dated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March 24, 2016].</w:t>
              </w:r>
            </w:hyperlink>
          </w:p>
        </w:tc>
        <w:tc>
          <w:tcPr>
            <w:tcW w:w="6280" w:type="dxa"/>
            <w:vAlign w:val="bottom"/>
            <w:gridSpan w:val="16"/>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Commercial Paper Dealer Agreement, substantially in the form as executed with each of Mizuho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Securities USA Inc., Merrill Lynch, Pierce, Fenner &amp; Smith Incorporated, and J.P. Morgan Securities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LLC, as Dealer, dated August 22, 2016 [incorporated by reference to Exhibit 10.11 to Form 10</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for</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the year ended December 31, 2016].</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Commercial Paper Issuing and Paying Agent Agreement between Waste Management, Inc. and Bank of</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43">
              <w:r>
                <w:rPr>
                  <w:rFonts w:ascii="Arial" w:cs="Arial" w:eastAsia="Arial" w:hAnsi="Arial"/>
                  <w:sz w:val="18"/>
                  <w:szCs w:val="18"/>
                  <w:color w:val="0000EE"/>
                  <w:w w:val="95"/>
                </w:rPr>
                <w:t>America, National Association dated August 15, 2016 [incorporated by reference to Exhibit 10.12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for the year ended December 31, 2016].</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40" w:type="dxa"/>
            <w:vAlign w:val="bottom"/>
            <w:gridSpan w:val="7"/>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First Amended and Restated Employment Agreement between USA Waste-Management Resources,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44">
              <w:r>
                <w:rPr>
                  <w:rFonts w:ascii="Arial" w:cs="Arial" w:eastAsia="Arial" w:hAnsi="Arial"/>
                  <w:sz w:val="18"/>
                  <w:szCs w:val="18"/>
                  <w:color w:val="0000EE"/>
                  <w:w w:val="95"/>
                </w:rPr>
                <w:t>LLC and James C. Fish, Jr. dated December 22, 2017 [incorporated by reference to Exhibit 10.2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Form 8-K dated December 22, 2017].</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40" w:type="dxa"/>
            <w:vAlign w:val="bottom"/>
            <w:gridSpan w:val="7"/>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Employment Agreement between USA Waste-Management Resources, LLC and Devina A. Rankin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dated December 22, 2017 [incorporated by reference to Exhibit 10.3 to Form 8-K dated December 22,</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45">
              <w:r>
                <w:rPr>
                  <w:rFonts w:ascii="Arial" w:cs="Arial" w:eastAsia="Arial" w:hAnsi="Arial"/>
                  <w:sz w:val="18"/>
                  <w:szCs w:val="18"/>
                  <w:color w:val="0000EE"/>
                  <w:w w:val="87"/>
                </w:rPr>
                <w:t>2017].</w:t>
              </w:r>
            </w:hyperlink>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r:id="rId146">
              <w:r>
                <w:rPr>
                  <w:rFonts w:ascii="Arial" w:cs="Arial" w:eastAsia="Arial" w:hAnsi="Arial"/>
                  <w:sz w:val="18"/>
                  <w:szCs w:val="18"/>
                  <w:color w:val="0000EE"/>
                  <w:w w:val="97"/>
                </w:rPr>
                <w:t>Employment Agreement between the Company and James E. Trevathan, Jr. dated June 1, 2000</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[incorporated by reference to Exhibit 10.20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2000].</w:t>
              </w:r>
            </w:hyperlink>
          </w:p>
        </w:tc>
        <w:tc>
          <w:tcPr>
            <w:tcW w:w="460" w:type="dxa"/>
            <w:vAlign w:val="bottom"/>
            <w:gridSpan w:val="4"/>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Amendment  to  Employment  Agreement  between  the  Company  and  James  E.  Trevathan,  Jr.</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[incorporated by reference to Exhibit 10.3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March 9, 2011].</w:t>
              </w:r>
            </w:hyperlink>
          </w:p>
        </w:tc>
        <w:tc>
          <w:tcPr>
            <w:tcW w:w="1920" w:type="dxa"/>
            <w:vAlign w:val="bottom"/>
            <w:gridSpan w:val="6"/>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Employment Agreement between the Company and Jeff Harris dated December 1, 2006 [incorporated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8"/>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by reference to Exhibit 10.1 to Form 8</w:t>
              </w:r>
              <w:r>
                <w:rPr>
                  <w:rFonts w:ascii="MS PGothic" w:cs="MS PGothic" w:eastAsia="MS PGothic" w:hAnsi="MS PGothic"/>
                  <w:sz w:val="18"/>
                  <w:szCs w:val="18"/>
                  <w:color w:val="0000EE"/>
                </w:rPr>
                <w:t>‑</w:t>
              </w:r>
              <w:r>
                <w:rPr>
                  <w:rFonts w:ascii="Arial" w:cs="Arial" w:eastAsia="Arial" w:hAnsi="Arial"/>
                  <w:sz w:val="18"/>
                  <w:szCs w:val="18"/>
                  <w:color w:val="0000EE"/>
                </w:rPr>
                <w:t>K dated December 1, 2006].</w:t>
              </w:r>
            </w:hyperlink>
          </w:p>
        </w:tc>
      </w:tr>
      <w:tr>
        <w:trPr>
          <w:trHeight w:val="66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tcBorders>
              <w:top w:val="single" w:sz="8" w:color="0000EE"/>
            </w:tcBorders>
            <w:gridSpan w:val="10"/>
          </w:tcPr>
          <w:p>
            <w:pPr>
              <w:jc w:val="right"/>
              <w:ind w:right="580"/>
              <w:spacing w:after="0"/>
              <w:rPr>
                <w:sz w:val="20"/>
                <w:szCs w:val="20"/>
                <w:color w:val="auto"/>
              </w:rPr>
            </w:pPr>
            <w:r>
              <w:rPr>
                <w:rFonts w:ascii="Arial" w:cs="Arial" w:eastAsia="Arial" w:hAnsi="Arial"/>
                <w:sz w:val="18"/>
                <w:szCs w:val="18"/>
                <w:color w:val="auto"/>
              </w:rPr>
              <w:t>123</w:t>
            </w:r>
          </w:p>
        </w:tc>
        <w:tc>
          <w:tcPr>
            <w:tcW w:w="11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36"/>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540" w:type="dxa"/>
            <w:vAlign w:val="bottom"/>
            <w:tcBorders>
              <w:bottom w:val="single" w:sz="8" w:color="0000EE"/>
            </w:tcBorders>
            <w:gridSpan w:val="19"/>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Amendment to Employment Agreement by and between the Company and Jeff Harris [incorporated by</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reference to Exhibit 10.6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for the quarter ended March 31, 2011].</w:t>
              </w:r>
            </w:hyperlink>
          </w:p>
        </w:tc>
        <w:tc>
          <w:tcPr>
            <w:tcW w:w="1860" w:type="dxa"/>
            <w:vAlign w:val="bottom"/>
            <w:gridSpan w:val="5"/>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First Amended and Restated Employment Agreement between USA Waste-Management Resources,</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LLC and John J. Morris, Jr. [incorporated by reference to Exhibit 10.4 to Form 8-K dated December 22,</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2017].</w:t>
              </w:r>
            </w:hyperlink>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Employment Agreement between USA Waste-Management Resources, LLC and Charles C. Boettcher</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dated December 22, 2017 [incorporated by reference to Exhibit 10.23 to Form 10-K for the year ended</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9"/>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December 31, 2017].</w:t>
              </w:r>
            </w:hyperlink>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152">
              <w:r>
                <w:rPr>
                  <w:rFonts w:ascii="Arial" w:cs="Arial" w:eastAsia="Arial" w:hAnsi="Arial"/>
                  <w:sz w:val="18"/>
                  <w:szCs w:val="18"/>
                  <w:color w:val="0000EE"/>
                  <w:w w:val="96"/>
                </w:rPr>
                <w:t>Employment Agreement between the Company and Barry H. Caldwell dated September 23, 2002</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[incorporated by reference to Exhibit 10.24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2002].</w:t>
              </w:r>
            </w:hyperlink>
          </w:p>
        </w:tc>
        <w:tc>
          <w:tcPr>
            <w:tcW w:w="460" w:type="dxa"/>
            <w:vAlign w:val="bottom"/>
            <w:gridSpan w:val="2"/>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Separation and Release Agreement between USA Waste-Management Resources, LLC and Barry H.</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Caldwell.</w:t>
              </w:r>
            </w:hyperlink>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153">
              <w:r>
                <w:rPr>
                  <w:rFonts w:ascii="Arial" w:cs="Arial" w:eastAsia="Arial" w:hAnsi="Arial"/>
                  <w:sz w:val="18"/>
                  <w:szCs w:val="18"/>
                  <w:color w:val="0000EE"/>
                  <w:w w:val="97"/>
                </w:rPr>
                <w:t>Form  of  Director  and  Executive  Officer  Indemnity  Agreement  [incorporated  by  reference  to</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Exhibit 10.43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2012].</w:t>
              </w:r>
            </w:hyperlink>
          </w:p>
        </w:tc>
        <w:tc>
          <w:tcPr>
            <w:tcW w:w="2600" w:type="dxa"/>
            <w:vAlign w:val="bottom"/>
            <w:gridSpan w:val="7"/>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Waste Management Holdings, Inc. Executive Severance Plan [incorporated by reference to Exhibit 10.1</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9"/>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to Form 8-K dated December 22, 2017].</w:t>
              </w:r>
            </w:hyperlink>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Form of 2016 Senior Leadership Team Award Agreement [incorporated by reference to Exhibit 10.1 to</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dated February 26, 2016].</w:t>
              </w:r>
            </w:hyperlink>
          </w:p>
        </w:tc>
        <w:tc>
          <w:tcPr>
            <w:tcW w:w="4880" w:type="dxa"/>
            <w:vAlign w:val="bottom"/>
            <w:gridSpan w:val="11"/>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Form of 2016 Individual Restricted Stock Unit Award Agreement [incorporated by reference to</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Exhibit 10.32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2016].</w:t>
              </w:r>
            </w:hyperlink>
          </w:p>
        </w:tc>
        <w:tc>
          <w:tcPr>
            <w:tcW w:w="2600" w:type="dxa"/>
            <w:vAlign w:val="bottom"/>
            <w:gridSpan w:val="7"/>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Form of 2017 Senior Leadership Team Award Agreement [incorporated by reference to Exhibit 10.1 to</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dated February 27, 2017].</w:t>
              </w:r>
            </w:hyperlink>
          </w:p>
        </w:tc>
        <w:tc>
          <w:tcPr>
            <w:tcW w:w="4880" w:type="dxa"/>
            <w:vAlign w:val="bottom"/>
            <w:gridSpan w:val="11"/>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2017 Senior Leadership Team Award Agreement with Mr. James E. Trevathan, Jr. [incorporated by</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reference to Exhibit 10.2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February 27, 2017].</w:t>
              </w:r>
            </w:hyperlink>
          </w:p>
        </w:tc>
        <w:tc>
          <w:tcPr>
            <w:tcW w:w="2880" w:type="dxa"/>
            <w:vAlign w:val="bottom"/>
            <w:gridSpan w:val="8"/>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Form of 2017 Long Term Incentive Compensation Award Agreement (Mid-Year Award) [incorporated</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19"/>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by reference to Exhibit 10.37 to Form 10-K for the year ended December 31, 2017].</w:t>
              </w:r>
            </w:hyperlink>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Form of 2018 Senior Leadership Team Award Agreement [incorporated by reference to Exhibit 10.1 to</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Form 8-K dated February 19, 2018].</w:t>
              </w:r>
            </w:hyperlink>
          </w:p>
        </w:tc>
        <w:tc>
          <w:tcPr>
            <w:tcW w:w="4900" w:type="dxa"/>
            <w:vAlign w:val="bottom"/>
            <w:gridSpan w:val="12"/>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Subsidiaries of the Registrant.</w:t>
              </w:r>
            </w:hyperlink>
          </w:p>
        </w:tc>
        <w:tc>
          <w:tcPr>
            <w:tcW w:w="5360" w:type="dxa"/>
            <w:vAlign w:val="bottom"/>
            <w:gridSpan w:val="13"/>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50">
              <w:r>
                <w:rPr>
                  <w:rFonts w:ascii="Arial" w:cs="Arial" w:eastAsia="Arial" w:hAnsi="Arial"/>
                  <w:sz w:val="18"/>
                  <w:szCs w:val="18"/>
                  <w:color w:val="0000EE"/>
                  <w:w w:val="91"/>
                </w:rPr>
                <w:t>Consent of Independent Registered Public Accounting Firm.</w:t>
              </w:r>
            </w:hyperlink>
          </w:p>
        </w:tc>
        <w:tc>
          <w:tcPr>
            <w:tcW w:w="3160" w:type="dxa"/>
            <w:vAlign w:val="bottom"/>
            <w:gridSpan w:val="9"/>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Certification Pursuant to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amended, of James C. Fish, Jr., President and Chief Executive Officer.</w:t>
              </w:r>
            </w:hyperlink>
          </w:p>
        </w:tc>
        <w:tc>
          <w:tcPr>
            <w:tcW w:w="2460" w:type="dxa"/>
            <w:vAlign w:val="bottom"/>
            <w:gridSpan w:val="6"/>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52">
              <w:r>
                <w:rPr>
                  <w:rFonts w:ascii="Arial" w:cs="Arial" w:eastAsia="Arial" w:hAnsi="Arial"/>
                  <w:sz w:val="18"/>
                  <w:szCs w:val="18"/>
                  <w:color w:val="0000EE"/>
                  <w:w w:val="92"/>
                </w:rPr>
                <w:t>Certification Pursuant to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amended, of Devina A. Rankin, Senior Vice President and Chief Financial Officer.</w:t>
              </w:r>
            </w:hyperlink>
          </w:p>
        </w:tc>
        <w:tc>
          <w:tcPr>
            <w:tcW w:w="1580" w:type="dxa"/>
            <w:vAlign w:val="bottom"/>
            <w:gridSpan w:val="4"/>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Certification Pursuant to 18 U.S.C. §1350 of James C. Fish, Jr., President and Chief Executive Officer.</w:t>
              </w:r>
            </w:hyperlink>
          </w:p>
        </w:tc>
        <w:tc>
          <w:tcPr>
            <w:tcW w:w="14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154">
              <w:r>
                <w:rPr>
                  <w:rFonts w:ascii="Arial" w:cs="Arial" w:eastAsia="Arial" w:hAnsi="Arial"/>
                  <w:sz w:val="18"/>
                  <w:szCs w:val="18"/>
                  <w:color w:val="0000EE"/>
                  <w:w w:val="99"/>
                </w:rPr>
                <w:t>Certification Pursuant to 18 U.S.C. §1350 of Devina A. Rankin, Senior Vice President and Chief</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Financial Officer.</w:t>
              </w:r>
            </w:hyperlink>
          </w:p>
        </w:tc>
        <w:tc>
          <w:tcPr>
            <w:tcW w:w="6260" w:type="dxa"/>
            <w:vAlign w:val="bottom"/>
            <w:gridSpan w:val="16"/>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95*</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gridSpan w:val="19"/>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Mine Safety Disclosures.</w:t>
              </w:r>
            </w:hyperlink>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5720" w:type="dxa"/>
            <w:vAlign w:val="bottom"/>
            <w:gridSpan w:val="14"/>
          </w:tcPr>
          <w:p>
            <w:pPr>
              <w:spacing w:after="0" w:line="20" w:lineRule="exact"/>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54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1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54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20" w:hanging="317"/>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4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ind w:right="791"/>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4"/>
                <w:szCs w:val="1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2"/>
              </w:rPr>
              <w:t>JAMES C. FISH, JR.</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86"/>
              </w:rPr>
              <w:t>James C. Fish, Jr.</w:t>
            </w:r>
          </w:p>
        </w:tc>
        <w:tc>
          <w:tcPr>
            <w:tcW w:w="300" w:type="dxa"/>
            <w:vAlign w:val="bottom"/>
          </w:tcPr>
          <w:p>
            <w:pPr>
              <w:spacing w:after="0"/>
              <w:rPr>
                <w:sz w:val="19"/>
                <w:szCs w:val="19"/>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rPr>
              <w:t>DEVINA A. RANKIN</w:t>
            </w:r>
          </w:p>
        </w:tc>
        <w:tc>
          <w:tcPr>
            <w:tcW w:w="300" w:type="dxa"/>
            <w:vAlign w:val="bottom"/>
          </w:tcPr>
          <w:p>
            <w:pPr>
              <w:spacing w:after="0"/>
              <w:rPr>
                <w:sz w:val="24"/>
                <w:szCs w:val="24"/>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Senior Vice President and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195"/>
        </w:trPr>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jc w:val="center"/>
              <w:ind w:right="771"/>
              <w:spacing w:after="0" w:line="195" w:lineRule="exact"/>
              <w:rPr>
                <w:sz w:val="20"/>
                <w:szCs w:val="20"/>
                <w:color w:val="auto"/>
              </w:rPr>
            </w:pPr>
            <w:r>
              <w:rPr>
                <w:rFonts w:ascii="Arial" w:cs="Arial" w:eastAsia="Arial" w:hAnsi="Arial"/>
                <w:sz w:val="18"/>
                <w:szCs w:val="18"/>
                <w:color w:val="auto"/>
                <w:w w:val="93"/>
              </w:rPr>
              <w:t>Devina A. Rankin</w:t>
            </w:r>
          </w:p>
        </w:tc>
        <w:tc>
          <w:tcPr>
            <w:tcW w:w="300" w:type="dxa"/>
            <w:vAlign w:val="bottom"/>
          </w:tcPr>
          <w:p>
            <w:pPr>
              <w:spacing w:after="0"/>
              <w:rPr>
                <w:sz w:val="16"/>
                <w:szCs w:val="16"/>
                <w:color w:val="auto"/>
              </w:rPr>
            </w:pPr>
          </w:p>
        </w:tc>
        <w:tc>
          <w:tcPr>
            <w:tcW w:w="412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Chief Financial Officer</w:t>
            </w:r>
          </w:p>
        </w:tc>
        <w:tc>
          <w:tcPr>
            <w:tcW w:w="152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Financial Officer)</w:t>
            </w:r>
          </w:p>
        </w:tc>
        <w:tc>
          <w:tcPr>
            <w:tcW w:w="152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3"/>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9"/>
              </w:rPr>
              <w:t>LESLIE K. NAGY</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President and Chief Accounting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4"/>
              </w:rPr>
              <w:t>Leslie K. Nagy</w:t>
            </w:r>
          </w:p>
        </w:tc>
        <w:tc>
          <w:tcPr>
            <w:tcW w:w="300" w:type="dxa"/>
            <w:vAlign w:val="bottom"/>
          </w:tcPr>
          <w:p>
            <w:pPr>
              <w:spacing w:after="0"/>
              <w:rPr>
                <w:sz w:val="19"/>
                <w:szCs w:val="19"/>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371"/>
              <w:spacing w:after="0"/>
              <w:rPr>
                <w:sz w:val="20"/>
                <w:szCs w:val="20"/>
                <w:color w:val="auto"/>
              </w:rPr>
            </w:pPr>
            <w:r>
              <w:rPr>
                <w:rFonts w:ascii="Arial" w:cs="Arial" w:eastAsia="Arial" w:hAnsi="Arial"/>
                <w:sz w:val="18"/>
                <w:szCs w:val="18"/>
                <w:color w:val="auto"/>
                <w:w w:val="98"/>
              </w:rPr>
              <w:t>/s/  FRANK M. CLARK, JR.</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2640" w:type="dxa"/>
            <w:vAlign w:val="bottom"/>
            <w:gridSpan w:val="2"/>
          </w:tcPr>
          <w:p>
            <w:pPr>
              <w:jc w:val="center"/>
              <w:ind w:right="391"/>
              <w:spacing w:after="0"/>
              <w:rPr>
                <w:sz w:val="20"/>
                <w:szCs w:val="20"/>
                <w:color w:val="auto"/>
              </w:rPr>
            </w:pPr>
            <w:r>
              <w:rPr>
                <w:rFonts w:ascii="Arial" w:cs="Arial" w:eastAsia="Arial" w:hAnsi="Arial"/>
                <w:sz w:val="18"/>
                <w:szCs w:val="18"/>
                <w:color w:val="auto"/>
                <w:w w:val="91"/>
              </w:rPr>
              <w:t>Frank M. Clark, Jr.</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5"/>
              </w:rPr>
              <w:t>ANDRÉS R. GLUSKI</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3"/>
              </w:rPr>
              <w:t>Andrés R. Gluski</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2"/>
              </w:rPr>
              <w:t>PARTICK W. GROSS</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0"/>
              </w:rPr>
              <w:t>Patrick W. Gross</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9"/>
              </w:rPr>
              <w:t>VICTORIA M. HOLT</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98"/>
              </w:rPr>
              <w:t>Victoria M. Holt</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gridSpan w:val="2"/>
          </w:tcPr>
          <w:p>
            <w:pPr>
              <w:jc w:val="center"/>
              <w:ind w:right="91"/>
              <w:spacing w:after="0"/>
              <w:rPr>
                <w:sz w:val="20"/>
                <w:szCs w:val="20"/>
                <w:color w:val="auto"/>
              </w:rPr>
            </w:pPr>
            <w:r>
              <w:rPr>
                <w:rFonts w:ascii="Arial" w:cs="Arial" w:eastAsia="Arial" w:hAnsi="Arial"/>
                <w:sz w:val="18"/>
                <w:szCs w:val="18"/>
                <w:color w:val="auto"/>
              </w:rPr>
              <w:t>KATHLEEN M. MAZZARELLA</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2640" w:type="dxa"/>
            <w:vAlign w:val="bottom"/>
            <w:gridSpan w:val="2"/>
          </w:tcPr>
          <w:p>
            <w:pPr>
              <w:jc w:val="center"/>
              <w:ind w:right="371"/>
              <w:spacing w:after="0"/>
              <w:rPr>
                <w:sz w:val="20"/>
                <w:szCs w:val="20"/>
                <w:color w:val="auto"/>
              </w:rPr>
            </w:pPr>
            <w:r>
              <w:rPr>
                <w:rFonts w:ascii="Arial" w:cs="Arial" w:eastAsia="Arial" w:hAnsi="Arial"/>
                <w:sz w:val="18"/>
                <w:szCs w:val="18"/>
                <w:color w:val="auto"/>
                <w:w w:val="92"/>
              </w:rPr>
              <w:t>Kathleen M. Mazzarella</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371"/>
              <w:spacing w:after="0"/>
              <w:rPr>
                <w:sz w:val="20"/>
                <w:szCs w:val="20"/>
                <w:color w:val="auto"/>
              </w:rPr>
            </w:pPr>
            <w:r>
              <w:rPr>
                <w:rFonts w:ascii="Arial" w:cs="Arial" w:eastAsia="Arial" w:hAnsi="Arial"/>
                <w:sz w:val="18"/>
                <w:szCs w:val="18"/>
                <w:color w:val="auto"/>
                <w:w w:val="93"/>
              </w:rPr>
              <w:t>/s/  JOHN C. POPE</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87"/>
              </w:rPr>
              <w:t>John C. Pope</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3"/>
              </w:rPr>
              <w:t>/s/</w:t>
            </w:r>
          </w:p>
        </w:tc>
        <w:tc>
          <w:tcPr>
            <w:tcW w:w="264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8"/>
                <w:szCs w:val="18"/>
                <w:color w:val="auto"/>
                <w:w w:val="98"/>
              </w:rPr>
              <w:t>THOMAS H. WEIDEMEYER</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Chairman of the Board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24"/>
        </w:trPr>
        <w:tc>
          <w:tcPr>
            <w:tcW w:w="480" w:type="dxa"/>
            <w:vAlign w:val="bottom"/>
          </w:tcPr>
          <w:p>
            <w:pPr>
              <w:spacing w:after="0"/>
              <w:rPr>
                <w:sz w:val="19"/>
                <w:szCs w:val="19"/>
                <w:color w:val="auto"/>
              </w:rPr>
            </w:pPr>
          </w:p>
        </w:tc>
        <w:tc>
          <w:tcPr>
            <w:tcW w:w="2640" w:type="dxa"/>
            <w:vAlign w:val="bottom"/>
            <w:gridSpan w:val="2"/>
          </w:tcPr>
          <w:p>
            <w:pPr>
              <w:jc w:val="center"/>
              <w:ind w:right="391"/>
              <w:spacing w:after="0"/>
              <w:rPr>
                <w:sz w:val="20"/>
                <w:szCs w:val="20"/>
                <w:color w:val="auto"/>
              </w:rPr>
            </w:pPr>
            <w:r>
              <w:rPr>
                <w:rFonts w:ascii="Arial" w:cs="Arial" w:eastAsia="Arial" w:hAnsi="Arial"/>
                <w:sz w:val="18"/>
                <w:szCs w:val="18"/>
                <w:color w:val="auto"/>
                <w:w w:val="90"/>
              </w:rPr>
              <w:t>Thomas H. Weidemeyer</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jc w:val="center"/>
        <w:spacing w:after="0" w:line="203" w:lineRule="auto"/>
        <w:rPr>
          <w:sz w:val="20"/>
          <w:szCs w:val="20"/>
          <w:color w:val="auto"/>
        </w:rPr>
      </w:pPr>
      <w:r>
        <w:rPr>
          <w:rFonts w:ascii="Arial" w:cs="Arial" w:eastAsia="Arial" w:hAnsi="Arial"/>
          <w:sz w:val="18"/>
          <w:szCs w:val="18"/>
          <w:b w:val="1"/>
          <w:bCs w:val="1"/>
          <w:color w:val="auto"/>
        </w:rPr>
        <w:t>delivered pursuant to Section 301 of the Indenture dated September 10, 1997</w:t>
      </w:r>
    </w:p>
    <w:p>
      <w:pPr>
        <w:jc w:val="center"/>
        <w:spacing w:after="0" w:line="204" w:lineRule="auto"/>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 Rate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320" w:type="dxa"/>
            <w:vAlign w:val="bottom"/>
            <w:gridSpan w:val="2"/>
          </w:tcPr>
          <w:p>
            <w:pPr>
              <w:ind w:left="140"/>
              <w:spacing w:after="0" w:line="122" w:lineRule="exact"/>
              <w:rPr>
                <w:sz w:val="20"/>
                <w:szCs w:val="20"/>
                <w:color w:val="auto"/>
              </w:rPr>
            </w:pPr>
            <w:r>
              <w:rPr>
                <w:rFonts w:ascii="Arial" w:cs="Arial" w:eastAsia="Arial" w:hAnsi="Arial"/>
                <w:sz w:val="14"/>
                <w:szCs w:val="14"/>
                <w:b w:val="1"/>
                <w:bCs w:val="1"/>
                <w:color w:val="auto"/>
              </w:rPr>
              <w:t>Amount</w:t>
            </w:r>
          </w:p>
        </w:tc>
        <w:tc>
          <w:tcPr>
            <w:tcW w:w="1220" w:type="dxa"/>
            <w:vAlign w:val="bottom"/>
            <w:gridSpan w:val="2"/>
            <w:vMerge w:val="continue"/>
          </w:tcPr>
          <w:p>
            <w:pPr>
              <w:spacing w:after="0"/>
              <w:rPr>
                <w:sz w:val="10"/>
                <w:szCs w:val="10"/>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Issue Date</w:t>
            </w:r>
          </w:p>
        </w:tc>
        <w:tc>
          <w:tcPr>
            <w:tcW w:w="120" w:type="dxa"/>
            <w:vAlign w:val="bottom"/>
            <w:vMerge w:val="restart"/>
          </w:tcPr>
          <w:p>
            <w:pPr>
              <w:spacing w:after="0"/>
              <w:rPr>
                <w:sz w:val="10"/>
                <w:szCs w:val="10"/>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vMerge w:val="restart"/>
          </w:tcPr>
          <w:p>
            <w:pPr>
              <w:spacing w:after="0"/>
              <w:rPr>
                <w:sz w:val="10"/>
                <w:szCs w:val="10"/>
                <w:color w:val="auto"/>
              </w:rPr>
            </w:pPr>
          </w:p>
        </w:tc>
        <w:tc>
          <w:tcPr>
            <w:tcW w:w="12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CUSIP</w:t>
            </w:r>
          </w:p>
        </w:tc>
        <w:tc>
          <w:tcPr>
            <w:tcW w:w="180" w:type="dxa"/>
            <w:vAlign w:val="bottom"/>
            <w:vMerge w:val="restart"/>
          </w:tcPr>
          <w:p>
            <w:pPr>
              <w:spacing w:after="0"/>
              <w:rPr>
                <w:sz w:val="10"/>
                <w:szCs w:val="10"/>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Interest Payment Dates</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180"/>
              <w:spacing w:after="0" w:line="122" w:lineRule="exact"/>
              <w:rPr>
                <w:sz w:val="20"/>
                <w:szCs w:val="20"/>
                <w:color w:val="auto"/>
              </w:rPr>
            </w:pPr>
            <w:r>
              <w:rPr>
                <w:rFonts w:ascii="Arial" w:cs="Arial" w:eastAsia="Arial" w:hAnsi="Arial"/>
                <w:sz w:val="14"/>
                <w:szCs w:val="14"/>
                <w:b w:val="1"/>
                <w:bCs w:val="1"/>
                <w:color w:val="auto"/>
              </w:rPr>
              <w:t>Issued</w:t>
            </w:r>
          </w:p>
        </w:tc>
        <w:tc>
          <w:tcPr>
            <w:tcW w:w="360" w:type="dxa"/>
            <w:vAlign w:val="bottom"/>
          </w:tcPr>
          <w:p>
            <w:pPr>
              <w:spacing w:after="0"/>
              <w:rPr>
                <w:sz w:val="11"/>
                <w:szCs w:val="11"/>
                <w:color w:val="auto"/>
              </w:rPr>
            </w:pPr>
          </w:p>
        </w:tc>
        <w:tc>
          <w:tcPr>
            <w:tcW w:w="920" w:type="dxa"/>
            <w:vAlign w:val="bottom"/>
            <w:tcBorders>
              <w:bottom w:val="single" w:sz="8" w:color="auto"/>
            </w:tcBorders>
          </w:tcPr>
          <w:p>
            <w:pPr>
              <w:ind w:left="100"/>
              <w:spacing w:after="0" w:line="122" w:lineRule="exact"/>
              <w:rPr>
                <w:sz w:val="20"/>
                <w:szCs w:val="20"/>
                <w:color w:val="auto"/>
              </w:rPr>
            </w:pPr>
            <w:r>
              <w:rPr>
                <w:rFonts w:ascii="Arial" w:cs="Arial" w:eastAsia="Arial" w:hAnsi="Arial"/>
                <w:sz w:val="14"/>
                <w:szCs w:val="14"/>
                <w:b w:val="1"/>
                <w:bCs w:val="1"/>
                <w:color w:val="auto"/>
                <w:w w:val="98"/>
              </w:rPr>
              <w:t>(per annum)</w:t>
            </w:r>
          </w:p>
        </w:tc>
        <w:tc>
          <w:tcPr>
            <w:tcW w:w="30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8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spacing w:after="0"/>
              <w:rPr>
                <w:sz w:val="11"/>
                <w:szCs w:val="11"/>
                <w:color w:val="auto"/>
              </w:rPr>
            </w:pPr>
          </w:p>
        </w:tc>
        <w:tc>
          <w:tcPr>
            <w:tcW w:w="360" w:type="dxa"/>
            <w:vAlign w:val="bottom"/>
          </w:tcPr>
          <w:p>
            <w:pPr>
              <w:jc w:val="right"/>
              <w:ind w:right="205"/>
              <w:spacing w:after="0" w:line="135" w:lineRule="exact"/>
              <w:rPr>
                <w:sz w:val="20"/>
                <w:szCs w:val="20"/>
                <w:color w:val="auto"/>
              </w:rPr>
            </w:pPr>
            <w:r>
              <w:rPr>
                <w:rFonts w:ascii="Arial" w:cs="Arial" w:eastAsia="Arial" w:hAnsi="Arial"/>
                <w:sz w:val="15"/>
                <w:szCs w:val="15"/>
                <w:color w:val="auto"/>
              </w:rPr>
              <w:t>*</w:t>
            </w:r>
          </w:p>
        </w:tc>
        <w:tc>
          <w:tcPr>
            <w:tcW w:w="1220" w:type="dxa"/>
            <w:vAlign w:val="bottom"/>
            <w:gridSpan w:val="2"/>
            <w:vMerge w:val="restart"/>
          </w:tcPr>
          <w:p>
            <w:pPr>
              <w:jc w:val="right"/>
              <w:ind w:right="140"/>
              <w:spacing w:after="0" w:line="189" w:lineRule="exact"/>
              <w:rPr>
                <w:sz w:val="20"/>
                <w:szCs w:val="20"/>
                <w:color w:val="auto"/>
              </w:rPr>
            </w:pPr>
            <w:r>
              <w:rPr>
                <w:rFonts w:ascii="Arial" w:cs="Arial" w:eastAsia="Arial" w:hAnsi="Arial"/>
                <w:sz w:val="18"/>
                <w:szCs w:val="18"/>
                <w:color w:val="auto"/>
              </w:rPr>
              <w:t>7.00%</w:t>
            </w:r>
          </w:p>
        </w:tc>
        <w:tc>
          <w:tcPr>
            <w:tcW w:w="104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7/17/1998</w:t>
            </w:r>
          </w:p>
        </w:tc>
        <w:tc>
          <w:tcPr>
            <w:tcW w:w="120" w:type="dxa"/>
            <w:vAlign w:val="bottom"/>
          </w:tcPr>
          <w:p>
            <w:pPr>
              <w:spacing w:after="0"/>
              <w:rPr>
                <w:sz w:val="11"/>
                <w:szCs w:val="11"/>
                <w:color w:val="auto"/>
              </w:rPr>
            </w:pPr>
          </w:p>
        </w:tc>
        <w:tc>
          <w:tcPr>
            <w:tcW w:w="12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7/15/2028</w:t>
            </w:r>
          </w:p>
        </w:tc>
        <w:tc>
          <w:tcPr>
            <w:tcW w:w="180" w:type="dxa"/>
            <w:vAlign w:val="bottom"/>
          </w:tcPr>
          <w:p>
            <w:pPr>
              <w:spacing w:after="0"/>
              <w:rPr>
                <w:sz w:val="11"/>
                <w:szCs w:val="11"/>
                <w:color w:val="auto"/>
              </w:rPr>
            </w:pPr>
          </w:p>
        </w:tc>
        <w:tc>
          <w:tcPr>
            <w:tcW w:w="138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2"/>
              </w:rPr>
              <w:t>902917AH6</w:t>
            </w:r>
          </w:p>
        </w:tc>
        <w:tc>
          <w:tcPr>
            <w:tcW w:w="1840" w:type="dxa"/>
            <w:vAlign w:val="bottom"/>
            <w:vMerge w:val="restart"/>
          </w:tcPr>
          <w:p>
            <w:pPr>
              <w:ind w:left="420"/>
              <w:spacing w:after="0" w:line="189" w:lineRule="exact"/>
              <w:rPr>
                <w:sz w:val="20"/>
                <w:szCs w:val="20"/>
                <w:color w:val="auto"/>
              </w:rPr>
            </w:pPr>
            <w:r>
              <w:rPr>
                <w:rFonts w:ascii="Arial" w:cs="Arial" w:eastAsia="Arial" w:hAnsi="Arial"/>
                <w:sz w:val="18"/>
                <w:szCs w:val="18"/>
                <w:color w:val="auto"/>
                <w:w w:val="89"/>
              </w:rPr>
              <w:t>January 15; July 15</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vMerge w:val="continue"/>
          </w:tcPr>
          <w:p>
            <w:pPr>
              <w:spacing w:after="0"/>
              <w:rPr>
                <w:sz w:val="4"/>
                <w:szCs w:val="4"/>
                <w:color w:val="auto"/>
              </w:rPr>
            </w:pPr>
          </w:p>
        </w:tc>
        <w:tc>
          <w:tcPr>
            <w:tcW w:w="1320" w:type="dxa"/>
            <w:vAlign w:val="bottom"/>
            <w:gridSpan w:val="2"/>
          </w:tcPr>
          <w:p>
            <w:pPr>
              <w:ind w:left="120"/>
              <w:spacing w:after="0" w:line="54" w:lineRule="exact"/>
              <w:rPr>
                <w:sz w:val="20"/>
                <w:szCs w:val="20"/>
                <w:color w:val="auto"/>
              </w:rPr>
            </w:pPr>
            <w:r>
              <w:rPr>
                <w:rFonts w:ascii="Arial" w:cs="Arial" w:eastAsia="Arial" w:hAnsi="Arial"/>
                <w:sz w:val="6"/>
                <w:szCs w:val="6"/>
                <w:color w:val="auto"/>
              </w:rPr>
              <w:t>600 million</w:t>
            </w:r>
          </w:p>
        </w:tc>
        <w:tc>
          <w:tcPr>
            <w:tcW w:w="122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250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7.375%</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94106LAG4</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500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5/21/2002</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5/15/2032</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94106LAN9</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600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6.125%</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11/12/2009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11/30/2039**</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94106LAV1</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30; November 30</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600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6/8/2010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6/30/2020**</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94106LAW9</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June 30; December 30</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2/28/2011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3/1/2021**</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941063AQ2</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500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9/12/2012</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9/15/2022**</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94106LAY5</w:t>
            </w:r>
          </w:p>
        </w:tc>
        <w:tc>
          <w:tcPr>
            <w:tcW w:w="1840" w:type="dxa"/>
            <w:vAlign w:val="bottom"/>
          </w:tcPr>
          <w:p>
            <w:pPr>
              <w:jc w:val="right"/>
              <w:spacing w:after="0"/>
              <w:rPr>
                <w:sz w:val="20"/>
                <w:szCs w:val="20"/>
                <w:color w:val="auto"/>
              </w:rPr>
            </w:pPr>
            <w:r>
              <w:rPr>
                <w:rFonts w:ascii="Arial" w:cs="Arial" w:eastAsia="Arial" w:hAnsi="Arial"/>
                <w:sz w:val="18"/>
                <w:szCs w:val="18"/>
                <w:color w:val="auto"/>
              </w:rPr>
              <w:t>March 15; September</w:t>
            </w:r>
          </w:p>
        </w:tc>
        <w:tc>
          <w:tcPr>
            <w:tcW w:w="42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350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5/15/2024**</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94106LAZ2</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600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3.125%</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3/1/2025**</w:t>
            </w:r>
          </w:p>
        </w:tc>
        <w:tc>
          <w:tcPr>
            <w:tcW w:w="1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94106LBA6</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450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3/1/2035**</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94106LBB4</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750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3/1/2045**</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94106LBC2</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500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5/15/2023**</w:t>
            </w:r>
          </w:p>
        </w:tc>
        <w:tc>
          <w:tcPr>
            <w:tcW w:w="1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94106LBD0</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70"/>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750 million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3.150%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11/8/2017</w:t>
            </w:r>
          </w:p>
        </w:tc>
        <w:tc>
          <w:tcPr>
            <w:tcW w:w="1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11/15/2027**</w:t>
            </w:r>
          </w:p>
        </w:tc>
        <w:tc>
          <w:tcPr>
            <w:tcW w:w="180" w:type="dxa"/>
            <w:vAlign w:val="bottom"/>
          </w:tcPr>
          <w:p>
            <w:pPr>
              <w:spacing w:after="0"/>
              <w:rPr>
                <w:sz w:val="23"/>
                <w:szCs w:val="2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94106LBE8</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60" w:right="20" w:hanging="357"/>
        <w:spacing w:after="0" w:line="224" w:lineRule="auto"/>
        <w:tabs>
          <w:tab w:leader="none" w:pos="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these series of Senior Notes have been partially redeemed, such that the remaining outstanding principal amount of such Senior Notes as of December 31, 2018 was $394.9 million due 2028, $139.2 million due 2029, $210.4 million due 2032 and $273.6 million due 2039.</w:t>
      </w:r>
    </w:p>
    <w:p>
      <w:pPr>
        <w:spacing w:after="0" w:line="285" w:lineRule="exact"/>
        <w:rPr>
          <w:sz w:val="20"/>
          <w:szCs w:val="20"/>
          <w:color w:val="auto"/>
        </w:rPr>
      </w:pPr>
    </w:p>
    <w:p>
      <w:pPr>
        <w:ind w:left="360" w:right="220" w:hanging="357"/>
        <w:spacing w:after="0" w:line="259" w:lineRule="auto"/>
        <w:tabs>
          <w:tab w:leader="none" w:pos="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This schedule is provided in accordance with Instruction 2 to Regulation S-K Item 601, as each of the series of</w:t>
      </w:r>
    </w:p>
    <w:p>
      <w:pPr>
        <w:ind w:right="40"/>
        <w:spacing w:after="0" w:line="214" w:lineRule="auto"/>
        <w:rPr>
          <w:sz w:val="20"/>
          <w:szCs w:val="20"/>
          <w:color w:val="auto"/>
        </w:rPr>
      </w:pPr>
      <w:r>
        <w:rPr>
          <w:rFonts w:ascii="Arial" w:cs="Arial" w:eastAsia="Arial" w:hAnsi="Arial"/>
          <w:sz w:val="18"/>
          <w:szCs w:val="18"/>
          <w:color w:val="auto"/>
        </w:rPr>
        <w:t>Series Notes is governed by an instrument that differs only in the material respects set forth in the schedule above from the Officers’ Certificate identified as Exhibit 4.6.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10.21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SEPARATION AND RELEASE AGREEMENT</w:t>
      </w:r>
    </w:p>
    <w:p>
      <w:pPr>
        <w:spacing w:after="0" w:line="239" w:lineRule="exact"/>
        <w:rPr>
          <w:sz w:val="20"/>
          <w:szCs w:val="20"/>
          <w:color w:val="auto"/>
        </w:rPr>
      </w:pPr>
    </w:p>
    <w:p>
      <w:pPr>
        <w:jc w:val="both"/>
        <w:ind w:firstLine="639"/>
        <w:spacing w:after="0"/>
        <w:rPr>
          <w:sz w:val="20"/>
          <w:szCs w:val="20"/>
          <w:color w:val="auto"/>
        </w:rPr>
      </w:pPr>
      <w:r>
        <w:rPr>
          <w:rFonts w:ascii="Arial" w:cs="Arial" w:eastAsia="Arial" w:hAnsi="Arial"/>
          <w:sz w:val="22"/>
          <w:szCs w:val="22"/>
          <w:color w:val="auto"/>
        </w:rPr>
        <w:t>THIS SEPARATION AND RELEASE AGREEMENT (this “Separation Agreement”) is entered into between USA Waste-Management Resources, LLC (the “Company”) and Barry H. Caldwell (the “Executive” and, together with the Company, the “parties”).</w:t>
      </w:r>
    </w:p>
    <w:p>
      <w:pPr>
        <w:spacing w:after="0" w:line="213" w:lineRule="exact"/>
        <w:rPr>
          <w:sz w:val="20"/>
          <w:szCs w:val="20"/>
          <w:color w:val="auto"/>
        </w:rPr>
      </w:pPr>
    </w:p>
    <w:p>
      <w:pPr>
        <w:jc w:val="both"/>
        <w:ind w:firstLine="639"/>
        <w:spacing w:after="0" w:line="282" w:lineRule="auto"/>
        <w:rPr>
          <w:sz w:val="20"/>
          <w:szCs w:val="20"/>
          <w:color w:val="auto"/>
        </w:rPr>
      </w:pPr>
      <w:r>
        <w:rPr>
          <w:rFonts w:ascii="Arial" w:cs="Arial" w:eastAsia="Arial" w:hAnsi="Arial"/>
          <w:sz w:val="19"/>
          <w:szCs w:val="19"/>
          <w:color w:val="auto"/>
        </w:rPr>
        <w:t>This Separation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PREAMBLE</w:t>
      </w:r>
    </w:p>
    <w:p>
      <w:pPr>
        <w:spacing w:after="0" w:line="239" w:lineRule="exact"/>
        <w:rPr>
          <w:sz w:val="20"/>
          <w:szCs w:val="20"/>
          <w:color w:val="auto"/>
        </w:rPr>
      </w:pPr>
    </w:p>
    <w:p>
      <w:pPr>
        <w:jc w:val="both"/>
        <w:ind w:firstLine="639"/>
        <w:spacing w:after="0" w:line="238" w:lineRule="auto"/>
        <w:rPr>
          <w:sz w:val="20"/>
          <w:szCs w:val="20"/>
          <w:color w:val="auto"/>
        </w:rPr>
      </w:pPr>
      <w:r>
        <w:rPr>
          <w:rFonts w:ascii="Arial" w:cs="Arial" w:eastAsia="Arial" w:hAnsi="Arial"/>
          <w:sz w:val="22"/>
          <w:szCs w:val="22"/>
          <w:i w:val="1"/>
          <w:iCs w:val="1"/>
          <w:color w:val="auto"/>
        </w:rPr>
        <w:t xml:space="preserve">WHEREAS, </w:t>
      </w:r>
      <w:r>
        <w:rPr>
          <w:rFonts w:ascii="Arial" w:cs="Arial" w:eastAsia="Arial" w:hAnsi="Arial"/>
          <w:sz w:val="22"/>
          <w:szCs w:val="22"/>
          <w:color w:val="auto"/>
        </w:rPr>
        <w:t>Waste Management, Inc. (together with any entity that is a direct or indirect majority-owned</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of Waste Management, Inc., “Waste Management”) and Executive previously entered into that certain Employment Agreement dated September 2002, as may have been amended from time to time (the “Employment Agreement”);</w:t>
      </w:r>
    </w:p>
    <w:p>
      <w:pPr>
        <w:spacing w:after="0" w:line="212" w:lineRule="exact"/>
        <w:rPr>
          <w:sz w:val="20"/>
          <w:szCs w:val="20"/>
          <w:color w:val="auto"/>
        </w:rPr>
      </w:pPr>
    </w:p>
    <w:p>
      <w:pPr>
        <w:jc w:val="both"/>
        <w:ind w:firstLine="639"/>
        <w:spacing w:after="0" w:line="251" w:lineRule="auto"/>
        <w:rPr>
          <w:sz w:val="20"/>
          <w:szCs w:val="20"/>
          <w:color w:val="auto"/>
        </w:rPr>
      </w:pPr>
      <w:r>
        <w:rPr>
          <w:rFonts w:ascii="Arial" w:cs="Arial" w:eastAsia="Arial" w:hAnsi="Arial"/>
          <w:sz w:val="22"/>
          <w:szCs w:val="22"/>
          <w:i w:val="1"/>
          <w:iCs w:val="1"/>
          <w:color w:val="auto"/>
        </w:rPr>
        <w:t xml:space="preserve">WHEREAS, </w:t>
      </w:r>
      <w:r>
        <w:rPr>
          <w:rFonts w:ascii="Arial" w:cs="Arial" w:eastAsia="Arial" w:hAnsi="Arial"/>
          <w:sz w:val="22"/>
          <w:szCs w:val="22"/>
          <w:color w:val="auto"/>
        </w:rPr>
        <w:t>pursuant to such Employment Agreement, Executive has been continuously employed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or an affiliate thereof since such time;</w:t>
      </w:r>
    </w:p>
    <w:p>
      <w:pPr>
        <w:spacing w:after="0" w:line="200" w:lineRule="exact"/>
        <w:rPr>
          <w:sz w:val="20"/>
          <w:szCs w:val="20"/>
          <w:color w:val="auto"/>
        </w:rPr>
      </w:pPr>
    </w:p>
    <w:p>
      <w:pPr>
        <w:jc w:val="both"/>
        <w:ind w:firstLine="639"/>
        <w:spacing w:after="0" w:line="328" w:lineRule="auto"/>
        <w:rPr>
          <w:sz w:val="20"/>
          <w:szCs w:val="20"/>
          <w:color w:val="auto"/>
        </w:rPr>
      </w:pPr>
      <w:r>
        <w:rPr>
          <w:rFonts w:ascii="Arial" w:cs="Arial" w:eastAsia="Arial" w:hAnsi="Arial"/>
          <w:sz w:val="19"/>
          <w:szCs w:val="19"/>
          <w:i w:val="1"/>
          <w:iCs w:val="1"/>
          <w:color w:val="auto"/>
        </w:rPr>
        <w:t xml:space="preserve">WHEREAS, </w:t>
      </w:r>
      <w:r>
        <w:rPr>
          <w:rFonts w:ascii="Arial" w:cs="Arial" w:eastAsia="Arial" w:hAnsi="Arial"/>
          <w:sz w:val="19"/>
          <w:szCs w:val="19"/>
          <w:color w:val="auto"/>
        </w:rPr>
        <w:t>the Parties agree that upon his separation, execution and non-revocation of a waiver and release</w:t>
      </w:r>
      <w:r>
        <w:rPr>
          <w:rFonts w:ascii="Arial" w:cs="Arial" w:eastAsia="Arial" w:hAnsi="Arial"/>
          <w:sz w:val="19"/>
          <w:szCs w:val="19"/>
          <w:i w:val="1"/>
          <w:iCs w:val="1"/>
          <w:color w:val="auto"/>
        </w:rPr>
        <w:t xml:space="preserve"> </w:t>
      </w:r>
      <w:r>
        <w:rPr>
          <w:rFonts w:ascii="Arial" w:cs="Arial" w:eastAsia="Arial" w:hAnsi="Arial"/>
          <w:sz w:val="19"/>
          <w:szCs w:val="19"/>
          <w:color w:val="auto"/>
        </w:rPr>
        <w:t>of claims, Executive will receive certain benefits described in Exhibit C of this Separation Agreement;</w:t>
      </w:r>
    </w:p>
    <w:p>
      <w:pPr>
        <w:spacing w:after="0" w:line="132" w:lineRule="exact"/>
        <w:rPr>
          <w:sz w:val="20"/>
          <w:szCs w:val="20"/>
          <w:color w:val="auto"/>
        </w:rPr>
      </w:pPr>
    </w:p>
    <w:p>
      <w:pPr>
        <w:jc w:val="both"/>
        <w:ind w:firstLine="639"/>
        <w:spacing w:after="0" w:line="251" w:lineRule="auto"/>
        <w:rPr>
          <w:sz w:val="20"/>
          <w:szCs w:val="20"/>
          <w:color w:val="auto"/>
        </w:rPr>
      </w:pPr>
      <w:r>
        <w:rPr>
          <w:rFonts w:ascii="Arial" w:cs="Arial" w:eastAsia="Arial" w:hAnsi="Arial"/>
          <w:sz w:val="22"/>
          <w:szCs w:val="22"/>
          <w:i w:val="1"/>
          <w:iCs w:val="1"/>
          <w:color w:val="auto"/>
        </w:rPr>
        <w:t xml:space="preserve">WHEREAS, </w:t>
      </w:r>
      <w:r>
        <w:rPr>
          <w:rFonts w:ascii="Arial" w:cs="Arial" w:eastAsia="Arial" w:hAnsi="Arial"/>
          <w:sz w:val="22"/>
          <w:szCs w:val="22"/>
          <w:color w:val="auto"/>
        </w:rPr>
        <w:t>the Company and Executive now jointly desire to enter into this Separation Agreement to set</w:t>
      </w:r>
      <w:r>
        <w:rPr>
          <w:rFonts w:ascii="Arial" w:cs="Arial" w:eastAsia="Arial" w:hAnsi="Arial"/>
          <w:sz w:val="22"/>
          <w:szCs w:val="22"/>
          <w:i w:val="1"/>
          <w:iCs w:val="1"/>
          <w:color w:val="auto"/>
        </w:rPr>
        <w:t xml:space="preserve"> </w:t>
      </w:r>
      <w:r>
        <w:rPr>
          <w:rFonts w:ascii="Arial" w:cs="Arial" w:eastAsia="Arial" w:hAnsi="Arial"/>
          <w:sz w:val="22"/>
          <w:szCs w:val="22"/>
          <w:color w:val="auto"/>
        </w:rPr>
        <w:t>forth the terms and conditions of Executive’s termination; and</w:t>
      </w:r>
    </w:p>
    <w:p>
      <w:pPr>
        <w:spacing w:after="0" w:line="200" w:lineRule="exact"/>
        <w:rPr>
          <w:sz w:val="20"/>
          <w:szCs w:val="20"/>
          <w:color w:val="auto"/>
        </w:rPr>
      </w:pPr>
    </w:p>
    <w:p>
      <w:pPr>
        <w:jc w:val="both"/>
        <w:ind w:firstLine="639"/>
        <w:spacing w:after="0" w:line="251" w:lineRule="auto"/>
        <w:rPr>
          <w:sz w:val="20"/>
          <w:szCs w:val="20"/>
          <w:color w:val="auto"/>
        </w:rPr>
      </w:pPr>
      <w:r>
        <w:rPr>
          <w:rFonts w:ascii="Arial" w:cs="Arial" w:eastAsia="Arial" w:hAnsi="Arial"/>
          <w:sz w:val="22"/>
          <w:szCs w:val="22"/>
          <w:i w:val="1"/>
          <w:iCs w:val="1"/>
          <w:color w:val="auto"/>
        </w:rPr>
        <w:t xml:space="preserve">NOW, THEREFORE, </w:t>
      </w:r>
      <w:r>
        <w:rPr>
          <w:rFonts w:ascii="Arial" w:cs="Arial" w:eastAsia="Arial" w:hAnsi="Arial"/>
          <w:sz w:val="22"/>
          <w:szCs w:val="22"/>
          <w:color w:val="auto"/>
        </w:rPr>
        <w:t>in consideration of the premises and agreements contained herein, and for other good</w:t>
      </w:r>
      <w:r>
        <w:rPr>
          <w:rFonts w:ascii="Arial" w:cs="Arial" w:eastAsia="Arial" w:hAnsi="Arial"/>
          <w:sz w:val="22"/>
          <w:szCs w:val="22"/>
          <w:i w:val="1"/>
          <w:iCs w:val="1"/>
          <w:color w:val="auto"/>
        </w:rPr>
        <w:t xml:space="preserve"> </w:t>
      </w:r>
      <w:r>
        <w:rPr>
          <w:rFonts w:ascii="Arial" w:cs="Arial" w:eastAsia="Arial" w:hAnsi="Arial"/>
          <w:sz w:val="22"/>
          <w:szCs w:val="22"/>
          <w:color w:val="auto"/>
        </w:rPr>
        <w:t>and valuable consideration, the Company and Executive hereby agree as follows:</w:t>
      </w:r>
    </w:p>
    <w:p>
      <w:pPr>
        <w:spacing w:after="0" w:line="194" w:lineRule="exact"/>
        <w:rPr>
          <w:sz w:val="20"/>
          <w:szCs w:val="20"/>
          <w:color w:val="auto"/>
        </w:rPr>
      </w:pPr>
    </w:p>
    <w:p>
      <w:pPr>
        <w:jc w:val="both"/>
        <w:ind w:firstLine="638"/>
        <w:spacing w:after="0" w:line="248" w:lineRule="auto"/>
        <w:tabs>
          <w:tab w:leader="none" w:pos="1301"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Separation.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employment of Executive with the Company shall terminate on</w:t>
      </w:r>
      <w:r>
        <w:rPr>
          <w:rFonts w:ascii="Arial" w:cs="Arial" w:eastAsia="Arial" w:hAnsi="Arial"/>
          <w:sz w:val="21"/>
          <w:szCs w:val="21"/>
          <w:b w:val="1"/>
          <w:bCs w:val="1"/>
          <w:color w:val="auto"/>
        </w:rPr>
        <w:t xml:space="preserve"> </w:t>
      </w:r>
      <w:r>
        <w:rPr>
          <w:rFonts w:ascii="Arial" w:cs="Arial" w:eastAsia="Arial" w:hAnsi="Arial"/>
          <w:sz w:val="21"/>
          <w:szCs w:val="21"/>
          <w:color w:val="auto"/>
        </w:rPr>
        <w:t>August 11, 2018 (“Employment Termination Date”). The parties agree that, except as otherwise expressly specified herein, the Employment Agreement shall have been deemed terminated as of the Employment Termination Date. Executive acknowledges and agrees that all officer positions he held with any Waste Management entity ceased as of the Employment Termination Date. In addition, Executive shall resign from all industry or charitable board or trade group leadership positions he currently holds by virtue of his employment with the Company (including, without limitation, those positions set forth on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27" w:name="page128"/>
    <w:bookmarkEnd w:id="127"/>
    <w:p>
      <w:pPr>
        <w:jc w:val="both"/>
        <w:ind w:firstLine="639"/>
        <w:spacing w:after="0" w:line="298" w:lineRule="auto"/>
        <w:rPr>
          <w:sz w:val="20"/>
          <w:szCs w:val="20"/>
          <w:color w:val="auto"/>
        </w:rPr>
      </w:pPr>
      <w:r>
        <w:rPr>
          <w:rFonts w:ascii="Arial" w:cs="Arial" w:eastAsia="Arial" w:hAnsi="Arial"/>
          <w:sz w:val="19"/>
          <w:szCs w:val="19"/>
          <w:color w:val="auto"/>
        </w:rPr>
        <w:t>It is expressly agreed to and acknowledged by the parties that Executive is entitled to the compensation and benefits set forth in Exhibit B, (which, for the avoidance of doubt, shall survive termination of the Employment Agreement hereunder), whether or not he executes this Separation Agreement.</w:t>
      </w:r>
    </w:p>
    <w:p>
      <w:pPr>
        <w:spacing w:after="0" w:line="153" w:lineRule="exact"/>
        <w:rPr>
          <w:sz w:val="20"/>
          <w:szCs w:val="20"/>
          <w:color w:val="auto"/>
        </w:rPr>
      </w:pPr>
    </w:p>
    <w:p>
      <w:pPr>
        <w:jc w:val="both"/>
        <w:ind w:firstLine="638"/>
        <w:spacing w:after="0" w:line="239" w:lineRule="auto"/>
        <w:tabs>
          <w:tab w:leader="none" w:pos="1301"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of Additional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premises and promises herein</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and subject to Executive executing and not revoking this Separation Agreement, it is agreed that the Company will provide Executive those certain benefits specifically detailed in Exhibit C to this Separation Agreement.</w:t>
      </w:r>
    </w:p>
    <w:p>
      <w:pPr>
        <w:spacing w:after="0" w:line="214" w:lineRule="exact"/>
        <w:rPr>
          <w:sz w:val="20"/>
          <w:szCs w:val="20"/>
          <w:color w:val="auto"/>
        </w:rPr>
      </w:pPr>
    </w:p>
    <w:p>
      <w:pPr>
        <w:jc w:val="both"/>
        <w:ind w:firstLine="639"/>
        <w:spacing w:after="0"/>
        <w:rPr>
          <w:sz w:val="20"/>
          <w:szCs w:val="20"/>
          <w:color w:val="auto"/>
        </w:rPr>
      </w:pPr>
      <w:r>
        <w:rPr>
          <w:rFonts w:ascii="Arial" w:cs="Arial" w:eastAsia="Arial" w:hAnsi="Arial"/>
          <w:sz w:val="22"/>
          <w:szCs w:val="22"/>
          <w:color w:val="auto"/>
        </w:rPr>
        <w:t>It is expressly agreed to and acknowledged by the parties that Executive is not entitled to the benefits set forth in Exhibit C until such time as he executes this Separation Agreement and it becomes effective and irrevocable, by its terms.</w:t>
      </w:r>
    </w:p>
    <w:p>
      <w:pPr>
        <w:spacing w:after="0" w:line="213" w:lineRule="exact"/>
        <w:rPr>
          <w:sz w:val="20"/>
          <w:szCs w:val="20"/>
          <w:color w:val="auto"/>
        </w:rPr>
      </w:pPr>
    </w:p>
    <w:p>
      <w:pPr>
        <w:jc w:val="both"/>
        <w:ind w:firstLine="639"/>
        <w:spacing w:after="0" w:line="274" w:lineRule="auto"/>
        <w:rPr>
          <w:sz w:val="20"/>
          <w:szCs w:val="20"/>
          <w:color w:val="auto"/>
        </w:rPr>
      </w:pPr>
      <w:r>
        <w:rPr>
          <w:rFonts w:ascii="Arial" w:cs="Arial" w:eastAsia="Arial" w:hAnsi="Arial"/>
          <w:sz w:val="19"/>
          <w:szCs w:val="19"/>
          <w:color w:val="auto"/>
        </w:rPr>
        <w:t>The consideration set forth in this Section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Section 3 and 5. Executive further acknowledges that the consideration set forth in Exhibit C are separate and distinct of and from each other, and that each such item is independent valuable consideration for the release and waiver set forth in Sections 3 and 5. Without limiting the generality of the foregoing, the Executive acknowledges and agrees that he waives and, except as expressly set forth herein, shall not be entitled to any severance benefits in connection with his termination of employment, whether pursuant to his Employment Agreement, any plan, program, promise or otherwise.</w:t>
      </w:r>
    </w:p>
    <w:p>
      <w:pPr>
        <w:spacing w:after="0" w:line="186" w:lineRule="exact"/>
        <w:rPr>
          <w:sz w:val="20"/>
          <w:szCs w:val="20"/>
          <w:color w:val="auto"/>
        </w:rPr>
      </w:pPr>
    </w:p>
    <w:p>
      <w:pPr>
        <w:jc w:val="both"/>
        <w:ind w:firstLine="639"/>
        <w:spacing w:after="0" w:line="297" w:lineRule="auto"/>
        <w:rPr>
          <w:sz w:val="20"/>
          <w:szCs w:val="20"/>
          <w:color w:val="auto"/>
        </w:rPr>
      </w:pPr>
      <w:r>
        <w:rPr>
          <w:rFonts w:ascii="Arial" w:cs="Arial" w:eastAsia="Arial" w:hAnsi="Arial"/>
          <w:sz w:val="19"/>
          <w:szCs w:val="19"/>
          <w:color w:val="auto"/>
        </w:rPr>
        <w:t>The Company shall pay Executive an additional cash lump sum in the amount of $35,000 in lieu of any obligation to reimburse Executive for his reasonable legal fees in connection with the negotiation of this Separation Agreement. Such reimbursement shall be paid within 10 days from the Employment Termination Date.</w:t>
      </w:r>
    </w:p>
    <w:p>
      <w:pPr>
        <w:spacing w:after="0" w:line="155" w:lineRule="exact"/>
        <w:rPr>
          <w:sz w:val="20"/>
          <w:szCs w:val="20"/>
          <w:color w:val="auto"/>
        </w:rPr>
      </w:pPr>
    </w:p>
    <w:p>
      <w:pPr>
        <w:jc w:val="both"/>
        <w:ind w:firstLine="638"/>
        <w:spacing w:after="0" w:line="276" w:lineRule="auto"/>
        <w:tabs>
          <w:tab w:leader="none" w:pos="1301"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In exchange for the consideration provided to Executive pursuant to Section 2,</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releases and discharges the Company, its past and present parents, subsidiaries, and its and their affiliated companies, managers, partners, agents, directors, officers, accountants, attorneys,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has, against the Released Parties to the date the Executive signs this Separation Agreement. The claims Executive releases include, but are not limited to, claims that any of the Released Parties:</w:t>
      </w:r>
    </w:p>
    <w:p>
      <w:pPr>
        <w:spacing w:after="0" w:line="197" w:lineRule="exact"/>
        <w:rPr>
          <w:sz w:val="20"/>
          <w:szCs w:val="20"/>
          <w:color w:val="auto"/>
        </w:rPr>
      </w:pPr>
    </w:p>
    <w:p>
      <w:pPr>
        <w:jc w:val="both"/>
        <w:ind w:left="1300" w:firstLine="14"/>
        <w:spacing w:after="0" w:line="282" w:lineRule="auto"/>
        <w:rPr>
          <w:sz w:val="20"/>
          <w:szCs w:val="20"/>
          <w:color w:val="auto"/>
        </w:rPr>
      </w:pPr>
      <w:r>
        <w:rPr>
          <w:rFonts w:ascii="Arial" w:cs="Arial" w:eastAsia="Arial" w:hAnsi="Arial"/>
          <w:sz w:val="19"/>
          <w:szCs w:val="19"/>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the Massachusetts Fair Employment Practices Act, the New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8" w:name="page129"/>
    <w:bookmarkEnd w:id="128"/>
    <w:p>
      <w:pPr>
        <w:jc w:val="both"/>
        <w:ind w:left="780"/>
        <w:spacing w:after="0" w:line="258" w:lineRule="auto"/>
        <w:rPr>
          <w:sz w:val="20"/>
          <w:szCs w:val="20"/>
          <w:color w:val="auto"/>
        </w:rPr>
      </w:pPr>
      <w:r>
        <w:rPr>
          <w:rFonts w:ascii="Arial" w:cs="Arial" w:eastAsia="Arial" w:hAnsi="Arial"/>
          <w:sz w:val="21"/>
          <w:szCs w:val="21"/>
          <w:color w:val="auto"/>
        </w:rPr>
        <w:t>Jersey Conscientious Employee Protection Act, the New Jersey Law Against Discrimination, the New Jersey Whistleblower Act, North Dakota Century Code §9-13-02,South Dakota Code Laws § 20-7-11 and Chapters 21 and 451 of the Texas Labor Code; or</w:t>
      </w:r>
    </w:p>
    <w:p>
      <w:pPr>
        <w:spacing w:after="0" w:line="208" w:lineRule="exact"/>
        <w:rPr>
          <w:sz w:val="20"/>
          <w:szCs w:val="20"/>
          <w:color w:val="auto"/>
        </w:rPr>
      </w:pPr>
    </w:p>
    <w:p>
      <w:pPr>
        <w:jc w:val="both"/>
        <w:ind w:left="780" w:firstLine="14"/>
        <w:spacing w:after="0" w:line="251" w:lineRule="auto"/>
        <w:rPr>
          <w:sz w:val="20"/>
          <w:szCs w:val="20"/>
          <w:color w:val="auto"/>
        </w:rPr>
      </w:pPr>
      <w:r>
        <w:rPr>
          <w:rFonts w:ascii="Arial" w:cs="Arial" w:eastAsia="Arial" w:hAnsi="Arial"/>
          <w:sz w:val="22"/>
          <w:szCs w:val="22"/>
          <w:color w:val="auto"/>
        </w:rPr>
        <w:t>discriminated against Executive on the basis of Executive’s age or violated any right Executive may have under the Age Discrimination in Employment Act (“ADEA”); or</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22"/>
          <w:szCs w:val="22"/>
          <w:color w:val="auto"/>
        </w:rPr>
        <w:t>failed to give proper notice of this employment termination under the Workers</w:t>
      </w:r>
    </w:p>
    <w:p>
      <w:pPr>
        <w:spacing w:after="0" w:line="8" w:lineRule="exact"/>
        <w:rPr>
          <w:sz w:val="20"/>
          <w:szCs w:val="20"/>
          <w:color w:val="auto"/>
        </w:rPr>
      </w:pPr>
    </w:p>
    <w:p>
      <w:pPr>
        <w:jc w:val="both"/>
        <w:ind w:left="780"/>
        <w:spacing w:after="0" w:line="237" w:lineRule="auto"/>
        <w:rPr>
          <w:sz w:val="20"/>
          <w:szCs w:val="20"/>
          <w:color w:val="auto"/>
        </w:rPr>
      </w:pPr>
      <w:r>
        <w:rPr>
          <w:rFonts w:ascii="Arial" w:cs="Arial" w:eastAsia="Arial" w:hAnsi="Arial"/>
          <w:sz w:val="22"/>
          <w:szCs w:val="22"/>
          <w:color w:val="auto"/>
        </w:rPr>
        <w:t>Adjustment and Retraining Notification Act (“WARN”), or any similar state or local statute or ordinance; or</w:t>
      </w:r>
    </w:p>
    <w:p>
      <w:pPr>
        <w:spacing w:after="0" w:line="225" w:lineRule="exact"/>
        <w:rPr>
          <w:sz w:val="20"/>
          <w:szCs w:val="20"/>
          <w:color w:val="auto"/>
        </w:rPr>
      </w:pPr>
    </w:p>
    <w:p>
      <w:pPr>
        <w:jc w:val="both"/>
        <w:ind w:left="780" w:firstLine="14"/>
        <w:spacing w:after="0" w:line="279" w:lineRule="auto"/>
        <w:rPr>
          <w:sz w:val="20"/>
          <w:szCs w:val="20"/>
          <w:color w:val="auto"/>
        </w:rPr>
      </w:pPr>
      <w:r>
        <w:rPr>
          <w:rFonts w:ascii="Arial" w:cs="Arial" w:eastAsia="Arial" w:hAnsi="Arial"/>
          <w:sz w:val="19"/>
          <w:szCs w:val="19"/>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191" w:lineRule="exact"/>
        <w:rPr>
          <w:sz w:val="20"/>
          <w:szCs w:val="20"/>
          <w:color w:val="auto"/>
        </w:rPr>
      </w:pPr>
    </w:p>
    <w:p>
      <w:pPr>
        <w:jc w:val="both"/>
        <w:ind w:left="780" w:firstLine="14"/>
        <w:spacing w:after="0" w:line="251" w:lineRule="auto"/>
        <w:rPr>
          <w:sz w:val="20"/>
          <w:szCs w:val="20"/>
          <w:color w:val="auto"/>
        </w:rPr>
      </w:pPr>
      <w:r>
        <w:rPr>
          <w:rFonts w:ascii="Arial" w:cs="Arial" w:eastAsia="Arial" w:hAnsi="Arial"/>
          <w:sz w:val="22"/>
          <w:szCs w:val="22"/>
          <w:color w:val="auto"/>
        </w:rPr>
        <w:t>violated its personnel policies, handbooks, any covenant of good faith and fair dealing, or any contract of employment between Executive and any of the Released Parties; or</w:t>
      </w:r>
    </w:p>
    <w:p>
      <w:pPr>
        <w:spacing w:after="0" w:line="214" w:lineRule="exact"/>
        <w:rPr>
          <w:sz w:val="20"/>
          <w:szCs w:val="20"/>
          <w:color w:val="auto"/>
        </w:rPr>
      </w:pPr>
    </w:p>
    <w:p>
      <w:pPr>
        <w:jc w:val="both"/>
        <w:ind w:left="780" w:firstLine="14"/>
        <w:spacing w:after="0" w:line="236" w:lineRule="auto"/>
        <w:rPr>
          <w:sz w:val="20"/>
          <w:szCs w:val="20"/>
          <w:color w:val="auto"/>
        </w:rPr>
      </w:pPr>
      <w:r>
        <w:rPr>
          <w:rFonts w:ascii="Arial" w:cs="Arial" w:eastAsia="Arial" w:hAnsi="Arial"/>
          <w:sz w:val="22"/>
          <w:szCs w:val="22"/>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w:t>
      </w:r>
    </w:p>
    <w:p>
      <w:pPr>
        <w:spacing w:after="0" w:line="228" w:lineRule="exact"/>
        <w:rPr>
          <w:sz w:val="20"/>
          <w:szCs w:val="20"/>
          <w:color w:val="auto"/>
        </w:rPr>
      </w:pPr>
    </w:p>
    <w:p>
      <w:pPr>
        <w:jc w:val="both"/>
        <w:ind w:left="780" w:firstLine="14"/>
        <w:spacing w:after="0" w:line="328" w:lineRule="auto"/>
        <w:rPr>
          <w:sz w:val="20"/>
          <w:szCs w:val="20"/>
          <w:color w:val="auto"/>
        </w:rPr>
      </w:pPr>
      <w:r>
        <w:rPr>
          <w:rFonts w:ascii="Arial" w:cs="Arial" w:eastAsia="Arial" w:hAnsi="Arial"/>
          <w:sz w:val="19"/>
          <w:szCs w:val="19"/>
          <w:color w:val="auto"/>
        </w:rPr>
        <w:t>violated or breached any provision of the Employment Agreement (including, without limitation, any notice or procedural requirements relating to Executive’s termination hereunder);</w:t>
      </w:r>
    </w:p>
    <w:p>
      <w:pPr>
        <w:spacing w:after="0" w:line="146" w:lineRule="exact"/>
        <w:rPr>
          <w:sz w:val="20"/>
          <w:szCs w:val="20"/>
          <w:color w:val="auto"/>
        </w:rPr>
      </w:pPr>
    </w:p>
    <w:p>
      <w:pPr>
        <w:jc w:val="both"/>
        <w:ind w:left="780" w:firstLine="14"/>
        <w:spacing w:after="0" w:line="251" w:lineRule="auto"/>
        <w:rPr>
          <w:sz w:val="20"/>
          <w:szCs w:val="20"/>
          <w:color w:val="auto"/>
        </w:rPr>
      </w:pPr>
      <w:r>
        <w:rPr>
          <w:rFonts w:ascii="Arial" w:cs="Arial" w:eastAsia="Arial" w:hAnsi="Arial"/>
          <w:sz w:val="22"/>
          <w:szCs w:val="22"/>
          <w:color w:val="auto"/>
        </w:rPr>
        <w:t>is otherwise obligated to provide any payment or benefit upon Executive’s termination hereunder other than as provided for on Exhibit C herein;</w:t>
      </w:r>
    </w:p>
    <w:p>
      <w:pPr>
        <w:spacing w:after="0" w:line="214" w:lineRule="exact"/>
        <w:rPr>
          <w:sz w:val="20"/>
          <w:szCs w:val="20"/>
          <w:color w:val="auto"/>
        </w:rPr>
      </w:pPr>
    </w:p>
    <w:p>
      <w:pPr>
        <w:jc w:val="both"/>
        <w:ind w:left="780" w:firstLine="14"/>
        <w:spacing w:after="0" w:line="251" w:lineRule="auto"/>
        <w:rPr>
          <w:sz w:val="20"/>
          <w:szCs w:val="20"/>
          <w:color w:val="auto"/>
        </w:rPr>
      </w:pPr>
      <w:r>
        <w:rPr>
          <w:rFonts w:ascii="Arial" w:cs="Arial" w:eastAsia="Arial" w:hAnsi="Arial"/>
          <w:sz w:val="22"/>
          <w:szCs w:val="22"/>
          <w:color w:val="auto"/>
        </w:rPr>
        <w:t>is obligated to provide any additional vesting or other right with respect to any equity compensation award other than as provided for on Exhibit C herein; or</w:t>
      </w:r>
    </w:p>
    <w:p>
      <w:pPr>
        <w:spacing w:after="0" w:line="214" w:lineRule="exact"/>
        <w:rPr>
          <w:sz w:val="20"/>
          <w:szCs w:val="20"/>
          <w:color w:val="auto"/>
        </w:rPr>
      </w:pPr>
    </w:p>
    <w:p>
      <w:pPr>
        <w:jc w:val="both"/>
        <w:ind w:left="780" w:firstLine="14"/>
        <w:spacing w:after="0" w:line="297" w:lineRule="auto"/>
        <w:rPr>
          <w:sz w:val="20"/>
          <w:szCs w:val="20"/>
          <w:color w:val="auto"/>
        </w:rPr>
      </w:pPr>
      <w:r>
        <w:rPr>
          <w:rFonts w:ascii="Arial" w:cs="Arial" w:eastAsia="Arial" w:hAnsi="Arial"/>
          <w:sz w:val="19"/>
          <w:szCs w:val="19"/>
          <w:color w:val="auto"/>
        </w:rPr>
        <w:t>is in any way obligated for any reason to pay Executive’s damages, expenses, litigation costs (including attorneys’ fees), bonuses, commissions, disability benefits, compensatory damages, punitive damages, and/or interest except as otherwise provided by this Separation Agreement.</w:t>
      </w:r>
    </w:p>
    <w:p>
      <w:pPr>
        <w:spacing w:after="0" w:line="35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129" w:name="page130"/>
    <w:bookmarkEnd w:id="129"/>
    <w:p>
      <w:pPr>
        <w:jc w:val="both"/>
        <w:spacing w:after="0" w:line="241" w:lineRule="auto"/>
        <w:rPr>
          <w:sz w:val="20"/>
          <w:szCs w:val="20"/>
          <w:color w:val="auto"/>
        </w:rPr>
      </w:pPr>
      <w:r>
        <w:rPr>
          <w:rFonts w:ascii="Arial" w:cs="Arial" w:eastAsia="Arial" w:hAnsi="Arial"/>
          <w:sz w:val="22"/>
          <w:szCs w:val="22"/>
          <w:color w:val="auto"/>
        </w:rPr>
        <w:t>Executive understands and agrees that this Separation Agreement includes all claims that Executive may have and that Executive does not now know or suspect to exist in Executive’s favor against the Released Parties, and that this Separation Agreement extinguishes those claims.</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Executive is not prohibited from making or asserting (a) any claim or right under state workers’ compensation or unemployment laws; (b) any claim or right, which by law cannot be waived through private agreement; (c) any claims or rights that may arise after Executive executes this Separation Agreement, including any claim to enforce the terms of this Separation Agreement and its Exhibits; or (d) any claim or right to indemnification pursuant to Section 10 of the Employment Agreement (which, for the avoidance of doubt, shall survive termination of the Employment Agreement hereunder).</w:t>
      </w:r>
    </w:p>
    <w:p>
      <w:pPr>
        <w:spacing w:after="0" w:line="209" w:lineRule="exact"/>
        <w:rPr>
          <w:sz w:val="20"/>
          <w:szCs w:val="20"/>
          <w:color w:val="auto"/>
        </w:rPr>
      </w:pPr>
    </w:p>
    <w:p>
      <w:pPr>
        <w:jc w:val="both"/>
        <w:ind w:firstLine="638"/>
        <w:spacing w:after="0" w:line="270" w:lineRule="auto"/>
        <w:tabs>
          <w:tab w:leader="none" w:pos="1301"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Protected Rights</w:t>
      </w:r>
      <w:r>
        <w:rPr>
          <w:rFonts w:ascii="Arial" w:cs="Arial" w:eastAsia="Arial" w:hAnsi="Arial"/>
          <w:sz w:val="19"/>
          <w:szCs w:val="19"/>
          <w:color w:val="auto"/>
        </w:rPr>
        <w:t>. Notwithstanding the foregoing, nothing in this Separation Agreement prohibits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Executive from filing a charge with, or reporting possible violations of federal law or regulation to any governmental agency or entity, including but not limited to the U.S. Equal Opportunity Commission, the Department of Justice, the Securities and Exchange Commission, Congress, and any agency Inspector General, or making other disclosures that are protected under the whistleblower provisions of federal law or regulation. This Separation Agreement does not limit Executive’s ability to communicate with any government agencies or participate in any investigation or proceeding that may be conducted by any government agency, including providing documents or other information, without notice to the Company. In addition, this Separation Agreement does not limit Executive’s right to receive an award for information provided to any government agencies. Further, Executive is advised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w:t>
      </w:r>
      <w:r>
        <w:rPr>
          <w:rFonts w:ascii="Arial" w:cs="Arial" w:eastAsia="Arial" w:hAnsi="Arial"/>
          <w:sz w:val="19"/>
          <w:szCs w:val="19"/>
          <w:u w:val="single" w:color="auto"/>
          <w:color w:val="auto"/>
        </w:rPr>
        <w:t>Without limiting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protection set forth in this Section 4 and except as would otherwise violate the Dodd-Frank Wall Street Reform and Consumer Protection Act, Executive represents and covenants that as of the date of this Agreement he is not aware of any instances of material noncompliance with federal, state or local laws by any Released Party.</w:t>
      </w:r>
    </w:p>
    <w:p>
      <w:pPr>
        <w:spacing w:after="0" w:line="200" w:lineRule="exact"/>
        <w:rPr>
          <w:rFonts w:ascii="Arial" w:cs="Arial" w:eastAsia="Arial" w:hAnsi="Arial"/>
          <w:sz w:val="19"/>
          <w:szCs w:val="19"/>
          <w:b w:val="1"/>
          <w:bCs w:val="1"/>
          <w:color w:val="auto"/>
        </w:rPr>
      </w:pPr>
    </w:p>
    <w:p>
      <w:pPr>
        <w:spacing w:after="0" w:line="234" w:lineRule="exact"/>
        <w:rPr>
          <w:rFonts w:ascii="Arial" w:cs="Arial" w:eastAsia="Arial" w:hAnsi="Arial"/>
          <w:sz w:val="19"/>
          <w:szCs w:val="19"/>
          <w:b w:val="1"/>
          <w:bCs w:val="1"/>
          <w:color w:val="auto"/>
        </w:rPr>
      </w:pPr>
    </w:p>
    <w:p>
      <w:pPr>
        <w:jc w:val="both"/>
        <w:ind w:firstLine="638"/>
        <w:spacing w:after="0" w:line="245" w:lineRule="auto"/>
        <w:tabs>
          <w:tab w:leader="none" w:pos="1301"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Sue</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purpose of giving a full and complete release, Executive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and agrees that he has no pending claims or charges against the Released 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Section 3 above. Notwithstanding the foregoing, nothing in this Separation Agreement prevents Executive from bringing an action to enforce the claims or rights identified in Sections 3(c) and (d) herein or challenge the validity of this Separation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0" w:name="page131"/>
    <w:bookmarkEnd w:id="130"/>
    <w:p>
      <w:pPr>
        <w:jc w:val="both"/>
        <w:spacing w:after="0" w:line="251" w:lineRule="auto"/>
        <w:rPr>
          <w:sz w:val="20"/>
          <w:szCs w:val="20"/>
          <w:color w:val="auto"/>
        </w:rPr>
      </w:pPr>
      <w:r>
        <w:rPr>
          <w:rFonts w:ascii="Arial" w:cs="Arial" w:eastAsia="Arial" w:hAnsi="Arial"/>
          <w:sz w:val="22"/>
          <w:szCs w:val="22"/>
          <w:color w:val="auto"/>
        </w:rPr>
        <w:t>Agreement or taking any action set forth in Section 4 above, and such action shall not be considered a breach of this Separation Agreement</w:t>
      </w:r>
    </w:p>
    <w:p>
      <w:pPr>
        <w:spacing w:after="0" w:line="201" w:lineRule="exact"/>
        <w:rPr>
          <w:sz w:val="20"/>
          <w:szCs w:val="20"/>
          <w:color w:val="auto"/>
        </w:rPr>
      </w:pPr>
    </w:p>
    <w:p>
      <w:pPr>
        <w:jc w:val="both"/>
        <w:ind w:firstLine="639"/>
        <w:spacing w:after="0" w:line="249" w:lineRule="auto"/>
        <w:rPr>
          <w:sz w:val="20"/>
          <w:szCs w:val="20"/>
          <w:color w:val="auto"/>
        </w:rPr>
      </w:pPr>
      <w:r>
        <w:rPr>
          <w:rFonts w:ascii="Arial" w:cs="Arial" w:eastAsia="Arial" w:hAnsi="Arial"/>
          <w:sz w:val="21"/>
          <w:szCs w:val="21"/>
          <w:color w:val="auto"/>
        </w:rPr>
        <w:t>If Executive breaches this Separation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Separation Agreement.</w:t>
      </w:r>
    </w:p>
    <w:p>
      <w:pPr>
        <w:spacing w:after="0" w:line="200" w:lineRule="exact"/>
        <w:rPr>
          <w:sz w:val="20"/>
          <w:szCs w:val="20"/>
          <w:color w:val="auto"/>
        </w:rPr>
      </w:pPr>
    </w:p>
    <w:p>
      <w:pPr>
        <w:jc w:val="both"/>
        <w:ind w:firstLine="638"/>
        <w:spacing w:after="0" w:line="273" w:lineRule="auto"/>
        <w:tabs>
          <w:tab w:leader="none" w:pos="1301"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Protective Covenants and Loss of Benefits</w:t>
      </w:r>
      <w:r>
        <w:rPr>
          <w:rFonts w:ascii="Arial" w:cs="Arial" w:eastAsia="Arial" w:hAnsi="Arial"/>
          <w:sz w:val="19"/>
          <w:szCs w:val="19"/>
          <w:color w:val="auto"/>
        </w:rPr>
        <w:t>. Executive acknowledges and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termination of the Employment Agreement pursuant to Section 1, the protective and restrictive covenants and related provisions set forth in Sections 8 and 9 of the Employment Agreement (the “Employment Agreement Protective Covenants”) shall survive and remain in full force and effect and that the benefits payable under Exhibit C to this Separation Agreement are subject to forfeiture and/or recoupment (a) due to any violation of the Employment Agreement Protective Covenants or breach of this Agreement (including, without limitation, Section 11 thereof), (b) upon discovery of circumstances that would have been grounds for termination for “cause” under Section 5(c) of the Employment Agreement that were unknown to the Company as of the Employment Termination Date (this excludes any subject matter in relation to any investigation commenced prior to the Employment Termination Date), or (c) as provided for under the clawback provisions of the stock and annual incentive plan awards granted to Executive, to the extent disclosed to Executive.</w:t>
      </w:r>
    </w:p>
    <w:p>
      <w:pPr>
        <w:spacing w:after="0" w:line="183" w:lineRule="exact"/>
        <w:rPr>
          <w:rFonts w:ascii="Arial" w:cs="Arial" w:eastAsia="Arial" w:hAnsi="Arial"/>
          <w:sz w:val="19"/>
          <w:szCs w:val="19"/>
          <w:b w:val="1"/>
          <w:bCs w:val="1"/>
          <w:color w:val="auto"/>
        </w:rPr>
      </w:pPr>
    </w:p>
    <w:p>
      <w:pPr>
        <w:jc w:val="both"/>
        <w:ind w:firstLine="638"/>
        <w:spacing w:after="0" w:line="301" w:lineRule="auto"/>
        <w:tabs>
          <w:tab w:leader="none" w:pos="1301"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Application to all Forms of Relief</w:t>
      </w:r>
      <w:r>
        <w:rPr>
          <w:rFonts w:ascii="Arial" w:cs="Arial" w:eastAsia="Arial" w:hAnsi="Arial"/>
          <w:sz w:val="19"/>
          <w:szCs w:val="19"/>
          <w:color w:val="auto"/>
        </w:rPr>
        <w:t>. This Separation Agreement applies to any relief no matter how</w:t>
      </w:r>
      <w:r>
        <w:rPr>
          <w:rFonts w:ascii="Arial" w:cs="Arial" w:eastAsia="Arial" w:hAnsi="Arial"/>
          <w:sz w:val="19"/>
          <w:szCs w:val="19"/>
          <w:b w:val="1"/>
          <w:bCs w:val="1"/>
          <w:color w:val="auto"/>
        </w:rPr>
        <w:t xml:space="preserve"> </w:t>
      </w:r>
      <w:r>
        <w:rPr>
          <w:rFonts w:ascii="Arial" w:cs="Arial" w:eastAsia="Arial" w:hAnsi="Arial"/>
          <w:sz w:val="19"/>
          <w:szCs w:val="19"/>
          <w:color w:val="auto"/>
        </w:rPr>
        <w:t>called, including without limitation, wages, back pay, front pay, reinstatement, compensatory damages, liquidated damages, punitive damages for pain or suffering, costs and attorney’s fees and expenses.</w:t>
      </w:r>
    </w:p>
    <w:p>
      <w:pPr>
        <w:spacing w:after="0" w:line="150" w:lineRule="exact"/>
        <w:rPr>
          <w:rFonts w:ascii="Arial" w:cs="Arial" w:eastAsia="Arial" w:hAnsi="Arial"/>
          <w:sz w:val="19"/>
          <w:szCs w:val="19"/>
          <w:b w:val="1"/>
          <w:bCs w:val="1"/>
          <w:color w:val="auto"/>
        </w:rPr>
      </w:pPr>
    </w:p>
    <w:p>
      <w:pPr>
        <w:jc w:val="both"/>
        <w:ind w:firstLine="638"/>
        <w:spacing w:after="0" w:line="251" w:lineRule="auto"/>
        <w:tabs>
          <w:tab w:leader="none" w:pos="1301"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Admissions, Complaints or Other Claims</w:t>
      </w:r>
      <w:r>
        <w:rPr>
          <w:rFonts w:ascii="Arial" w:cs="Arial" w:eastAsia="Arial" w:hAnsi="Arial"/>
          <w:sz w:val="21"/>
          <w:szCs w:val="21"/>
          <w:color w:val="auto"/>
        </w:rPr>
        <w:t>. The Executive acknowledges and agrees that this</w:t>
      </w:r>
      <w:r>
        <w:rPr>
          <w:rFonts w:ascii="Arial" w:cs="Arial" w:eastAsia="Arial" w:hAnsi="Arial"/>
          <w:sz w:val="21"/>
          <w:szCs w:val="21"/>
          <w:b w:val="1"/>
          <w:bCs w:val="1"/>
          <w:color w:val="auto"/>
        </w:rPr>
        <w:t xml:space="preserve"> </w:t>
      </w:r>
      <w:r>
        <w:rPr>
          <w:rFonts w:ascii="Arial" w:cs="Arial" w:eastAsia="Arial" w:hAnsi="Arial"/>
          <w:sz w:val="21"/>
          <w:szCs w:val="21"/>
          <w:color w:val="auto"/>
        </w:rPr>
        <w:t>Separation Agreement is not to be construed in any way as an 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195" w:lineRule="exact"/>
        <w:rPr>
          <w:rFonts w:ascii="Arial" w:cs="Arial" w:eastAsia="Arial" w:hAnsi="Arial"/>
          <w:sz w:val="21"/>
          <w:szCs w:val="21"/>
          <w:b w:val="1"/>
          <w:bCs w:val="1"/>
          <w:color w:val="auto"/>
        </w:rPr>
      </w:pPr>
    </w:p>
    <w:p>
      <w:pPr>
        <w:jc w:val="both"/>
        <w:ind w:firstLine="638"/>
        <w:spacing w:after="0" w:line="254" w:lineRule="auto"/>
        <w:tabs>
          <w:tab w:leader="none" w:pos="1301"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Acknowledgments</w:t>
      </w:r>
      <w:r>
        <w:rPr>
          <w:rFonts w:ascii="Arial" w:cs="Arial" w:eastAsia="Arial" w:hAnsi="Arial"/>
          <w:sz w:val="21"/>
          <w:szCs w:val="21"/>
          <w:color w:val="auto"/>
        </w:rPr>
        <w:t>. Executive has fully reviewed the terms of this Separation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that he understands its terms, and states that he is entering into this Separation Agreement knowingly, voluntarily, and in full settlement of all claims which existed in the past or which currently exist, that arise out of his employment with the Company or the termination of his employment.</w:t>
      </w:r>
    </w:p>
    <w:p>
      <w:pPr>
        <w:spacing w:after="0" w:line="199" w:lineRule="exact"/>
        <w:rPr>
          <w:sz w:val="20"/>
          <w:szCs w:val="20"/>
          <w:color w:val="auto"/>
        </w:rPr>
      </w:pPr>
    </w:p>
    <w:p>
      <w:pPr>
        <w:jc w:val="both"/>
        <w:ind w:firstLine="639"/>
        <w:spacing w:after="0"/>
        <w:rPr>
          <w:sz w:val="20"/>
          <w:szCs w:val="20"/>
          <w:color w:val="auto"/>
        </w:rPr>
      </w:pPr>
      <w:r>
        <w:rPr>
          <w:rFonts w:ascii="Arial" w:cs="Arial" w:eastAsia="Arial" w:hAnsi="Arial"/>
          <w:sz w:val="22"/>
          <w:szCs w:val="22"/>
          <w:color w:val="auto"/>
        </w:rPr>
        <w:t>Executive acknowledges that he has had at least twenty-one (21) days to consider this Separation Agreement thoroughly, and Executive understands that he has the right to consult with an attorney, before he signs below and is advised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1" w:name="page132"/>
    <w:bookmarkEnd w:id="131"/>
    <w:p>
      <w:pPr>
        <w:jc w:val="both"/>
        <w:ind w:firstLine="639"/>
        <w:spacing w:after="0" w:line="236" w:lineRule="auto"/>
        <w:rPr>
          <w:sz w:val="20"/>
          <w:szCs w:val="20"/>
          <w:color w:val="auto"/>
        </w:rPr>
      </w:pPr>
      <w:r>
        <w:rPr>
          <w:rFonts w:ascii="Arial" w:cs="Arial" w:eastAsia="Arial" w:hAnsi="Arial"/>
          <w:sz w:val="22"/>
          <w:szCs w:val="22"/>
          <w:color w:val="auto"/>
        </w:rPr>
        <w:t>If Executive signs and returns this Separation Agreement before the end of the 21-day period, he certifies that his acceptance of a shortened time period is knowing and voluntary, and the Company did not -- through fraud, misrepresentation, a threat to withdraw or alter the offer before the 21-day period expires, or by providing different terms to other employees who sign the release before such time period expires -- improperly encourage Executive to sign.</w:t>
      </w:r>
    </w:p>
    <w:p>
      <w:pPr>
        <w:spacing w:after="0" w:line="215" w:lineRule="exact"/>
        <w:rPr>
          <w:sz w:val="20"/>
          <w:szCs w:val="20"/>
          <w:color w:val="auto"/>
        </w:rPr>
      </w:pPr>
    </w:p>
    <w:p>
      <w:pPr>
        <w:jc w:val="both"/>
        <w:ind w:firstLine="639"/>
        <w:spacing w:after="0" w:line="247" w:lineRule="auto"/>
        <w:rPr>
          <w:sz w:val="20"/>
          <w:szCs w:val="20"/>
          <w:color w:val="auto"/>
        </w:rPr>
      </w:pPr>
      <w:r>
        <w:rPr>
          <w:rFonts w:ascii="Arial" w:cs="Arial" w:eastAsia="Arial" w:hAnsi="Arial"/>
          <w:sz w:val="21"/>
          <w:szCs w:val="21"/>
          <w:color w:val="auto"/>
        </w:rPr>
        <w:t>Executive understands that he may revoke this Separation Agreement within the first seven (7) days after he signs it. Executive’s revocation must be in writing and submitted within the seven (7) day period to Kimberly Gee Stith, via hand delivery or via electronic delivery at: KStith@wm.com. If Executive does not revoke this Separation Agreement within the seven (7) day period, it becomes irrevocable. Executive further understands that if he revokes this Separation Agreement, he will not be eligible to receive the benefits described in Exhibit C. All benefits described in Exhibit C will be paid on the dates specified herein, but only if this Separation Agreement has been duly executed and not revoked within its revocation period.</w:t>
      </w:r>
    </w:p>
    <w:p>
      <w:pPr>
        <w:spacing w:after="0" w:line="199" w:lineRule="exact"/>
        <w:rPr>
          <w:sz w:val="20"/>
          <w:szCs w:val="20"/>
          <w:color w:val="auto"/>
        </w:rPr>
      </w:pPr>
    </w:p>
    <w:p>
      <w:pPr>
        <w:jc w:val="both"/>
        <w:ind w:firstLine="638"/>
        <w:spacing w:after="0" w:line="273" w:lineRule="auto"/>
        <w:tabs>
          <w:tab w:leader="none" w:pos="1342"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Settlement and Acquisition of Goodwill</w:t>
      </w:r>
      <w:r>
        <w:rPr>
          <w:rFonts w:ascii="Arial" w:cs="Arial" w:eastAsia="Arial" w:hAnsi="Arial"/>
          <w:sz w:val="19"/>
          <w:szCs w:val="19"/>
          <w:color w:val="auto"/>
        </w:rPr>
        <w:t>. Executive waives and releases any and all claims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Agreement Protective Covenants are not enforceable or are against public policy. Executive covenants not to file a lawsuit or arbitration proceeding, pursue declaratory relief, or otherwise take any legal action to challenge the enforceability of the Employment Agreement Protective Covenants. The parties agree that the payments and benefits referred to in Exhibit C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Protective Covenants (incorporated herein by reference) for the periods of time set forth therein. It is specifically agreed that the two-year Restricted Term set forth in Section 8 of the Employment Agreement and the restriction provided for therein shall commence upon the Employment Termination Date.</w:t>
      </w:r>
    </w:p>
    <w:p>
      <w:pPr>
        <w:spacing w:after="0" w:line="183" w:lineRule="exact"/>
        <w:rPr>
          <w:rFonts w:ascii="Arial" w:cs="Arial" w:eastAsia="Arial" w:hAnsi="Arial"/>
          <w:sz w:val="19"/>
          <w:szCs w:val="19"/>
          <w:b w:val="1"/>
          <w:bCs w:val="1"/>
          <w:color w:val="auto"/>
        </w:rPr>
      </w:pPr>
    </w:p>
    <w:p>
      <w:pPr>
        <w:jc w:val="both"/>
        <w:ind w:firstLine="648"/>
        <w:spacing w:after="0" w:line="272" w:lineRule="auto"/>
        <w:tabs>
          <w:tab w:leader="none" w:pos="1352"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Assistance and Cooperation</w:t>
      </w:r>
      <w:r>
        <w:rPr>
          <w:rFonts w:ascii="Arial" w:cs="Arial" w:eastAsia="Arial" w:hAnsi="Arial"/>
          <w:sz w:val="19"/>
          <w:szCs w:val="19"/>
          <w:color w:val="auto"/>
        </w:rPr>
        <w:t>. Executive agrees that he will cooperate fully with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counsel, upon their request, with respect to any potential or pending proceeding (including, but not limited to, any litigation, arbitration, regulatory proceeding, investigation or governmental action) that relates at least in part to matters with which Executive was involved while he was an employee of the Company or any of its affiliates, or with which he has knowledge. Executive agrees to render such cooperation in a timely fashion and to provide Company personnel and counsel with the full benefit of his knowledge with respect to any such matter, and will make himself reasonably available for interviews, depositions, or court appearances at the request of the Company or its counsel. The Parties agree that Executive’s willingness to provide this cooperation is an inducement in the Company’s willingness to enter into this agreement and, accordingly, any failure to comply with the requirements of this Section 11 shall constitute a material breach of this Separation Agreement. The Company agrees that it will not claim any breach of this Section 11 by Executive before providing Executive written notice of the specific cooperation requested which Company claims Executive has failed to provide, and it shall give Executive a reasonable opportunity to provide the requested cooperation following delivery of such notice.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2" w:name="page133"/>
    <w:bookmarkEnd w:id="132"/>
    <w:p>
      <w:pPr>
        <w:jc w:val="both"/>
        <w:ind w:firstLine="638"/>
        <w:spacing w:after="0" w:line="239" w:lineRule="auto"/>
        <w:tabs>
          <w:tab w:leader="none" w:pos="1342"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Laws</w:t>
      </w:r>
      <w:r>
        <w:rPr>
          <w:rFonts w:ascii="Arial" w:cs="Arial" w:eastAsia="Arial" w:hAnsi="Arial"/>
          <w:sz w:val="22"/>
          <w:szCs w:val="22"/>
          <w:color w:val="auto"/>
        </w:rPr>
        <w:t>. This Separation Agreement is made and entered into in the State of Texas,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 all respects be interpreted, enforced and governed under the laws of the State of Texas. The language of all parts of this Separation Agreement shall in all cases be construed as a whole, according to its fair meaning, and not strictly for or against any of the parties.</w:t>
      </w:r>
    </w:p>
    <w:p>
      <w:pPr>
        <w:spacing w:after="0" w:line="208" w:lineRule="exact"/>
        <w:rPr>
          <w:rFonts w:ascii="Arial" w:cs="Arial" w:eastAsia="Arial" w:hAnsi="Arial"/>
          <w:sz w:val="22"/>
          <w:szCs w:val="22"/>
          <w:b w:val="1"/>
          <w:bCs w:val="1"/>
          <w:color w:val="auto"/>
        </w:rPr>
      </w:pPr>
    </w:p>
    <w:p>
      <w:pPr>
        <w:jc w:val="both"/>
        <w:ind w:firstLine="638"/>
        <w:spacing w:after="0" w:line="239" w:lineRule="auto"/>
        <w:tabs>
          <w:tab w:leader="none" w:pos="1342"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Should any provision of this Separation Agreement be declared or be determined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any court to be illegal or invalid, the validity of the remaining parts, terms or provisions shall not be affected thereby and said illegal or invalid part, term, or provision shall be deemed not to be a part of this Separation Agreement.</w:t>
      </w:r>
    </w:p>
    <w:p>
      <w:pPr>
        <w:spacing w:after="0" w:line="207" w:lineRule="exact"/>
        <w:rPr>
          <w:rFonts w:ascii="Arial" w:cs="Arial" w:eastAsia="Arial" w:hAnsi="Arial"/>
          <w:sz w:val="22"/>
          <w:szCs w:val="22"/>
          <w:b w:val="1"/>
          <w:bCs w:val="1"/>
          <w:color w:val="auto"/>
        </w:rPr>
      </w:pPr>
    </w:p>
    <w:p>
      <w:pPr>
        <w:jc w:val="both"/>
        <w:ind w:firstLine="638"/>
        <w:spacing w:after="0" w:line="271" w:lineRule="auto"/>
        <w:tabs>
          <w:tab w:leader="none" w:pos="1342"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Withholding; Right of Offset</w:t>
      </w:r>
      <w:r>
        <w:rPr>
          <w:rFonts w:ascii="Arial" w:cs="Arial" w:eastAsia="Arial" w:hAnsi="Arial"/>
          <w:sz w:val="19"/>
          <w:szCs w:val="19"/>
          <w:color w:val="auto"/>
        </w:rPr>
        <w:t>. The Company shall withhold, or cause to be withheld, from</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payments made pursuant to this Separation Agreement or any other agreement between Executive and the Company all amounts required to be withheld pursuant to federal, state or local tax laws. The Company may withhold and deduct from any and all payments made pursuant to this Separation Agreement or any other agreement between Executive and the Company all other normal deductions made with respect to the Company’s employees generally and any advances made to Executive and owed to the Company. Executive acknowledges that he has been advised to consult his own tax professional regarding the tax consequences of any payments of compensation or other amounts received by Executive pursuant to this Separation Agreement or any other agreement between the Executive and the Company. Furthermore, Executive acknowledges that he is responsible for paying all applicable taxes as are assessed or levied by any governmental entity on any payments of compensation or other amounts received by Executive from the Company. The Company makes no representations regarding the tax consequences of any payments under this Separation Agreement or any other agreement between Executive and the Company, and in no event shall the Company be liable for any portion of any taxes, penalties, interest or other expenses that may be incurred by Executive with respect to any payments under this Separation Agreement or any other agreement between Executive and the Company.</w:t>
      </w:r>
    </w:p>
    <w:p>
      <w:pPr>
        <w:spacing w:after="0" w:line="188" w:lineRule="exact"/>
        <w:rPr>
          <w:rFonts w:ascii="Arial" w:cs="Arial" w:eastAsia="Arial" w:hAnsi="Arial"/>
          <w:sz w:val="19"/>
          <w:szCs w:val="19"/>
          <w:b w:val="1"/>
          <w:bCs w:val="1"/>
          <w:color w:val="auto"/>
        </w:rPr>
      </w:pPr>
    </w:p>
    <w:p>
      <w:pPr>
        <w:jc w:val="both"/>
        <w:ind w:firstLine="638"/>
        <w:spacing w:after="0" w:line="245" w:lineRule="auto"/>
        <w:tabs>
          <w:tab w:leader="none" w:pos="1342"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Matters Relating to Section 409A of the Code</w:t>
      </w:r>
      <w:r>
        <w:rPr>
          <w:rFonts w:ascii="Arial" w:cs="Arial" w:eastAsia="Arial" w:hAnsi="Arial"/>
          <w:sz w:val="21"/>
          <w:szCs w:val="21"/>
          <w:color w:val="auto"/>
        </w:rPr>
        <w:t>. Each payment under this Separation Agreement is</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be (i) to the greatest extent possible exempt from Section 409A of the Internal Revenue Code, the regulations and other binding guidance promulgated thereunder (“Section 409A”), including, but not limited to, by compliance with the short-term deferral exemption as specified in Treas. Reg. § 1.409A-1(b)(4) and the separation pay plan exemption set forth in Treas. Reg § 1.409A-1(b)(9), or (ii) if not exempt compliant with Section 409A, and the provisions of this Separation Agreement will be administered, interpreted and construed accordingly. Payments under this Separation Agreement in a series of installments shall be treated as a right to receive a series of separate payments for purposes of Section 409A. Executive shall be considered to have incurred a “separation from service” with the Company and its affiliates within the meaning of Treas. Reg. § 1.409A-1(h)(1)(ii) as of the Employment Termination Date.</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any other provision in this Separation Agreement to the contrary, payments and benefits payable under this Separation Agreement due to a “separation from service” within the meaning of Section 409A that are deferred compensation subject to (and not otherwise exempt from) Section 409A that would otherwise be paid or provided during the six-month period commencing on the date of Executive’s “separation from service” within the meaning of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3" w:name="page134"/>
    <w:bookmarkEnd w:id="133"/>
    <w:p>
      <w:pPr>
        <w:jc w:val="both"/>
        <w:spacing w:after="0" w:line="251" w:lineRule="auto"/>
        <w:rPr>
          <w:sz w:val="20"/>
          <w:szCs w:val="20"/>
          <w:color w:val="auto"/>
        </w:rPr>
      </w:pPr>
      <w:r>
        <w:rPr>
          <w:rFonts w:ascii="Arial" w:cs="Arial" w:eastAsia="Arial" w:hAnsi="Arial"/>
          <w:sz w:val="22"/>
          <w:szCs w:val="22"/>
          <w:color w:val="auto"/>
        </w:rPr>
        <w:t>409A, shall be deferred until the first business day after the date that is six (6) months following Executive’s “separation from service” within the meaning of Section 409A.</w:t>
      </w:r>
    </w:p>
    <w:p>
      <w:pPr>
        <w:spacing w:after="0" w:line="201" w:lineRule="exact"/>
        <w:rPr>
          <w:sz w:val="20"/>
          <w:szCs w:val="20"/>
          <w:color w:val="auto"/>
        </w:rPr>
      </w:pPr>
    </w:p>
    <w:p>
      <w:pPr>
        <w:jc w:val="both"/>
        <w:ind w:firstLine="639"/>
        <w:spacing w:after="0" w:line="277" w:lineRule="auto"/>
        <w:rPr>
          <w:sz w:val="20"/>
          <w:szCs w:val="20"/>
          <w:color w:val="auto"/>
        </w:rPr>
      </w:pPr>
      <w:r>
        <w:rPr>
          <w:rFonts w:ascii="Arial" w:cs="Arial" w:eastAsia="Arial" w:hAnsi="Arial"/>
          <w:sz w:val="19"/>
          <w:szCs w:val="19"/>
          <w:color w:val="auto"/>
        </w:rPr>
        <w:t>To the extent that reimbursements or other in-kind benefits under this Separation Agreement constitute “nonqualified deferred compensation” for purposes of Section 409A, (A) all expenses or other reimbursements hereunder shall be made on or prior to the last day of the second taxable year following Executive’s “separation from service” pursuant to Treasury Regulation § 1.409A-1(b)(9)(iii)(B),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0" w:lineRule="exact"/>
        <w:rPr>
          <w:sz w:val="20"/>
          <w:szCs w:val="20"/>
          <w:color w:val="auto"/>
        </w:rPr>
      </w:pPr>
    </w:p>
    <w:p>
      <w:pPr>
        <w:jc w:val="both"/>
        <w:ind w:firstLine="639"/>
        <w:spacing w:after="0" w:line="249" w:lineRule="auto"/>
        <w:rPr>
          <w:sz w:val="20"/>
          <w:szCs w:val="20"/>
          <w:color w:val="auto"/>
        </w:rPr>
      </w:pPr>
      <w:r>
        <w:rPr>
          <w:rFonts w:ascii="Arial" w:cs="Arial" w:eastAsia="Arial" w:hAnsi="Arial"/>
          <w:sz w:val="21"/>
          <w:szCs w:val="21"/>
          <w:color w:val="auto"/>
        </w:rPr>
        <w:t>Amounts payable pursuant to this Separation Agreement are intended to be unfunded for purposes of Section 409A. Although bookkeeping accounts may be established with respect to payments due under the Separation Agreement, any such accounts shall be used merely as a bookkeeping convenience. No provision of this Separation Agreement shall require the Company to purchase assets, place assets in a trust or segregate assets in connection with amounts due under the Separation Agreement.</w:t>
      </w:r>
    </w:p>
    <w:p>
      <w:pPr>
        <w:spacing w:after="0" w:line="200" w:lineRule="exact"/>
        <w:rPr>
          <w:sz w:val="20"/>
          <w:szCs w:val="20"/>
          <w:color w:val="auto"/>
        </w:rPr>
      </w:pPr>
    </w:p>
    <w:p>
      <w:pPr>
        <w:jc w:val="both"/>
        <w:ind w:firstLine="638"/>
        <w:spacing w:after="0" w:line="271" w:lineRule="auto"/>
        <w:tabs>
          <w:tab w:leader="none" w:pos="1342"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The parties agree that any dispute relating to this Agreement, or to the breach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arising between Executive and the Company shall be settled by confidential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the Employment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There shall be three (3) arbitrators. Each party shall select one arbitrator and the two party-selected arbitrators shall agree on the selection of the third arbitrator. The parties shall each select their arbitrator within thirty (30) days of the notice of dispute, or if the parties cannot agree, in accordance with the commercial arbitration rules of the AAA (or any other mutually agreed upon arbitration service). All fees and expenses associated with the arbitration shall be paid by the Company during the arbitration, including the timely payment of all reasonable attorney’s fees and costs of Executive within thirty (30) days of submission of invoice. The arbitrators shall not be authorized to create a cause of action or remedy not recognized by applicable state or federal law. The arbitrator shall be authorized to award final injunctive relief. The award of the arbitrators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78" w:lineRule="exact"/>
        <w:rPr>
          <w:rFonts w:ascii="Arial" w:cs="Arial" w:eastAsia="Arial" w:hAnsi="Arial"/>
          <w:sz w:val="19"/>
          <w:szCs w:val="19"/>
          <w:b w:val="1"/>
          <w:bCs w:val="1"/>
          <w:color w:val="auto"/>
        </w:rPr>
      </w:pPr>
    </w:p>
    <w:p>
      <w:pPr>
        <w:jc w:val="both"/>
        <w:ind w:firstLine="638"/>
        <w:spacing w:after="0" w:line="261" w:lineRule="auto"/>
        <w:tabs>
          <w:tab w:leader="none" w:pos="1342"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The parties hereto agree that the provisions of the Employment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relating to dispute resolution including, without limitation, those provided in Sections 11 and 13 thereto, shall survive and apply to the payments and benefits provided for under this Separation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4" w:name="page135"/>
    <w:bookmarkEnd w:id="134"/>
    <w:p>
      <w:pPr>
        <w:jc w:val="both"/>
        <w:ind w:firstLine="638"/>
        <w:spacing w:after="0" w:line="239" w:lineRule="auto"/>
        <w:tabs>
          <w:tab w:leader="none" w:pos="1342"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Complete Agreement</w:t>
      </w:r>
      <w:r>
        <w:rPr>
          <w:rFonts w:ascii="Arial" w:cs="Arial" w:eastAsia="Arial" w:hAnsi="Arial"/>
          <w:sz w:val="22"/>
          <w:szCs w:val="22"/>
          <w:color w:val="auto"/>
        </w:rPr>
        <w:t>. The parties hereto agree that this Separation Agreement contains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and final expression of their agreements with respect to the matters contained therein, and acknowledge that no other promises than those identified herein have been made to or by any of the parties that are not identified in these Agreements.</w:t>
      </w:r>
    </w:p>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parties agree that neither the offer of, nor the execution of, this Separation Agreement will be construed as an admission of wrongdoing by anyone. Instead, this Separation Agreement is to be construed solely as a reflection of the parties’ desire to facilitate a peaceful separation of employment and to make sure there are no unresolved issued between them. This Separation Agreement may be executed in any number of counterparts and by the parties hereto on separate counterparts, each of which when so executed and delivered (including via electronic mail or facsimile) shall be an original but such counterparts together shall constitute one and the same instrument.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35" w:name="page136"/>
    <w:bookmarkEnd w:id="135"/>
    <w:p>
      <w:pPr>
        <w:ind w:left="640"/>
        <w:spacing w:after="0"/>
        <w:rPr>
          <w:sz w:val="20"/>
          <w:szCs w:val="20"/>
          <w:color w:val="auto"/>
        </w:rPr>
      </w:pPr>
      <w:r>
        <w:rPr>
          <w:rFonts w:ascii="Arial" w:cs="Arial" w:eastAsia="Arial" w:hAnsi="Arial"/>
          <w:sz w:val="22"/>
          <w:szCs w:val="22"/>
          <w:b w:val="1"/>
          <w:bCs w:val="1"/>
          <w:i w:val="1"/>
          <w:iCs w:val="1"/>
          <w:u w:val="single" w:color="auto"/>
          <w:color w:val="auto"/>
        </w:rPr>
        <w:t>Please review this document carefully as it contains a release of claims.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WITNESS WHEREOF, the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“Effective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00" w:type="dxa"/>
            <w:vAlign w:val="bottom"/>
            <w:gridSpan w:val="2"/>
          </w:tcPr>
          <w:p>
            <w:pPr>
              <w:spacing w:after="0"/>
              <w:rPr>
                <w:sz w:val="20"/>
                <w:szCs w:val="20"/>
                <w:color w:val="auto"/>
              </w:rPr>
            </w:pPr>
            <w:r>
              <w:rPr>
                <w:rFonts w:ascii="Arial" w:cs="Arial" w:eastAsia="Arial" w:hAnsi="Arial"/>
                <w:sz w:val="22"/>
                <w:szCs w:val="22"/>
                <w:b w:val="1"/>
                <w:bCs w:val="1"/>
                <w:color w:val="auto"/>
              </w:rPr>
              <w:t>BARRY CALDWELL</w:t>
            </w:r>
          </w:p>
        </w:tc>
        <w:tc>
          <w:tcPr>
            <w:tcW w:w="1460" w:type="dxa"/>
            <w:vAlign w:val="bottom"/>
          </w:tcPr>
          <w:p>
            <w:pPr>
              <w:spacing w:after="0"/>
              <w:rPr>
                <w:sz w:val="21"/>
                <w:szCs w:val="21"/>
                <w:color w:val="auto"/>
              </w:rPr>
            </w:pPr>
          </w:p>
        </w:tc>
        <w:tc>
          <w:tcPr>
            <w:tcW w:w="5100" w:type="dxa"/>
            <w:vAlign w:val="bottom"/>
            <w:gridSpan w:val="3"/>
          </w:tcPr>
          <w:p>
            <w:pPr>
              <w:ind w:left="260"/>
              <w:spacing w:after="0"/>
              <w:rPr>
                <w:sz w:val="20"/>
                <w:szCs w:val="20"/>
                <w:color w:val="auto"/>
              </w:rPr>
            </w:pPr>
            <w:r>
              <w:rPr>
                <w:rFonts w:ascii="Arial" w:cs="Arial" w:eastAsia="Arial" w:hAnsi="Arial"/>
                <w:sz w:val="22"/>
                <w:szCs w:val="22"/>
                <w:b w:val="1"/>
                <w:bCs w:val="1"/>
                <w:color w:val="auto"/>
              </w:rPr>
              <w:t>USA WASTE-MANAGEMENT</w:t>
            </w:r>
          </w:p>
        </w:tc>
        <w:tc>
          <w:tcPr>
            <w:tcW w:w="0" w:type="dxa"/>
            <w:vAlign w:val="bottom"/>
          </w:tcPr>
          <w:p>
            <w:pPr>
              <w:spacing w:after="0"/>
              <w:rPr>
                <w:sz w:val="1"/>
                <w:szCs w:val="1"/>
                <w:color w:val="auto"/>
              </w:rPr>
            </w:pPr>
          </w:p>
        </w:tc>
      </w:tr>
      <w:tr>
        <w:trPr>
          <w:trHeight w:val="249"/>
        </w:trPr>
        <w:tc>
          <w:tcPr>
            <w:tcW w:w="3500" w:type="dxa"/>
            <w:vAlign w:val="bottom"/>
            <w:gridSpan w:val="2"/>
          </w:tcPr>
          <w:p>
            <w:pPr>
              <w:spacing w:after="0" w:line="249" w:lineRule="exact"/>
              <w:rPr>
                <w:sz w:val="20"/>
                <w:szCs w:val="20"/>
                <w:color w:val="auto"/>
              </w:rPr>
            </w:pPr>
            <w:r>
              <w:rPr>
                <w:rFonts w:ascii="Arial" w:cs="Arial" w:eastAsia="Arial" w:hAnsi="Arial"/>
                <w:sz w:val="22"/>
                <w:szCs w:val="22"/>
                <w:color w:val="auto"/>
              </w:rPr>
              <w:t>(“Executive”)</w:t>
            </w:r>
          </w:p>
        </w:tc>
        <w:tc>
          <w:tcPr>
            <w:tcW w:w="1460" w:type="dxa"/>
            <w:vAlign w:val="bottom"/>
          </w:tcPr>
          <w:p>
            <w:pPr>
              <w:spacing w:after="0"/>
              <w:rPr>
                <w:sz w:val="21"/>
                <w:szCs w:val="21"/>
                <w:color w:val="auto"/>
              </w:rPr>
            </w:pPr>
          </w:p>
        </w:tc>
        <w:tc>
          <w:tcPr>
            <w:tcW w:w="5100" w:type="dxa"/>
            <w:vAlign w:val="bottom"/>
            <w:gridSpan w:val="3"/>
          </w:tcPr>
          <w:p>
            <w:pPr>
              <w:ind w:left="260"/>
              <w:spacing w:after="0" w:line="249" w:lineRule="exact"/>
              <w:rPr>
                <w:sz w:val="20"/>
                <w:szCs w:val="20"/>
                <w:color w:val="auto"/>
              </w:rPr>
            </w:pPr>
            <w:r>
              <w:rPr>
                <w:rFonts w:ascii="Arial" w:cs="Arial" w:eastAsia="Arial" w:hAnsi="Arial"/>
                <w:sz w:val="22"/>
                <w:szCs w:val="22"/>
                <w:b w:val="1"/>
                <w:bCs w:val="1"/>
                <w:color w:val="auto"/>
              </w:rPr>
              <w:t>RESOURCES, LLC</w:t>
            </w:r>
          </w:p>
        </w:tc>
        <w:tc>
          <w:tcPr>
            <w:tcW w:w="0" w:type="dxa"/>
            <w:vAlign w:val="bottom"/>
          </w:tcPr>
          <w:p>
            <w:pPr>
              <w:spacing w:after="0"/>
              <w:rPr>
                <w:sz w:val="1"/>
                <w:szCs w:val="1"/>
                <w:color w:val="auto"/>
              </w:rPr>
            </w:pPr>
          </w:p>
        </w:tc>
      </w:tr>
      <w:tr>
        <w:trPr>
          <w:trHeight w:val="275"/>
        </w:trPr>
        <w:tc>
          <w:tcPr>
            <w:tcW w:w="6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100" w:type="dxa"/>
            <w:vAlign w:val="bottom"/>
            <w:gridSpan w:val="3"/>
          </w:tcPr>
          <w:p>
            <w:pPr>
              <w:ind w:left="260"/>
              <w:spacing w:after="0"/>
              <w:rPr>
                <w:sz w:val="20"/>
                <w:szCs w:val="20"/>
                <w:color w:val="auto"/>
              </w:rPr>
            </w:pPr>
            <w:r>
              <w:rPr>
                <w:rFonts w:ascii="Arial" w:cs="Arial" w:eastAsia="Arial" w:hAnsi="Arial"/>
                <w:sz w:val="22"/>
                <w:szCs w:val="22"/>
                <w:color w:val="auto"/>
              </w:rPr>
              <w:t>(The “Company”)</w:t>
            </w:r>
          </w:p>
        </w:tc>
        <w:tc>
          <w:tcPr>
            <w:tcW w:w="0" w:type="dxa"/>
            <w:vAlign w:val="bottom"/>
          </w:tcPr>
          <w:p>
            <w:pPr>
              <w:spacing w:after="0"/>
              <w:rPr>
                <w:sz w:val="1"/>
                <w:szCs w:val="1"/>
                <w:color w:val="auto"/>
              </w:rPr>
            </w:pPr>
          </w:p>
        </w:tc>
      </w:tr>
      <w:tr>
        <w:trPr>
          <w:trHeight w:val="476"/>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Barry Caldwell</w:t>
            </w:r>
          </w:p>
        </w:tc>
        <w:tc>
          <w:tcPr>
            <w:tcW w:w="1460" w:type="dxa"/>
            <w:vAlign w:val="bottom"/>
            <w:tcBorders>
              <w:bottom w:val="single" w:sz="8" w:color="auto"/>
            </w:tcBorders>
          </w:tcPr>
          <w:p>
            <w:pPr>
              <w:spacing w:after="0"/>
              <w:rPr>
                <w:sz w:val="24"/>
                <w:szCs w:val="24"/>
                <w:color w:val="auto"/>
              </w:rPr>
            </w:pPr>
          </w:p>
        </w:tc>
        <w:tc>
          <w:tcPr>
            <w:tcW w:w="5100" w:type="dxa"/>
            <w:vAlign w:val="bottom"/>
            <w:gridSpan w:val="3"/>
            <w:vMerge w:val="restart"/>
          </w:tcPr>
          <w:p>
            <w:pPr>
              <w:ind w:left="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Courtney Tippy</w:t>
            </w:r>
          </w:p>
        </w:tc>
        <w:tc>
          <w:tcPr>
            <w:tcW w:w="0" w:type="dxa"/>
            <w:vAlign w:val="bottom"/>
          </w:tcPr>
          <w:p>
            <w:pPr>
              <w:spacing w:after="0"/>
              <w:rPr>
                <w:sz w:val="1"/>
                <w:szCs w:val="1"/>
                <w:color w:val="auto"/>
              </w:rPr>
            </w:pPr>
          </w:p>
        </w:tc>
      </w:tr>
      <w:tr>
        <w:trPr>
          <w:trHeight w:val="237"/>
        </w:trPr>
        <w:tc>
          <w:tcPr>
            <w:tcW w:w="3500" w:type="dxa"/>
            <w:vAlign w:val="bottom"/>
            <w:gridSpan w:val="2"/>
          </w:tcPr>
          <w:p>
            <w:pPr>
              <w:spacing w:after="0" w:line="237" w:lineRule="exact"/>
              <w:rPr>
                <w:sz w:val="20"/>
                <w:szCs w:val="20"/>
                <w:color w:val="auto"/>
              </w:rPr>
            </w:pPr>
            <w:r>
              <w:rPr>
                <w:rFonts w:ascii="Arial" w:cs="Arial" w:eastAsia="Arial" w:hAnsi="Arial"/>
                <w:sz w:val="22"/>
                <w:szCs w:val="22"/>
                <w:color w:val="auto"/>
              </w:rPr>
              <w:t>Signature</w:t>
            </w:r>
          </w:p>
        </w:tc>
        <w:tc>
          <w:tcPr>
            <w:tcW w:w="1460" w:type="dxa"/>
            <w:vAlign w:val="bottom"/>
          </w:tcPr>
          <w:p>
            <w:pPr>
              <w:spacing w:after="0"/>
              <w:rPr>
                <w:sz w:val="20"/>
                <w:szCs w:val="20"/>
                <w:color w:val="auto"/>
              </w:rPr>
            </w:pPr>
          </w:p>
        </w:tc>
        <w:tc>
          <w:tcPr>
            <w:tcW w:w="51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00" w:type="dxa"/>
            <w:vAlign w:val="bottom"/>
            <w:gridSpan w:val="2"/>
            <w:vMerge w:val="restart"/>
          </w:tcPr>
          <w:p>
            <w:pPr>
              <w:spacing w:after="0"/>
              <w:rPr>
                <w:sz w:val="20"/>
                <w:szCs w:val="20"/>
                <w:color w:val="auto"/>
              </w:rPr>
            </w:pPr>
            <w:r>
              <w:rPr>
                <w:rFonts w:ascii="Arial" w:cs="Arial" w:eastAsia="Arial" w:hAnsi="Arial"/>
                <w:sz w:val="22"/>
                <w:szCs w:val="22"/>
                <w:color w:val="auto"/>
              </w:rPr>
              <w:t>Date:  10 August 2018</w:t>
            </w:r>
          </w:p>
        </w:tc>
        <w:tc>
          <w:tcPr>
            <w:tcW w:w="14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22"/>
                <w:szCs w:val="22"/>
                <w:color w:val="auto"/>
              </w:rPr>
              <w:t>Title: Vice President</w:t>
            </w:r>
          </w:p>
        </w:tc>
        <w:tc>
          <w:tcPr>
            <w:tcW w:w="0" w:type="dxa"/>
            <w:vAlign w:val="bottom"/>
          </w:tcPr>
          <w:p>
            <w:pPr>
              <w:spacing w:after="0"/>
              <w:rPr>
                <w:sz w:val="1"/>
                <w:szCs w:val="1"/>
                <w:color w:val="auto"/>
              </w:rPr>
            </w:pPr>
          </w:p>
        </w:tc>
      </w:tr>
      <w:tr>
        <w:trPr>
          <w:trHeight w:val="202"/>
        </w:trPr>
        <w:tc>
          <w:tcPr>
            <w:tcW w:w="350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rPr>
                <w:sz w:val="20"/>
                <w:szCs w:val="20"/>
                <w:color w:val="auto"/>
              </w:rPr>
            </w:pPr>
            <w:r>
              <w:rPr>
                <w:rFonts w:ascii="Arial" w:cs="Arial" w:eastAsia="Arial" w:hAnsi="Arial"/>
                <w:sz w:val="22"/>
                <w:szCs w:val="22"/>
                <w:color w:val="auto"/>
                <w:w w:val="71"/>
              </w:rPr>
              <w:t>“Effective</w:t>
            </w:r>
          </w:p>
        </w:tc>
        <w:tc>
          <w:tcPr>
            <w:tcW w:w="2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680" w:type="dxa"/>
            <w:vAlign w:val="bottom"/>
            <w:vMerge w:val="continue"/>
          </w:tcPr>
          <w:p>
            <w:pPr>
              <w:spacing w:after="0"/>
              <w:rPr>
                <w:sz w:val="23"/>
                <w:szCs w:val="23"/>
                <w:color w:val="auto"/>
              </w:rPr>
            </w:pPr>
          </w:p>
        </w:tc>
        <w:tc>
          <w:tcPr>
            <w:tcW w:w="2820" w:type="dxa"/>
            <w:vAlign w:val="bottom"/>
          </w:tcPr>
          <w:p>
            <w:pPr>
              <w:ind w:left="260"/>
              <w:spacing w:after="0"/>
              <w:rPr>
                <w:sz w:val="20"/>
                <w:szCs w:val="20"/>
                <w:color w:val="auto"/>
              </w:rPr>
            </w:pPr>
            <w:r>
              <w:rPr>
                <w:rFonts w:ascii="Arial" w:cs="Arial" w:eastAsia="Arial" w:hAnsi="Arial"/>
                <w:sz w:val="22"/>
                <w:szCs w:val="22"/>
                <w:color w:val="auto"/>
              </w:rPr>
              <w:t>Date”</w:t>
            </w:r>
          </w:p>
        </w:tc>
        <w:tc>
          <w:tcPr>
            <w:tcW w:w="1460" w:type="dxa"/>
            <w:vAlign w:val="bottom"/>
          </w:tcPr>
          <w:p>
            <w:pPr>
              <w:spacing w:after="0"/>
              <w:rPr>
                <w:sz w:val="23"/>
                <w:szCs w:val="23"/>
                <w:color w:val="auto"/>
              </w:rPr>
            </w:pPr>
          </w:p>
        </w:tc>
        <w:tc>
          <w:tcPr>
            <w:tcW w:w="5100" w:type="dxa"/>
            <w:vAlign w:val="bottom"/>
            <w:gridSpan w:val="3"/>
            <w:vMerge w:val="restart"/>
          </w:tcPr>
          <w:p>
            <w:pPr>
              <w:ind w:left="260"/>
              <w:spacing w:after="0"/>
              <w:rPr>
                <w:sz w:val="20"/>
                <w:szCs w:val="20"/>
                <w:color w:val="auto"/>
              </w:rPr>
            </w:pPr>
            <w:r>
              <w:rPr>
                <w:rFonts w:ascii="Arial" w:cs="Arial" w:eastAsia="Arial" w:hAnsi="Arial"/>
                <w:sz w:val="22"/>
                <w:szCs w:val="22"/>
                <w:color w:val="auto"/>
              </w:rPr>
              <w:t>Printed Name: Courtney Tippy</w:t>
            </w: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600" w:type="dxa"/>
            <w:vAlign w:val="bottom"/>
            <w:gridSpan w:val="2"/>
            <w:vMerge w:val="restart"/>
          </w:tcPr>
          <w:p>
            <w:pPr>
              <w:ind w:left="260"/>
              <w:spacing w:after="0"/>
              <w:rPr>
                <w:sz w:val="20"/>
                <w:szCs w:val="20"/>
                <w:color w:val="auto"/>
              </w:rPr>
            </w:pPr>
            <w:r>
              <w:rPr>
                <w:rFonts w:ascii="Arial" w:cs="Arial" w:eastAsia="Arial" w:hAnsi="Arial"/>
                <w:sz w:val="22"/>
                <w:szCs w:val="22"/>
                <w:color w:val="auto"/>
                <w:w w:val="99"/>
              </w:rPr>
              <w:t>Date: 8/10/18</w:t>
            </w:r>
          </w:p>
        </w:tc>
        <w:tc>
          <w:tcPr>
            <w:tcW w:w="3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5"/>
        </w:trPr>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gridSpan w:val="2"/>
          </w:tcPr>
          <w:p>
            <w:pPr>
              <w:jc w:val="right"/>
              <w:ind w:right="472"/>
              <w:spacing w:after="0"/>
              <w:rPr>
                <w:sz w:val="20"/>
                <w:szCs w:val="20"/>
                <w:color w:val="auto"/>
              </w:rPr>
            </w:pPr>
            <w:r>
              <w:rPr>
                <w:rFonts w:ascii="Arial" w:cs="Arial" w:eastAsia="Arial" w:hAnsi="Arial"/>
                <w:sz w:val="22"/>
                <w:szCs w:val="22"/>
                <w:color w:val="auto"/>
              </w:rPr>
              <w:t>10</w:t>
            </w:r>
          </w:p>
        </w:tc>
        <w:tc>
          <w:tcPr>
            <w:tcW w:w="84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18" w:right="919" w:bottom="1440" w:gutter="0" w:footer="0" w:header="0"/>
        </w:sectPr>
      </w:pPr>
    </w:p>
    <w:bookmarkStart w:id="136" w:name="page137"/>
    <w:bookmarkEnd w:id="136"/>
    <w:p>
      <w:pPr>
        <w:jc w:val="right"/>
        <w:ind w:right="3939"/>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ind w:left="221" w:hanging="221"/>
        <w:spacing w:after="0"/>
        <w:tabs>
          <w:tab w:leader="none" w:pos="22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Keep America Beautiful</w:t>
      </w:r>
    </w:p>
    <w:p>
      <w:pPr>
        <w:spacing w:after="0" w:line="8" w:lineRule="exact"/>
        <w:rPr>
          <w:rFonts w:ascii="Arial" w:cs="Arial" w:eastAsia="Arial" w:hAnsi="Arial"/>
          <w:sz w:val="22"/>
          <w:szCs w:val="22"/>
          <w:color w:val="auto"/>
        </w:rPr>
      </w:pPr>
    </w:p>
    <w:p>
      <w:pPr>
        <w:ind w:left="221" w:hanging="221"/>
        <w:spacing w:after="0" w:line="230" w:lineRule="auto"/>
        <w:tabs>
          <w:tab w:leader="none" w:pos="22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National Waste and Recycling Association</w:t>
      </w:r>
    </w:p>
    <w:p>
      <w:pPr>
        <w:ind w:left="221" w:hanging="221"/>
        <w:spacing w:after="0"/>
        <w:tabs>
          <w:tab w:leader="none" w:pos="22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National Association of Manufacturers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4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12"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EXHIBIT B</w:t>
      </w:r>
    </w:p>
    <w:p>
      <w:pPr>
        <w:spacing w:after="0" w:line="240" w:lineRule="exact"/>
        <w:rPr>
          <w:sz w:val="20"/>
          <w:szCs w:val="20"/>
          <w:color w:val="auto"/>
        </w:rPr>
      </w:pPr>
    </w:p>
    <w:p>
      <w:pPr>
        <w:jc w:val="both"/>
        <w:ind w:hanging="8"/>
        <w:spacing w:after="0"/>
        <w:rPr>
          <w:sz w:val="20"/>
          <w:szCs w:val="20"/>
          <w:color w:val="auto"/>
        </w:rPr>
      </w:pPr>
      <w:r>
        <w:rPr>
          <w:rFonts w:ascii="Arial" w:cs="Arial" w:eastAsia="Arial" w:hAnsi="Arial"/>
          <w:sz w:val="22"/>
          <w:szCs w:val="22"/>
          <w:color w:val="auto"/>
        </w:rPr>
        <w:t>The employment of Executive shall terminate effective August 11, 2018 (the “Employment Termination Date”). Executive is therefore, entitled to the payments and benefits listed below whether or not he signs this Separation Agreement. These include:</w:t>
      </w:r>
    </w:p>
    <w:p>
      <w:pPr>
        <w:spacing w:after="0" w:line="213" w:lineRule="exact"/>
        <w:rPr>
          <w:sz w:val="20"/>
          <w:szCs w:val="20"/>
          <w:color w:val="auto"/>
        </w:rPr>
      </w:pPr>
    </w:p>
    <w:p>
      <w:pPr>
        <w:ind w:left="1260" w:hanging="612"/>
        <w:spacing w:after="0"/>
        <w:tabs>
          <w:tab w:leader="none" w:pos="12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Accrued but unpaid base salary for services rendered through the Employment Termination Date.</w:t>
      </w:r>
    </w:p>
    <w:p>
      <w:pPr>
        <w:spacing w:after="0" w:line="267" w:lineRule="exact"/>
        <w:rPr>
          <w:rFonts w:ascii="Arial" w:cs="Arial" w:eastAsia="Arial" w:hAnsi="Arial"/>
          <w:sz w:val="19"/>
          <w:szCs w:val="19"/>
          <w:color w:val="auto"/>
        </w:rPr>
      </w:pPr>
    </w:p>
    <w:p>
      <w:pPr>
        <w:ind w:left="1260" w:hanging="612"/>
        <w:spacing w:after="0"/>
        <w:tabs>
          <w:tab w:leader="none" w:pos="12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Accrued but unpaid expenses required to be reimbursed under the Employment Agreement.</w:t>
      </w:r>
    </w:p>
    <w:p>
      <w:pPr>
        <w:spacing w:after="0" w:line="244" w:lineRule="exact"/>
        <w:rPr>
          <w:rFonts w:ascii="Arial" w:cs="Arial" w:eastAsia="Arial" w:hAnsi="Arial"/>
          <w:sz w:val="21"/>
          <w:szCs w:val="21"/>
          <w:color w:val="auto"/>
        </w:rPr>
      </w:pPr>
    </w:p>
    <w:p>
      <w:pPr>
        <w:ind w:left="1260" w:hanging="612"/>
        <w:spacing w:after="0"/>
        <w:tabs>
          <w:tab w:leader="none" w:pos="12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Accrued but unused vacation for the year 2018 through the Employment Termination Date.</w:t>
      </w:r>
    </w:p>
    <w:p>
      <w:pPr>
        <w:spacing w:after="0" w:line="244" w:lineRule="exact"/>
        <w:rPr>
          <w:rFonts w:ascii="Arial" w:cs="Arial" w:eastAsia="Arial" w:hAnsi="Arial"/>
          <w:sz w:val="21"/>
          <w:szCs w:val="21"/>
          <w:color w:val="auto"/>
        </w:rPr>
      </w:pPr>
    </w:p>
    <w:p>
      <w:pPr>
        <w:jc w:val="both"/>
        <w:ind w:left="1300" w:hanging="652"/>
        <w:spacing w:after="0" w:line="297" w:lineRule="auto"/>
        <w:tabs>
          <w:tab w:leader="none" w:pos="140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Vested amounts owed pursuant to the Waste Management Retirement Savings Plan and the Waste Management 409A Deferral Savings Plan (DSP), including, without limitation, Executive’s 20,601 deferred restricted stock unit grants (“DSUs”) from the following grant dates:</w:t>
      </w:r>
    </w:p>
    <w:p>
      <w:pPr>
        <w:spacing w:after="0" w:line="161" w:lineRule="exact"/>
        <w:rPr>
          <w:rFonts w:ascii="Arial" w:cs="Arial" w:eastAsia="Arial" w:hAnsi="Arial"/>
          <w:sz w:val="19"/>
          <w:szCs w:val="19"/>
          <w:color w:val="auto"/>
        </w:rPr>
      </w:pPr>
    </w:p>
    <w:p>
      <w:pPr>
        <w:ind w:left="1620"/>
        <w:spacing w:after="0"/>
        <w:rPr>
          <w:rFonts w:ascii="Arial" w:cs="Arial" w:eastAsia="Arial" w:hAnsi="Arial"/>
          <w:sz w:val="19"/>
          <w:szCs w:val="19"/>
          <w:color w:val="auto"/>
        </w:rPr>
      </w:pPr>
      <w:r>
        <w:rPr>
          <w:rFonts w:ascii="Arial" w:cs="Arial" w:eastAsia="Arial" w:hAnsi="Arial"/>
          <w:sz w:val="22"/>
          <w:szCs w:val="22"/>
          <w:color w:val="auto"/>
        </w:rPr>
        <w:t>i</w:t>
      </w:r>
      <w:r>
        <w:rPr>
          <w:rFonts w:ascii="Arial" w:cs="Arial" w:eastAsia="Arial" w:hAnsi="Arial"/>
          <w:sz w:val="19"/>
          <w:szCs w:val="19"/>
          <w:color w:val="auto"/>
        </w:rPr>
        <w:t>January 27, 2006</w:t>
      </w:r>
    </w:p>
    <w:p>
      <w:pPr>
        <w:spacing w:after="0" w:line="233" w:lineRule="exact"/>
        <w:rPr>
          <w:rFonts w:ascii="Arial" w:cs="Arial" w:eastAsia="Arial" w:hAnsi="Arial"/>
          <w:sz w:val="19"/>
          <w:szCs w:val="19"/>
          <w:color w:val="auto"/>
        </w:rPr>
      </w:pPr>
    </w:p>
    <w:p>
      <w:pPr>
        <w:ind w:left="2380" w:hanging="760"/>
        <w:spacing w:after="0"/>
        <w:tabs>
          <w:tab w:leader="none" w:pos="23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January 27, 2007</w:t>
      </w:r>
    </w:p>
    <w:p>
      <w:pPr>
        <w:spacing w:after="0" w:line="233" w:lineRule="exact"/>
        <w:rPr>
          <w:rFonts w:ascii="Arial" w:cs="Arial" w:eastAsia="Arial" w:hAnsi="Arial"/>
          <w:sz w:val="22"/>
          <w:szCs w:val="22"/>
          <w:color w:val="auto"/>
        </w:rPr>
      </w:pPr>
    </w:p>
    <w:p>
      <w:pPr>
        <w:ind w:left="2440" w:hanging="820"/>
        <w:spacing w:after="0"/>
        <w:tabs>
          <w:tab w:leader="none" w:pos="244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January 27, 2008</w:t>
      </w:r>
    </w:p>
    <w:p>
      <w:pPr>
        <w:spacing w:after="0" w:line="233" w:lineRule="exact"/>
        <w:rPr>
          <w:rFonts w:ascii="Arial" w:cs="Arial" w:eastAsia="Arial" w:hAnsi="Arial"/>
          <w:sz w:val="22"/>
          <w:szCs w:val="22"/>
          <w:color w:val="auto"/>
        </w:rPr>
      </w:pPr>
    </w:p>
    <w:p>
      <w:pPr>
        <w:ind w:left="2440" w:hanging="820"/>
        <w:spacing w:after="0"/>
        <w:tabs>
          <w:tab w:leader="none" w:pos="244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February 19, 2008</w:t>
      </w:r>
    </w:p>
    <w:p>
      <w:pPr>
        <w:spacing w:after="0" w:line="233" w:lineRule="exact"/>
        <w:rPr>
          <w:sz w:val="20"/>
          <w:szCs w:val="20"/>
          <w:color w:val="auto"/>
        </w:rPr>
      </w:pPr>
    </w:p>
    <w:p>
      <w:pPr>
        <w:ind w:left="2380" w:hanging="760"/>
        <w:spacing w:after="0"/>
        <w:tabs>
          <w:tab w:leader="none" w:pos="23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January 27, 2009</w:t>
      </w:r>
    </w:p>
    <w:p>
      <w:pPr>
        <w:spacing w:after="0" w:line="233"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vi</w:t>
      </w:r>
      <w:r>
        <w:rPr>
          <w:rFonts w:ascii="Arial" w:cs="Arial" w:eastAsia="Arial" w:hAnsi="Arial"/>
          <w:sz w:val="19"/>
          <w:szCs w:val="19"/>
          <w:color w:val="auto"/>
        </w:rPr>
        <w:t>January 26, 2010</w:t>
      </w:r>
    </w:p>
    <w:p>
      <w:pPr>
        <w:spacing w:after="0" w:line="233"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Amounts payable under the DSP shall, subject to any required delay under Section 409A of the Code, be paid at such time(s) as set forth in the applicable plan.</w:t>
      </w:r>
    </w:p>
    <w:p>
      <w:pPr>
        <w:spacing w:after="0" w:line="200" w:lineRule="exact"/>
        <w:rPr>
          <w:sz w:val="20"/>
          <w:szCs w:val="20"/>
          <w:color w:val="auto"/>
        </w:rPr>
      </w:pPr>
    </w:p>
    <w:p>
      <w:pPr>
        <w:ind w:left="1260" w:hanging="612"/>
        <w:spacing w:after="0"/>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indemnification provided in paragraph 10 of the Employment Agreement.</w:t>
      </w:r>
    </w:p>
    <w:p>
      <w:pPr>
        <w:spacing w:after="0" w:line="233" w:lineRule="exact"/>
        <w:rPr>
          <w:sz w:val="20"/>
          <w:szCs w:val="20"/>
          <w:color w:val="auto"/>
        </w:rPr>
      </w:pPr>
    </w:p>
    <w:p>
      <w:pPr>
        <w:jc w:val="both"/>
        <w:ind w:hanging="8"/>
        <w:spacing w:after="0"/>
        <w:rPr>
          <w:sz w:val="20"/>
          <w:szCs w:val="20"/>
          <w:color w:val="auto"/>
        </w:rPr>
      </w:pPr>
      <w:r>
        <w:rPr>
          <w:rFonts w:ascii="Arial" w:cs="Arial" w:eastAsia="Arial" w:hAnsi="Arial"/>
          <w:sz w:val="22"/>
          <w:szCs w:val="22"/>
          <w:color w:val="auto"/>
        </w:rPr>
        <w:t>All payments will be subject to applicable withholdings for federal, state and local income and employment taxes. Executive acknowledges that he shall not be eligible to receive payment with respect to the annual incentive plan for the 2018 plan year.</w:t>
      </w:r>
    </w:p>
    <w:p>
      <w:pPr>
        <w:spacing w:after="0" w:line="207" w:lineRule="exact"/>
        <w:rPr>
          <w:sz w:val="20"/>
          <w:szCs w:val="20"/>
          <w:color w:val="auto"/>
        </w:rPr>
      </w:pPr>
    </w:p>
    <w:p>
      <w:pPr>
        <w:ind w:right="860"/>
        <w:spacing w:after="0" w:line="256" w:lineRule="auto"/>
        <w:rPr>
          <w:sz w:val="20"/>
          <w:szCs w:val="20"/>
          <w:color w:val="auto"/>
        </w:rPr>
      </w:pPr>
      <w:r>
        <w:rPr>
          <w:rFonts w:ascii="Arial" w:cs="Arial" w:eastAsia="Arial" w:hAnsi="Arial"/>
          <w:sz w:val="22"/>
          <w:szCs w:val="22"/>
          <w:b w:val="1"/>
          <w:bCs w:val="1"/>
          <w:color w:val="auto"/>
        </w:rPr>
        <w:t>Executive is entitled to the benefits described above in this Exhibit B whether or not he executes this Separation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EXHIBIT C</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The employment of Executive shall terminate, effective August 11, 2018 (the “Employment Termination Date”) under the terms of this Separation Agreement. In consideration of the premises and promises herein contained, it is agreed that, Executive is entitled to the compensation and benefits set forth below </w:t>
      </w:r>
      <w:r>
        <w:rPr>
          <w:rFonts w:ascii="Arial" w:cs="Arial" w:eastAsia="Arial" w:hAnsi="Arial"/>
          <w:sz w:val="21"/>
          <w:szCs w:val="21"/>
          <w:u w:val="single" w:color="auto"/>
          <w:color w:val="auto"/>
        </w:rPr>
        <w:t>only</w:t>
      </w:r>
      <w:r>
        <w:rPr>
          <w:rFonts w:ascii="Arial" w:cs="Arial" w:eastAsia="Arial" w:hAnsi="Arial"/>
          <w:sz w:val="21"/>
          <w:szCs w:val="21"/>
          <w:color w:val="auto"/>
        </w:rPr>
        <w:t xml:space="preserve"> after he executes and does not revoke this Separation Agreement, and it has become irrevocable.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payments and benefits to be provided are as follows:</w:t>
      </w:r>
    </w:p>
    <w:p>
      <w:pPr>
        <w:spacing w:after="0" w:line="233" w:lineRule="exact"/>
        <w:rPr>
          <w:sz w:val="20"/>
          <w:szCs w:val="20"/>
          <w:color w:val="auto"/>
        </w:rPr>
      </w:pPr>
    </w:p>
    <w:p>
      <w:pPr>
        <w:jc w:val="both"/>
        <w:ind w:left="980" w:hanging="332"/>
        <w:spacing w:after="0" w:line="277" w:lineRule="auto"/>
        <w:tabs>
          <w:tab w:leader="none" w:pos="9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Cash severance equal to $1,925,000 in total, of which (i) $962,500 shall be paid in a lump sum within 10 business days of this Separation Agreement becoming effective and irrevocable (but in no event later than the 60</w:t>
      </w:r>
      <w:r>
        <w:rPr>
          <w:rFonts w:ascii="Arial" w:cs="Arial" w:eastAsia="Arial" w:hAnsi="Arial"/>
          <w:sz w:val="9"/>
          <w:szCs w:val="9"/>
          <w:color w:val="auto"/>
        </w:rPr>
        <w:t>th</w:t>
      </w:r>
      <w:r>
        <w:rPr>
          <w:rFonts w:ascii="Arial" w:cs="Arial" w:eastAsia="Arial" w:hAnsi="Arial"/>
          <w:sz w:val="19"/>
          <w:szCs w:val="19"/>
          <w:color w:val="auto"/>
        </w:rPr>
        <w:t xml:space="preserve"> day following the Employment Termination Date), (ii) $73,839 shall be paid on the 60</w:t>
      </w:r>
      <w:r>
        <w:rPr>
          <w:rFonts w:ascii="Arial" w:cs="Arial" w:eastAsia="Arial" w:hAnsi="Arial"/>
          <w:sz w:val="9"/>
          <w:szCs w:val="9"/>
          <w:color w:val="auto"/>
        </w:rPr>
        <w:t>th</w:t>
      </w:r>
      <w:r>
        <w:rPr>
          <w:rFonts w:ascii="Arial" w:cs="Arial" w:eastAsia="Arial" w:hAnsi="Arial"/>
          <w:sz w:val="19"/>
          <w:szCs w:val="19"/>
          <w:color w:val="auto"/>
        </w:rPr>
        <w:t xml:space="preserve"> day following the Employment Termination Date and (iii) $888,661 shall be paid in substantially equal installments over the period commencing on the first payroll date that occurs after the 60</w:t>
      </w:r>
      <w:r>
        <w:rPr>
          <w:rFonts w:ascii="Arial" w:cs="Arial" w:eastAsia="Arial" w:hAnsi="Arial"/>
          <w:sz w:val="9"/>
          <w:szCs w:val="9"/>
          <w:color w:val="auto"/>
        </w:rPr>
        <w:t>th</w:t>
      </w:r>
      <w:r>
        <w:rPr>
          <w:rFonts w:ascii="Arial" w:cs="Arial" w:eastAsia="Arial" w:hAnsi="Arial"/>
          <w:sz w:val="19"/>
          <w:szCs w:val="19"/>
          <w:color w:val="auto"/>
        </w:rPr>
        <w:t xml:space="preserve"> day following the Employment Termination Date and ending on the two-year anniversary of the Employment Termination Date, in accordance with the Company’s normal payroll practices;</w:t>
      </w:r>
    </w:p>
    <w:p>
      <w:pPr>
        <w:spacing w:after="0" w:line="179" w:lineRule="exact"/>
        <w:rPr>
          <w:rFonts w:ascii="Arial" w:cs="Arial" w:eastAsia="Arial" w:hAnsi="Arial"/>
          <w:sz w:val="19"/>
          <w:szCs w:val="19"/>
          <w:color w:val="auto"/>
        </w:rPr>
      </w:pPr>
    </w:p>
    <w:p>
      <w:pPr>
        <w:jc w:val="both"/>
        <w:ind w:left="980" w:hanging="332"/>
        <w:spacing w:after="0" w:line="258" w:lineRule="auto"/>
        <w:tabs>
          <w:tab w:leader="none" w:pos="9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Subject to the Executive making a timely election under COBRA, for 18 months the Company will pay the portion of the COBRA premium in excess of the Executive’s regular employee premium contribution. Thereafter, he will bear the full cost of any continued COBRA coverage.</w:t>
      </w:r>
    </w:p>
    <w:p>
      <w:pPr>
        <w:spacing w:after="0" w:line="193" w:lineRule="exact"/>
        <w:rPr>
          <w:rFonts w:ascii="Arial" w:cs="Arial" w:eastAsia="Arial" w:hAnsi="Arial"/>
          <w:sz w:val="21"/>
          <w:szCs w:val="21"/>
          <w:color w:val="auto"/>
        </w:rPr>
      </w:pPr>
    </w:p>
    <w:p>
      <w:pPr>
        <w:jc w:val="both"/>
        <w:ind w:left="980" w:hanging="332"/>
        <w:spacing w:after="0"/>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Be entitled to exercise any options that are vested as of the Employment Termination Date through the 90-day anniversary of the Employment Termination Date subject to the other terms and requirements thereof.</w:t>
      </w:r>
    </w:p>
    <w:p>
      <w:pPr>
        <w:spacing w:after="0" w:line="213" w:lineRule="exact"/>
        <w:rPr>
          <w:sz w:val="20"/>
          <w:szCs w:val="20"/>
          <w:color w:val="auto"/>
        </w:rPr>
      </w:pPr>
    </w:p>
    <w:p>
      <w:pPr>
        <w:ind w:left="640" w:right="100"/>
        <w:spacing w:after="0" w:line="251" w:lineRule="auto"/>
        <w:rPr>
          <w:sz w:val="20"/>
          <w:szCs w:val="20"/>
          <w:color w:val="auto"/>
        </w:rPr>
      </w:pPr>
      <w:r>
        <w:rPr>
          <w:rFonts w:ascii="Arial" w:cs="Arial" w:eastAsia="Arial" w:hAnsi="Arial"/>
          <w:sz w:val="22"/>
          <w:szCs w:val="22"/>
          <w:color w:val="auto"/>
        </w:rPr>
        <w:t>All payments will be subject to applicable withholdings for federal, state and local income and employment taxes.</w:t>
      </w:r>
    </w:p>
    <w:p>
      <w:pPr>
        <w:spacing w:after="0" w:line="200" w:lineRule="exact"/>
        <w:rPr>
          <w:sz w:val="20"/>
          <w:szCs w:val="20"/>
          <w:color w:val="auto"/>
        </w:rPr>
      </w:pPr>
    </w:p>
    <w:p>
      <w:pPr>
        <w:ind w:left="640" w:right="500"/>
        <w:spacing w:after="0"/>
        <w:rPr>
          <w:sz w:val="20"/>
          <w:szCs w:val="20"/>
          <w:color w:val="auto"/>
        </w:rPr>
      </w:pPr>
      <w:r>
        <w:rPr>
          <w:rFonts w:ascii="Arial" w:cs="Arial" w:eastAsia="Arial" w:hAnsi="Arial"/>
          <w:sz w:val="22"/>
          <w:szCs w:val="22"/>
          <w:color w:val="auto"/>
        </w:rPr>
        <w:t>Executive acknowledges that he is forfeiting and not receiving a payment in respect of (i) any unvested Performance Share Unit awards and (ii) any options that are unvested and not exercisable as of the Employment Termination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tcPr>
          <w:p>
            <w:pPr>
              <w:ind w:left="2380"/>
              <w:spacing w:after="0"/>
              <w:rPr>
                <w:sz w:val="20"/>
                <w:szCs w:val="20"/>
                <w:color w:val="auto"/>
              </w:rPr>
            </w:pPr>
            <w:r>
              <w:rPr>
                <w:rFonts w:ascii="Arial" w:cs="Arial" w:eastAsia="Arial" w:hAnsi="Arial"/>
                <w:sz w:val="18"/>
                <w:szCs w:val="18"/>
                <w:b w:val="1"/>
                <w:bCs w:val="1"/>
                <w:color w:val="auto"/>
                <w:w w:val="89"/>
              </w:rPr>
              <w:t>Exhibit 21.1</w:t>
            </w:r>
          </w:p>
        </w:tc>
      </w:tr>
      <w:tr>
        <w:trPr>
          <w:trHeight w:val="473"/>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635952 Ontario Inc.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Ontario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8242348 Canada Inc.</w:t>
            </w:r>
          </w:p>
        </w:tc>
        <w:tc>
          <w:tcPr>
            <w:tcW w:w="3300" w:type="dxa"/>
            <w:vAlign w:val="bottom"/>
          </w:tcPr>
          <w:p>
            <w:pPr>
              <w:ind w:left="20"/>
              <w:spacing w:after="0"/>
              <w:rPr>
                <w:sz w:val="20"/>
                <w:szCs w:val="20"/>
                <w:color w:val="auto"/>
              </w:rPr>
            </w:pPr>
            <w:r>
              <w:rPr>
                <w:rFonts w:ascii="Arial" w:cs="Arial" w:eastAsia="Arial" w:hAnsi="Arial"/>
                <w:sz w:val="18"/>
                <w:szCs w:val="18"/>
                <w:color w:val="auto"/>
              </w:rPr>
              <w:t>Federally Chartered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Acaverde S.A. de C.V.</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Advanced Environmental Technical Services,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Akron Regional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Alliance Sanitary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Alpharetta Transfer Station,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American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American Oil Recovery,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Ameriwaste, LLC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Anderson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Antelope Valley Recycling and Disposal Facility,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Arden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Atlantic Waste Disposal,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Automated Salvage Transport Co.,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Avalon South,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Azusa Land Reclamation,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B&amp;B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Big Dipper Enterprises,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Dakota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Bluegrass Containment,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Burnsville Sanitary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 Newco,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 Sierra Disposal</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California Asbestos Monofill,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Waste Services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Capels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Sanitation Company</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Capitol Disposal, Inc.</w:t>
            </w:r>
          </w:p>
        </w:tc>
        <w:tc>
          <w:tcPr>
            <w:tcW w:w="3300" w:type="dxa"/>
            <w:vAlign w:val="bottom"/>
          </w:tcPr>
          <w:p>
            <w:pPr>
              <w:ind w:left="20"/>
              <w:spacing w:after="0"/>
              <w:rPr>
                <w:sz w:val="20"/>
                <w:szCs w:val="20"/>
                <w:color w:val="auto"/>
              </w:rPr>
            </w:pPr>
            <w:r>
              <w:rPr>
                <w:rFonts w:ascii="Arial" w:cs="Arial" w:eastAsia="Arial" w:hAnsi="Arial"/>
                <w:sz w:val="18"/>
                <w:szCs w:val="18"/>
                <w:color w:val="auto"/>
              </w:rPr>
              <w:t>Alaska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Carolina Grading,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Cedar Ridge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Disposal Systems,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Iowa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Chadwick Road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Chambers Clearview Environmental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Chambers Development Company,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Chambers Development of Ohio,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Chambers of Georgia,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Chambers of Mississippi,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Chemical Waste Management of Indiana,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Chemical Waste Management of the Northwest,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Chemical Waste Management,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Chesser Island Road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City Environmental Services, Inc. of Waters</w:t>
            </w:r>
          </w:p>
        </w:tc>
        <w:tc>
          <w:tcPr>
            <w:tcW w:w="33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Cleburne Landfill Company Corp.</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Coast Waste Management,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Coastal Recyclers Landfill,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Connecticut Valley Sanitary Waste Disposal, Inc.</w:t>
            </w:r>
          </w:p>
        </w:tc>
        <w:tc>
          <w:tcPr>
            <w:tcW w:w="330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121" w:right="141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Conservation Services, Inc.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Coshocton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Cougar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Countryside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Illinois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 Group,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Curtis Creek Recovery Systems, Inc.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Cuyahoga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CWM Chemical Services,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Dafter Sanitary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Dauphin Meadows, Inc.</w:t>
            </w:r>
          </w:p>
        </w:tc>
        <w:tc>
          <w:tcPr>
            <w:tcW w:w="330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Deep Valley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Deer Track Park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Deffenbaugh Disposal,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Deffenbaugh Group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Deffenbaugh Industries,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Missouri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Deffenbaugh of Arkansas, LLC</w:t>
            </w:r>
          </w:p>
        </w:tc>
        <w:tc>
          <w:tcPr>
            <w:tcW w:w="3300" w:type="dxa"/>
            <w:vAlign w:val="bottom"/>
          </w:tcPr>
          <w:p>
            <w:pPr>
              <w:ind w:left="20"/>
              <w:spacing w:after="0"/>
              <w:rPr>
                <w:sz w:val="20"/>
                <w:szCs w:val="20"/>
                <w:color w:val="auto"/>
              </w:rPr>
            </w:pPr>
            <w:r>
              <w:rPr>
                <w:rFonts w:ascii="Arial" w:cs="Arial" w:eastAsia="Arial" w:hAnsi="Arial"/>
                <w:sz w:val="18"/>
                <w:szCs w:val="18"/>
                <w:color w:val="auto"/>
              </w:rPr>
              <w:t>Kansas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Deffenbaugh Recycling Company,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Kansas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Del Almo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 Recyclable Products,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DHC Land, LLC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Dickinson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Disposal Service, Incorporated</w:t>
            </w:r>
          </w:p>
        </w:tc>
        <w:tc>
          <w:tcPr>
            <w:tcW w:w="3300" w:type="dxa"/>
            <w:vAlign w:val="bottom"/>
          </w:tcPr>
          <w:p>
            <w:pPr>
              <w:ind w:left="20"/>
              <w:spacing w:after="0"/>
              <w:rPr>
                <w:sz w:val="20"/>
                <w:szCs w:val="20"/>
                <w:color w:val="auto"/>
              </w:rPr>
            </w:pPr>
            <w:r>
              <w:rPr>
                <w:rFonts w:ascii="Arial" w:cs="Arial" w:eastAsia="Arial" w:hAnsi="Arial"/>
                <w:sz w:val="18"/>
                <w:szCs w:val="18"/>
                <w:color w:val="auto"/>
              </w:rPr>
              <w:t>West 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Dolphin Services &amp; Chemicals,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Dolphin-One, LLC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Earthmovers Landfill,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East Liverpool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One Land Corporation</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Eco-Vista, LLC</w:t>
            </w:r>
          </w:p>
        </w:tc>
        <w:tc>
          <w:tcPr>
            <w:tcW w:w="3300" w:type="dxa"/>
            <w:vAlign w:val="bottom"/>
          </w:tcPr>
          <w:p>
            <w:pPr>
              <w:ind w:left="20"/>
              <w:spacing w:after="0"/>
              <w:rPr>
                <w:sz w:val="20"/>
                <w:szCs w:val="20"/>
                <w:color w:val="auto"/>
              </w:rPr>
            </w:pPr>
            <w:r>
              <w:rPr>
                <w:rFonts w:ascii="Arial" w:cs="Arial" w:eastAsia="Arial" w:hAnsi="Arial"/>
                <w:sz w:val="18"/>
                <w:szCs w:val="18"/>
                <w:color w:val="auto"/>
              </w:rPr>
              <w:t>Arkansas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eCycling Services,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ELDA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Elk River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Energy Injection Services of Mississippi, LLC</w:t>
            </w:r>
          </w:p>
        </w:tc>
        <w:tc>
          <w:tcPr>
            <w:tcW w:w="3300" w:type="dxa"/>
            <w:vAlign w:val="bottom"/>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Envirofil of Illinois,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EnviroSolutions Dulles, LLC</w:t>
            </w:r>
          </w:p>
        </w:tc>
        <w:tc>
          <w:tcPr>
            <w:tcW w:w="3300" w:type="dxa"/>
            <w:vAlign w:val="bottom"/>
          </w:tcPr>
          <w:p>
            <w:pPr>
              <w:ind w:left="20"/>
              <w:spacing w:after="0"/>
              <w:rPr>
                <w:sz w:val="20"/>
                <w:szCs w:val="20"/>
                <w:color w:val="auto"/>
              </w:rPr>
            </w:pPr>
            <w:r>
              <w:rPr>
                <w:rFonts w:ascii="Arial" w:cs="Arial" w:eastAsia="Arial" w:hAnsi="Arial"/>
                <w:sz w:val="18"/>
                <w:szCs w:val="18"/>
                <w:color w:val="auto"/>
              </w:rPr>
              <w:t>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EnviroSolutions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EnviroSolutions Real Property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Evergreen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Evergreen Recycling and Disposal Facility,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Finch Waste Co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Firetower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J. Eckert Sanitary Service,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Furnace Associates, Inc.</w:t>
            </w:r>
          </w:p>
        </w:tc>
        <w:tc>
          <w:tcPr>
            <w:tcW w:w="3300" w:type="dxa"/>
            <w:vAlign w:val="bottom"/>
          </w:tcPr>
          <w:p>
            <w:pPr>
              <w:ind w:left="20"/>
              <w:spacing w:after="0"/>
              <w:rPr>
                <w:sz w:val="20"/>
                <w:szCs w:val="20"/>
                <w:color w:val="auto"/>
              </w:rPr>
            </w:pPr>
            <w:r>
              <w:rPr>
                <w:rFonts w:ascii="Arial" w:cs="Arial" w:eastAsia="Arial" w:hAnsi="Arial"/>
                <w:sz w:val="18"/>
                <w:szCs w:val="18"/>
                <w:color w:val="auto"/>
              </w:rPr>
              <w:t>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 Industries</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GA Landfills,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Gallia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Garnet of Maryland, Inc.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Gateway Transfer Station,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Georgia Waste Systems, Inc.</w:t>
            </w:r>
          </w:p>
        </w:tc>
        <w:tc>
          <w:tcPr>
            <w:tcW w:w="33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Giordano Recycling, L.L.C.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Glades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Glen's Sanitary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Grand Central Sanitary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Greenbow,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Greenleaf Compaction, Inc.</w:t>
            </w:r>
          </w:p>
        </w:tc>
        <w:tc>
          <w:tcPr>
            <w:tcW w:w="33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Allentown,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Greenstar Georgia,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Managed Services - Connecticut,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Greenstar Managed Services - RLWM, LLC</w:t>
            </w:r>
          </w:p>
        </w:tc>
        <w:tc>
          <w:tcPr>
            <w:tcW w:w="3300" w:type="dxa"/>
            <w:vAlign w:val="bottom"/>
          </w:tcPr>
          <w:p>
            <w:pPr>
              <w:ind w:left="20"/>
              <w:spacing w:after="0"/>
              <w:rPr>
                <w:sz w:val="20"/>
                <w:szCs w:val="20"/>
                <w:color w:val="auto"/>
              </w:rPr>
            </w:pPr>
            <w:r>
              <w:rPr>
                <w:rFonts w:ascii="Arial" w:cs="Arial" w:eastAsia="Arial" w:hAnsi="Arial"/>
                <w:sz w:val="18"/>
                <w:szCs w:val="18"/>
                <w:color w:val="auto"/>
              </w:rPr>
              <w:t>Illinois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Mid-America,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Greenstar New Jersey,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Ohio,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Greenstar Paterson,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Pittsburgh,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Greenstar Recycled Holdings,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Greenstar,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Guadalupe Mines Mutual Water Company</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Guadalupe Rubbish Disposal Co.,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Ham Lake Haulers, Inc.</w:t>
            </w:r>
          </w:p>
        </w:tc>
        <w:tc>
          <w:tcPr>
            <w:tcW w:w="330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Harris Sanitation,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Harwood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Hedco Landfill Limited</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England</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High Mountain Fuels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Hillsboro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Holyoke Sanitary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Landfills,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International Environmental Management, Inc.</w:t>
            </w:r>
          </w:p>
        </w:tc>
        <w:tc>
          <w:tcPr>
            <w:tcW w:w="33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Jahner Sanitation,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Dakota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Jay County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 and W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Keene Road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Kelly Run Sanitation,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King George Landfill Properties, LLC</w:t>
            </w:r>
          </w:p>
        </w:tc>
        <w:tc>
          <w:tcPr>
            <w:tcW w:w="3300" w:type="dxa"/>
            <w:vAlign w:val="bottom"/>
          </w:tcPr>
          <w:p>
            <w:pPr>
              <w:ind w:left="20"/>
              <w:spacing w:after="0"/>
              <w:rPr>
                <w:sz w:val="20"/>
                <w:szCs w:val="20"/>
                <w:color w:val="auto"/>
              </w:rPr>
            </w:pPr>
            <w:r>
              <w:rPr>
                <w:rFonts w:ascii="Arial" w:cs="Arial" w:eastAsia="Arial" w:hAnsi="Arial"/>
                <w:sz w:val="18"/>
                <w:szCs w:val="18"/>
                <w:color w:val="auto"/>
              </w:rPr>
              <w:t>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King George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Kirby Canyon Holdings, LLC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L&amp;K Group Holdings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Kansas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Lakeville Recycling, L.P.</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South Holdings,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Landfill Services of Charleston, Inc.</w:t>
            </w:r>
          </w:p>
        </w:tc>
        <w:tc>
          <w:tcPr>
            <w:tcW w:w="3300" w:type="dxa"/>
            <w:vAlign w:val="bottom"/>
          </w:tcPr>
          <w:p>
            <w:pPr>
              <w:ind w:left="20"/>
              <w:spacing w:after="0"/>
              <w:rPr>
                <w:sz w:val="20"/>
                <w:szCs w:val="20"/>
                <w:color w:val="auto"/>
              </w:rPr>
            </w:pPr>
            <w:r>
              <w:rPr>
                <w:rFonts w:ascii="Arial" w:cs="Arial" w:eastAsia="Arial" w:hAnsi="Arial"/>
                <w:sz w:val="18"/>
                <w:szCs w:val="18"/>
                <w:color w:val="auto"/>
              </w:rPr>
              <w:t>West 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Laurel Highlands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LCS Services, Inc.</w:t>
            </w:r>
          </w:p>
        </w:tc>
        <w:tc>
          <w:tcPr>
            <w:tcW w:w="3300" w:type="dxa"/>
            <w:vAlign w:val="bottom"/>
          </w:tcPr>
          <w:p>
            <w:pPr>
              <w:ind w:left="20"/>
              <w:spacing w:after="0"/>
              <w:rPr>
                <w:sz w:val="20"/>
                <w:szCs w:val="20"/>
                <w:color w:val="auto"/>
              </w:rPr>
            </w:pPr>
            <w:r>
              <w:rPr>
                <w:rFonts w:ascii="Arial" w:cs="Arial" w:eastAsia="Arial" w:hAnsi="Arial"/>
                <w:sz w:val="18"/>
                <w:szCs w:val="18"/>
                <w:color w:val="auto"/>
              </w:rPr>
              <w:t>West 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Landfill,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Liquid Waste Management,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Longleaf C&amp;D Disposal Facility,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Looney Bins,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 Land Disposal, Inc. II</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Mahoning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Mass Gravel Inc.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Mc Ginnes Industrial Maintenance Corporation</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McDaniel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Dakota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McGill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Meadowfill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Michigan Environs, Inc.</w:t>
            </w:r>
          </w:p>
        </w:tc>
        <w:tc>
          <w:tcPr>
            <w:tcW w:w="33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Midwest One Land Corporation</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Modesto Garbage Co.,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Moor Refuse,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Mountain Indemnity Insurance Company</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Mountainview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Mountainview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Utah</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Nassau Landfill,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National Guaranty Insurance Company of Vermont</w:t>
            </w:r>
          </w:p>
        </w:tc>
        <w:tc>
          <w:tcPr>
            <w:tcW w:w="3300" w:type="dxa"/>
            <w:vAlign w:val="bottom"/>
          </w:tcPr>
          <w:p>
            <w:pPr>
              <w:ind w:left="20"/>
              <w:spacing w:after="0"/>
              <w:rPr>
                <w:sz w:val="20"/>
                <w:szCs w:val="20"/>
                <w:color w:val="auto"/>
              </w:rPr>
            </w:pPr>
            <w:r>
              <w:rPr>
                <w:rFonts w:ascii="Arial" w:cs="Arial" w:eastAsia="Arial" w:hAnsi="Arial"/>
                <w:sz w:val="18"/>
                <w:szCs w:val="18"/>
                <w:color w:val="auto"/>
              </w:rPr>
              <w:t>Vermont</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England CR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New Milford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Orleans Landfill,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North Manatee Recycling and Disposal Facility, L.L.C.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Northwestern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Nu-Way Live Oak Reclamation,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 Grove Disposal Co.,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Oakleaf Global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Oakleaf Waste Management,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Oakleaf Waste Management, LLC</w:t>
            </w:r>
          </w:p>
        </w:tc>
        <w:tc>
          <w:tcPr>
            <w:tcW w:w="330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Oakridge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Oakwood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OGH Acquisition Corporation</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Okeechobee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Ozark Ridge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Arkansas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 &amp; R Environmental Industries, L.L.C.</w:t>
            </w:r>
          </w:p>
        </w:tc>
        <w:tc>
          <w:tcPr>
            <w:tcW w:w="330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Pacific Waste Management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Pappy, Inc.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Peltz H.C.,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Wisconsin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Pen-Rob, Inc.</w:t>
            </w:r>
          </w:p>
        </w:tc>
        <w:tc>
          <w:tcPr>
            <w:tcW w:w="33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People's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Peterson Demolition, Inc.</w:t>
            </w:r>
          </w:p>
        </w:tc>
        <w:tc>
          <w:tcPr>
            <w:tcW w:w="330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Resources,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Pine Grove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Pine Tree Acres,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Prime Westport, LLC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Quail Hollow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Questquill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 &amp; B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RAA Colorado, L.L.C.</w:t>
            </w:r>
          </w:p>
        </w:tc>
        <w:tc>
          <w:tcPr>
            <w:tcW w:w="330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RAA Trucking,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Wisconsin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RCI Hudson, Inc.</w:t>
            </w:r>
          </w:p>
        </w:tc>
        <w:tc>
          <w:tcPr>
            <w:tcW w:w="330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Recycle America Co.,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Recycle America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Redwood Landfill, Inc.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Refuse Services, Inc.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Refuse,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Reliable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Remote Landfill Services,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Tennessee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Reno Disposal Co.</w:t>
            </w:r>
          </w:p>
        </w:tc>
        <w:tc>
          <w:tcPr>
            <w:tcW w:w="33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Resco Holdings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Resource Control Composting, Inc.</w:t>
            </w:r>
          </w:p>
        </w:tc>
        <w:tc>
          <w:tcPr>
            <w:tcW w:w="330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Control,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Richland County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Riverbend Landfill Co.</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RTS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Rust Engineering &amp; Construction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Rust International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&amp; J Landfill Limited Partnership</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 &amp; S Grading, Inc.</w:t>
            </w:r>
          </w:p>
        </w:tc>
        <w:tc>
          <w:tcPr>
            <w:tcW w:w="3300" w:type="dxa"/>
            <w:vAlign w:val="bottom"/>
          </w:tcPr>
          <w:p>
            <w:pPr>
              <w:ind w:left="20"/>
              <w:spacing w:after="0"/>
              <w:rPr>
                <w:sz w:val="20"/>
                <w:szCs w:val="20"/>
                <w:color w:val="auto"/>
              </w:rPr>
            </w:pPr>
            <w:r>
              <w:rPr>
                <w:rFonts w:ascii="Arial" w:cs="Arial" w:eastAsia="Arial" w:hAnsi="Arial"/>
                <w:sz w:val="18"/>
                <w:szCs w:val="18"/>
                <w:color w:val="auto"/>
              </w:rPr>
              <w:t>West Virginia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S&amp;T Materials,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Sanifill de Mexico (US),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Sanifill de Mexico, S.A. de C.V.</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SC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SF Land Acquisition,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Shade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Shawnee Rock Company</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Missouri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Sierra Estrella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Alleghenies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Southern One Land Corporation</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Southern Waste Services,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Spruce Ridge, Inc.</w:t>
            </w:r>
          </w:p>
        </w:tc>
        <w:tc>
          <w:tcPr>
            <w:tcW w:w="330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Stony Hollow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Suburban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Swire Waste Management Limited</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Texarkana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 Austin #1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Texas Pack Rat - Dallas #1 LLC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 Houston #1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Texas Pack Rat - Houston #2 LLC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 Houston #3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Texas Pack Rat - San Antonio #1 LLC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Texas Pack Rat Service Company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The Peltz Group, LLC</w:t>
            </w:r>
          </w:p>
        </w:tc>
        <w:tc>
          <w:tcPr>
            <w:tcW w:w="330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Waste Management Charitable Foundation</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The Woodlands of Van Buren,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 Remediation Solutions,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TN'T Sands, Inc.</w:t>
            </w:r>
          </w:p>
        </w:tc>
        <w:tc>
          <w:tcPr>
            <w:tcW w:w="330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Trail Ridge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Transamerican Waste Central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Trash Hunters,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Twin Bridges Golf Club, L.P.</w:t>
            </w:r>
          </w:p>
        </w:tc>
        <w:tc>
          <w:tcPr>
            <w:tcW w:w="33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TX Newco, L.L.C.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United Waste Systems Leasing, Inc.</w:t>
            </w:r>
          </w:p>
        </w:tc>
        <w:tc>
          <w:tcPr>
            <w:tcW w:w="33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South Hills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USA Valley Facility,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 Geneva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USA Waste Landfill Operations and Transfer, Inc.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 of California,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USA Waste of Texas Landfills,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 of Virginia Landfills,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USA Waste Services of NYC,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Waste-Management Resources,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USA-Crinc,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USB LIHTC Fund 2010-1,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UWS Barre, Inc.</w:t>
            </w:r>
          </w:p>
        </w:tc>
        <w:tc>
          <w:tcPr>
            <w:tcW w:w="330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Valley Garbage and Rubbish Company,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Vern's Refuse Service, Inc.</w:t>
            </w:r>
          </w:p>
        </w:tc>
        <w:tc>
          <w:tcPr>
            <w:tcW w:w="3300" w:type="dxa"/>
            <w:vAlign w:val="bottom"/>
          </w:tcPr>
          <w:p>
            <w:pPr>
              <w:ind w:left="20"/>
              <w:spacing w:after="0"/>
              <w:rPr>
                <w:sz w:val="20"/>
                <w:szCs w:val="20"/>
                <w:color w:val="auto"/>
              </w:rPr>
            </w:pPr>
            <w:r>
              <w:rPr>
                <w:rFonts w:ascii="Arial" w:cs="Arial" w:eastAsia="Arial" w:hAnsi="Arial"/>
                <w:sz w:val="18"/>
                <w:szCs w:val="18"/>
                <w:color w:val="auto"/>
              </w:rPr>
              <w:t>North Dakota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Vickery Environmental,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Vista Landfill, LLC</w:t>
            </w:r>
          </w:p>
        </w:tc>
        <w:tc>
          <w:tcPr>
            <w:tcW w:w="33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Voyageur Disposal Processing,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Warner Company</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Away Group,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Arizona Landfills,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Buckeye,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China Holdings,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Collection and Recycling,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Colorado, Inc.</w:t>
            </w:r>
          </w:p>
        </w:tc>
        <w:tc>
          <w:tcPr>
            <w:tcW w:w="330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Maine,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Maryland, Inc.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Massachusetts,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Oregon,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Disposal Services of Pennsylvania,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Disposal Services of Virginia,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Energy Services of Texas,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Inc. of Florida</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Indycoke,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International,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National Services,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National Transportation Services,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Alameda County,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Alaska,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Arizona,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Arkansas,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California, Inc.</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Canada Corporation</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 Scotia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Carolinas, Inc.</w:t>
            </w:r>
          </w:p>
        </w:tc>
        <w:tc>
          <w:tcPr>
            <w:tcW w:w="330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Colorado,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Connecticut,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Waste Management of Delaware, Inc.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Fairless,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Five Oaks Recycling and Disposal Facility,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Georgia, Inc.</w:t>
            </w:r>
          </w:p>
        </w:tc>
        <w:tc>
          <w:tcPr>
            <w:tcW w:w="33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Hawaii,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Idaho, Inc.</w:t>
            </w:r>
          </w:p>
        </w:tc>
        <w:tc>
          <w:tcPr>
            <w:tcW w:w="3300" w:type="dxa"/>
            <w:vAlign w:val="bottom"/>
          </w:tcPr>
          <w:p>
            <w:pPr>
              <w:ind w:left="20"/>
              <w:spacing w:after="0"/>
              <w:rPr>
                <w:sz w:val="20"/>
                <w:szCs w:val="20"/>
                <w:color w:val="auto"/>
              </w:rPr>
            </w:pPr>
            <w:r>
              <w:rPr>
                <w:rFonts w:ascii="Arial" w:cs="Arial" w:eastAsia="Arial" w:hAnsi="Arial"/>
                <w:sz w:val="18"/>
                <w:szCs w:val="18"/>
                <w:color w:val="auto"/>
              </w:rPr>
              <w:t>Idaho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Illinois,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Indiana Holdings One,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Indiana Holdings Two,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Indiana,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Iowa,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Iowa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Kansas, Inc.</w:t>
            </w:r>
          </w:p>
        </w:tc>
        <w:tc>
          <w:tcPr>
            <w:tcW w:w="3300" w:type="dxa"/>
            <w:vAlign w:val="bottom"/>
          </w:tcPr>
          <w:p>
            <w:pPr>
              <w:ind w:left="20"/>
              <w:spacing w:after="0"/>
              <w:rPr>
                <w:sz w:val="20"/>
                <w:szCs w:val="20"/>
                <w:color w:val="auto"/>
              </w:rPr>
            </w:pPr>
            <w:r>
              <w:rPr>
                <w:rFonts w:ascii="Arial" w:cs="Arial" w:eastAsia="Arial" w:hAnsi="Arial"/>
                <w:sz w:val="18"/>
                <w:szCs w:val="18"/>
                <w:color w:val="auto"/>
              </w:rPr>
              <w:t>Kansas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Kentucky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Kentucky,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Leon County,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Londonderry,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Louisiana Holdings One,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Louisiana,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Maine,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Maryland, Inc.</w:t>
            </w:r>
          </w:p>
        </w:tc>
        <w:tc>
          <w:tcPr>
            <w:tcW w:w="33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Massachusetts,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Metro Atlanta, Inc.</w:t>
            </w:r>
          </w:p>
        </w:tc>
        <w:tc>
          <w:tcPr>
            <w:tcW w:w="33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Michigan,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Minnesota, Inc.</w:t>
            </w:r>
          </w:p>
        </w:tc>
        <w:tc>
          <w:tcPr>
            <w:tcW w:w="330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Mississippi,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Missouri,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Montana,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Nebraska,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Nevada,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New Hampshire, Inc.</w:t>
            </w:r>
          </w:p>
        </w:tc>
        <w:tc>
          <w:tcPr>
            <w:tcW w:w="330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New Jersey,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New Mexico, Inc.</w:t>
            </w:r>
          </w:p>
        </w:tc>
        <w:tc>
          <w:tcPr>
            <w:tcW w:w="3300" w:type="dxa"/>
            <w:vAlign w:val="bottom"/>
          </w:tcPr>
          <w:p>
            <w:pPr>
              <w:ind w:left="20"/>
              <w:spacing w:after="0"/>
              <w:rPr>
                <w:sz w:val="20"/>
                <w:szCs w:val="20"/>
                <w:color w:val="auto"/>
              </w:rPr>
            </w:pPr>
            <w:r>
              <w:rPr>
                <w:rFonts w:ascii="Arial" w:cs="Arial" w:eastAsia="Arial" w:hAnsi="Arial"/>
                <w:sz w:val="18"/>
                <w:szCs w:val="18"/>
                <w:color w:val="auto"/>
              </w:rPr>
              <w:t>New Mexico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New York,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North Dakota,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Ohio,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Oklahoma, Inc.</w:t>
            </w:r>
          </w:p>
        </w:tc>
        <w:tc>
          <w:tcPr>
            <w:tcW w:w="330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Oregon,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Pennsylvania Gas Recovery,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Pennsylvania,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Rhode Island,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South Carolina,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South Dakota, Inc.</w:t>
            </w:r>
          </w:p>
        </w:tc>
        <w:tc>
          <w:tcPr>
            <w:tcW w:w="3300" w:type="dxa"/>
            <w:vAlign w:val="bottom"/>
          </w:tcPr>
          <w:p>
            <w:pPr>
              <w:ind w:left="20"/>
              <w:spacing w:after="0"/>
              <w:rPr>
                <w:sz w:val="20"/>
                <w:szCs w:val="20"/>
                <w:color w:val="auto"/>
              </w:rPr>
            </w:pPr>
            <w:r>
              <w:rPr>
                <w:rFonts w:ascii="Arial" w:cs="Arial" w:eastAsia="Arial" w:hAnsi="Arial"/>
                <w:sz w:val="18"/>
                <w:szCs w:val="18"/>
                <w:color w:val="auto"/>
              </w:rPr>
              <w:t>South Dakota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Texas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Texas, Inc.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Tunica Landfill,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Utah, Inc.</w:t>
            </w:r>
          </w:p>
        </w:tc>
        <w:tc>
          <w:tcPr>
            <w:tcW w:w="3300" w:type="dxa"/>
            <w:vAlign w:val="bottom"/>
          </w:tcPr>
          <w:p>
            <w:pPr>
              <w:ind w:left="20"/>
              <w:spacing w:after="0"/>
              <w:rPr>
                <w:sz w:val="20"/>
                <w:szCs w:val="20"/>
                <w:color w:val="auto"/>
              </w:rPr>
            </w:pPr>
            <w:r>
              <w:rPr>
                <w:rFonts w:ascii="Arial" w:cs="Arial" w:eastAsia="Arial" w:hAnsi="Arial"/>
                <w:sz w:val="18"/>
                <w:szCs w:val="18"/>
                <w:color w:val="auto"/>
              </w:rPr>
              <w:t>Utah</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Virginia,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Washington,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Waste Management of West Virginia, Inc.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of Wisconsin, Inc.</w:t>
            </w:r>
          </w:p>
        </w:tc>
        <w:tc>
          <w:tcPr>
            <w:tcW w:w="330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of Wyoming,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Partners,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Recycling and Disposal Services of California,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Recycling of New Jersey,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Management Service Center,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Waste Management, Inc. of Tennessee</w:t>
            </w:r>
          </w:p>
        </w:tc>
        <w:tc>
          <w:tcPr>
            <w:tcW w:w="330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One Land Corporation</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Western Waste Industries</w:t>
            </w:r>
          </w:p>
        </w:tc>
        <w:tc>
          <w:tcPr>
            <w:tcW w:w="33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Waste of Texas,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Westminster Land Acquisition, LLC</w:t>
            </w:r>
          </w:p>
        </w:tc>
        <w:tc>
          <w:tcPr>
            <w:tcW w:w="330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Wheelabrator Technologies International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White Lake Landfill, Inc.</w:t>
            </w:r>
          </w:p>
        </w:tc>
        <w:tc>
          <w:tcPr>
            <w:tcW w:w="33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Willow Oak Landfill,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Avon,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Bagco,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Billerica,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Biloxi Hauling,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Biloxi Transfer Station,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Boston CORE,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CCP Solutions,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Conversion Fund,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Corporate Services,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Curbside,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DC 1,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Emergency Employee Support Fund,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Energy Resources,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Energy Services Holdings,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Energy Services of Ohio, LLC</w:t>
            </w:r>
          </w:p>
        </w:tc>
        <w:tc>
          <w:tcPr>
            <w:tcW w:w="33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Energy Solutions,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Green Squad,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GreenOps,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GTL JV Holdings,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GTL,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GTL,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Healthcare Solutions,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Illinois Renewable Energy,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Intellectual Property Holdings,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International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KS Energy Resources,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LampTracker,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Landfills of Ohio,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Landfills of Tennessee,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Leasing of Arizona,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Leasing of Texas, L.P.</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Leasing Services of Texas,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LNG,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WM Logistics India Private Limited</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Logistics,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Mercury Waste,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Middle Tennessee Environmental Center,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Mobile Bay Environmental Center,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ND Energy Resources II,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ND Energy Resources,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Nevada Renewable Energy,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North Broward,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of North Dakota Energy Disposal Solutions, LLC</w:t>
            </w:r>
          </w:p>
        </w:tc>
        <w:tc>
          <w:tcPr>
            <w:tcW w:w="3300" w:type="dxa"/>
            <w:vAlign w:val="bottom"/>
          </w:tcPr>
          <w:p>
            <w:pPr>
              <w:ind w:left="20"/>
              <w:spacing w:after="0"/>
              <w:rPr>
                <w:sz w:val="20"/>
                <w:szCs w:val="20"/>
                <w:color w:val="auto"/>
              </w:rPr>
            </w:pPr>
            <w:r>
              <w:rPr>
                <w:rFonts w:ascii="Arial" w:cs="Arial" w:eastAsia="Arial" w:hAnsi="Arial"/>
                <w:sz w:val="18"/>
                <w:szCs w:val="18"/>
                <w:color w:val="auto"/>
              </w:rPr>
              <w:t>North Dakota</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Organic Growth,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PA Holdings,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California,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Pack-Rat of Illinois,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Kentucky,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Pack-Rat of Maryland,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Massachusetts,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Pack-Rat of Michigan,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Nevada,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Pack-Rat of Ohio,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Pack-Rat of Rhode Island,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Pack-Rat,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Partnership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Phoenix Energy Resources,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PRG,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Propane,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Quebec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Federally Chartered</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RA Canada Inc.</w:t>
            </w:r>
          </w:p>
        </w:tc>
        <w:tc>
          <w:tcPr>
            <w:tcW w:w="3300" w:type="dxa"/>
            <w:vAlign w:val="bottom"/>
          </w:tcPr>
          <w:p>
            <w:pPr>
              <w:ind w:left="20"/>
              <w:spacing w:after="0"/>
              <w:rPr>
                <w:sz w:val="20"/>
                <w:szCs w:val="20"/>
                <w:color w:val="auto"/>
              </w:rPr>
            </w:pPr>
            <w:r>
              <w:rPr>
                <w:rFonts w:ascii="Arial" w:cs="Arial" w:eastAsia="Arial" w:hAnsi="Arial"/>
                <w:sz w:val="18"/>
                <w:szCs w:val="18"/>
                <w:color w:val="auto"/>
              </w:rPr>
              <w:t>Ontario</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Recycle America,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Recycle Europe,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Recycling Latin America,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Refined Coal,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Renewable Energy,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Resource Recovery &amp; Recycling Center,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Resources,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Safety Services,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Security Services,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Storage II,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Storage,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Texas Pack Rat,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Trash Monitor Plus,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TX Energy Resources II,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TX Energy Resources,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WY Energy Resources II,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WY Energy Resources III,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 WY Energy Resources,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WMI Mexico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WMNA Container Recycling,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6"/>
        </w:trPr>
        <w:tc>
          <w:tcPr>
            <w:tcW w:w="5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229" w:right="141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Entity Name</w:t>
            </w:r>
          </w:p>
        </w:tc>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WMRE of Kentucky, LLC</w:t>
            </w:r>
          </w:p>
        </w:tc>
        <w:tc>
          <w:tcPr>
            <w:tcW w:w="2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WMRE of Michigan, LLC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WMRE of Ohio, LLC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WMRE of Ohio-American, LLC</w:t>
            </w:r>
          </w:p>
        </w:tc>
        <w:tc>
          <w:tcPr>
            <w:tcW w:w="33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WMSALSA,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WTI Air Pollution Control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WTI Rust Holdings Inc.</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453"/>
        </w:trPr>
        <w:tc>
          <w:tcPr>
            <w:tcW w:w="5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229" w:right="14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20" w:firstLine="3"/>
        <w:spacing w:after="0" w:line="277" w:lineRule="auto"/>
        <w:tabs>
          <w:tab w:leader="none" w:pos="4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Registration Statement (Form S-8 No. 333-204319) of Waste Management, Inc. pertaining to the issuance of shares of common stock pursuant to the Waste Management, Inc. Employee Stock Purchase Plan,</w:t>
      </w:r>
    </w:p>
    <w:p>
      <w:pPr>
        <w:spacing w:after="0" w:line="170" w:lineRule="exact"/>
        <w:rPr>
          <w:rFonts w:ascii="Arial" w:cs="Arial" w:eastAsia="Arial" w:hAnsi="Arial"/>
          <w:sz w:val="18"/>
          <w:szCs w:val="18"/>
          <w:color w:val="auto"/>
        </w:rPr>
      </w:pPr>
    </w:p>
    <w:p>
      <w:pPr>
        <w:ind w:left="220" w:firstLine="3"/>
        <w:spacing w:after="0" w:line="277" w:lineRule="auto"/>
        <w:tabs>
          <w:tab w:leader="none" w:pos="4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170" w:lineRule="exact"/>
        <w:rPr>
          <w:rFonts w:ascii="Arial" w:cs="Arial" w:eastAsia="Arial" w:hAnsi="Arial"/>
          <w:sz w:val="18"/>
          <w:szCs w:val="18"/>
          <w:color w:val="auto"/>
        </w:rPr>
      </w:pPr>
    </w:p>
    <w:p>
      <w:pPr>
        <w:jc w:val="both"/>
        <w:ind w:left="220" w:firstLine="3"/>
        <w:spacing w:after="0" w:line="264" w:lineRule="auto"/>
        <w:tabs>
          <w:tab w:leader="none" w:pos="5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Registration Statement (Form S-8 No. 333-184156 and Post-Effective Amendment No. 1 thereto) of Waste Management, Inc. pertaining to the issuance of shares of common stock pursuant to the Waste Management Retirement Savings Plan,</w:t>
      </w:r>
    </w:p>
    <w:p>
      <w:pPr>
        <w:spacing w:after="0" w:line="181" w:lineRule="exact"/>
        <w:rPr>
          <w:rFonts w:ascii="Arial" w:cs="Arial" w:eastAsia="Arial" w:hAnsi="Arial"/>
          <w:sz w:val="18"/>
          <w:szCs w:val="18"/>
          <w:color w:val="auto"/>
        </w:rPr>
      </w:pPr>
    </w:p>
    <w:p>
      <w:pPr>
        <w:ind w:left="220" w:firstLine="3"/>
        <w:spacing w:after="0" w:line="277" w:lineRule="auto"/>
        <w:tabs>
          <w:tab w:leader="none" w:pos="5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 and</w:t>
      </w:r>
    </w:p>
    <w:p>
      <w:pPr>
        <w:spacing w:after="0" w:line="170" w:lineRule="exact"/>
        <w:rPr>
          <w:rFonts w:ascii="Arial" w:cs="Arial" w:eastAsia="Arial" w:hAnsi="Arial"/>
          <w:sz w:val="18"/>
          <w:szCs w:val="18"/>
          <w:color w:val="auto"/>
        </w:rPr>
      </w:pPr>
    </w:p>
    <w:p>
      <w:pPr>
        <w:ind w:left="220" w:firstLine="3"/>
        <w:spacing w:after="0" w:line="308" w:lineRule="auto"/>
        <w:tabs>
          <w:tab w:leader="none" w:pos="53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Registration Statement (Form S-8 No. 333-159476 and Post-Effective Amendment No. 1 thereto) of Waste Management, Inc. pertaining to the issuance of shares of common stock pursuant to the 2009 Stock Incentive Plan,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14, 2019, with respect to the consolidated financial statements of Waste Management, Inc. and the effectiveness of internal control over financial reporting of Waste Management, Inc. included in this Annual Report (Form 10-K) of Waste Management, Inc. for the year ended December 31, 2018.</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680" w:hanging="236"/>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firstLine="444"/>
        <w:spacing w:after="0" w:line="264" w:lineRule="auto"/>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444"/>
        <w:spacing w:after="0" w:line="286" w:lineRule="auto"/>
        <w:tabs>
          <w:tab w:leader="none" w:pos="66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rFonts w:ascii="Arial" w:cs="Arial" w:eastAsia="Arial" w:hAnsi="Arial"/>
          <w:sz w:val="17"/>
          <w:szCs w:val="17"/>
          <w:color w:val="auto"/>
        </w:rPr>
      </w:pPr>
    </w:p>
    <w:p>
      <w:pPr>
        <w:jc w:val="both"/>
        <w:ind w:left="440" w:firstLine="444"/>
        <w:spacing w:after="0" w:line="259" w:lineRule="auto"/>
        <w:tabs>
          <w:tab w:leader="none" w:pos="117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40" w:firstLine="444"/>
        <w:spacing w:after="0" w:line="259" w:lineRule="auto"/>
        <w:tabs>
          <w:tab w:leader="none" w:pos="122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40" w:firstLine="444"/>
        <w:spacing w:after="0" w:line="264" w:lineRule="auto"/>
        <w:tabs>
          <w:tab w:leader="none" w:pos="115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440" w:firstLine="444"/>
        <w:spacing w:after="0" w:line="259" w:lineRule="auto"/>
        <w:tabs>
          <w:tab w:leader="none" w:pos="117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444"/>
        <w:spacing w:after="0" w:line="264" w:lineRule="auto"/>
        <w:tabs>
          <w:tab w:leader="none" w:pos="69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440" w:firstLine="444"/>
        <w:spacing w:after="0" w:line="264" w:lineRule="auto"/>
        <w:tabs>
          <w:tab w:leader="none" w:pos="119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440" w:firstLine="444"/>
        <w:spacing w:after="0" w:line="277" w:lineRule="auto"/>
        <w:tabs>
          <w:tab w:leader="none" w:pos="112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JAMES C. FISH, JR.</w:t>
            </w:r>
          </w:p>
        </w:tc>
      </w:tr>
      <w:tr>
        <w:trPr>
          <w:trHeight w:val="195"/>
        </w:trPr>
        <w:tc>
          <w:tcPr>
            <w:tcW w:w="3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5" w:right="14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680" w:hanging="236"/>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firstLine="444"/>
        <w:spacing w:after="0" w:line="264"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444"/>
        <w:spacing w:after="0" w:line="286" w:lineRule="auto"/>
        <w:tabs>
          <w:tab w:leader="none" w:pos="66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rFonts w:ascii="Arial" w:cs="Arial" w:eastAsia="Arial" w:hAnsi="Arial"/>
          <w:sz w:val="17"/>
          <w:szCs w:val="17"/>
          <w:color w:val="auto"/>
        </w:rPr>
      </w:pPr>
    </w:p>
    <w:p>
      <w:pPr>
        <w:jc w:val="both"/>
        <w:ind w:left="440" w:firstLine="444"/>
        <w:spacing w:after="0" w:line="259" w:lineRule="auto"/>
        <w:tabs>
          <w:tab w:leader="none" w:pos="117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40" w:firstLine="444"/>
        <w:spacing w:after="0" w:line="259" w:lineRule="auto"/>
        <w:tabs>
          <w:tab w:leader="none" w:pos="122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40" w:firstLine="444"/>
        <w:spacing w:after="0" w:line="264" w:lineRule="auto"/>
        <w:tabs>
          <w:tab w:leader="none" w:pos="115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440" w:firstLine="444"/>
        <w:spacing w:after="0" w:line="259" w:lineRule="auto"/>
        <w:tabs>
          <w:tab w:leader="none" w:pos="117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444"/>
        <w:spacing w:after="0" w:line="264" w:lineRule="auto"/>
        <w:tabs>
          <w:tab w:leader="none" w:pos="69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440" w:firstLine="444"/>
        <w:spacing w:after="0" w:line="264" w:lineRule="auto"/>
        <w:tabs>
          <w:tab w:leader="none" w:pos="119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440" w:firstLine="444"/>
        <w:spacing w:after="0" w:line="277" w:lineRule="auto"/>
        <w:tabs>
          <w:tab w:leader="none" w:pos="112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400" w:type="dxa"/>
            <w:vAlign w:val="bottom"/>
          </w:tcPr>
          <w:p>
            <w:pPr>
              <w:spacing w:after="0"/>
              <w:rPr>
                <w:sz w:val="16"/>
                <w:szCs w:val="16"/>
                <w:color w:val="auto"/>
              </w:rPr>
            </w:pPr>
          </w:p>
        </w:tc>
        <w:tc>
          <w:tcPr>
            <w:tcW w:w="41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4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30"/>
        </w:trPr>
        <w:tc>
          <w:tcPr>
            <w:tcW w:w="4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2018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440" w:firstLine="444"/>
        <w:spacing w:after="0" w:line="277"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40" w:firstLine="444"/>
        <w:spacing w:after="0" w:line="277" w:lineRule="auto"/>
        <w:tabs>
          <w:tab w:leader="none" w:pos="11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5" w:right="14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2018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440" w:firstLine="444"/>
        <w:spacing w:after="0" w:line="277" w:lineRule="auto"/>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40" w:firstLine="444"/>
        <w:spacing w:after="0" w:line="277" w:lineRule="auto"/>
        <w:tabs>
          <w:tab w:leader="none" w:pos="11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200" w:type="dxa"/>
            <w:vAlign w:val="bottom"/>
          </w:tcPr>
          <w:p>
            <w:pPr>
              <w:ind w:left="152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30"/>
        </w:trPr>
        <w:tc>
          <w:tcPr>
            <w:tcW w:w="32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2" w:right="14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6"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During the year ended December 31, 2018,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In addition, during the year ended December 31, 2018,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1)"/>
      <w:numFmt w:val="lowerRoman"/>
      <w:start w:val="2"/>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1)"/>
      <w:numFmt w:val="lowerLetter"/>
      <w:start w:val="1"/>
    </w:lvl>
  </w:abstractNum>
  <w:abstractNum w:abstractNumId="16">
    <w:nsid w:val="5F5E7FD0"/>
    <w:multiLevelType w:val="hybridMultilevel"/>
    <w:lvl w:ilvl="0">
      <w:lvlJc w:val="left"/>
      <w:lvlText w:val="(%1)"/>
      <w:numFmt w:val="lowerLetter"/>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1)"/>
      <w:numFmt w:val="lowerLetter"/>
      <w:start w:val="1"/>
    </w:lvl>
  </w:abstractNum>
  <w:abstractNum w:abstractNumId="19">
    <w:nsid w:val="6B94764"/>
    <w:multiLevelType w:val="hybridMultilevel"/>
    <w:lvl w:ilvl="0">
      <w:lvlJc w:val="left"/>
      <w:lvlText w:val="(%1)"/>
      <w:numFmt w:val="lowerLetter"/>
      <w:start w:val="1"/>
    </w:lvl>
  </w:abstractNum>
  <w:abstractNum w:abstractNumId="20">
    <w:nsid w:val="42C296BD"/>
    <w:multiLevelType w:val="hybridMultilevel"/>
    <w:lvl w:ilvl="0">
      <w:lvlJc w:val="left"/>
      <w:lvlText w:val="(%1)"/>
      <w:numFmt w:val="lowerRoman"/>
      <w:start w:val="9"/>
    </w:lvl>
  </w:abstractNum>
  <w:abstractNum w:abstractNumId="21">
    <w:nsid w:val="168E121F"/>
    <w:multiLevelType w:val="hybridMultilevel"/>
    <w:lvl w:ilvl="0">
      <w:lvlJc w:val="left"/>
      <w:lvlText w:val="(%1)"/>
      <w:numFmt w:val="lowerRoman"/>
      <w:start w:val="1"/>
    </w:lvl>
  </w:abstractNum>
  <w:abstractNum w:abstractNumId="22">
    <w:nsid w:val="1EBA5D23"/>
    <w:multiLevelType w:val="hybridMultilevel"/>
    <w:lvl w:ilvl="0">
      <w:lvlJc w:val="left"/>
      <w:lvlText w:val="(%1)"/>
      <w:numFmt w:val="lowerRoman"/>
      <w:start w:val="1"/>
    </w:lvl>
  </w:abstractNum>
  <w:abstractNum w:abstractNumId="23">
    <w:nsid w:val="661E3F1E"/>
    <w:multiLevelType w:val="hybridMultilevel"/>
    <w:lvl w:ilvl="0">
      <w:lvlJc w:val="left"/>
      <w:lvlText w:val="(%1)"/>
      <w:numFmt w:val="lowerRoman"/>
      <w:start w:val="2"/>
    </w:lvl>
  </w:abstractNum>
  <w:abstractNum w:abstractNumId="24">
    <w:nsid w:val="5DC79EA8"/>
    <w:multiLevelType w:val="hybridMultilevel"/>
    <w:lvl w:ilvl="0">
      <w:lvlJc w:val="left"/>
      <w:lvlText w:val="(%1)"/>
      <w:numFmt w:val="lowerRoman"/>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lvl w:ilvl="1">
      <w:lvlJc w:val="left"/>
      <w:lvlText w:val="(%2)"/>
      <w:numFmt w:val="lowerRoman"/>
      <w:start w:val="2"/>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1)"/>
      <w:numFmt w:val="lowerLetter"/>
      <w:start w:val="1"/>
    </w:lvl>
  </w:abstractNum>
  <w:abstractNum w:abstractNumId="33">
    <w:nsid w:val="8F2B15E"/>
    <w:multiLevelType w:val="hybridMultilevel"/>
    <w:lvl w:ilvl="0">
      <w:lvlJc w:val="left"/>
      <w:lvlText w:val="(%1)"/>
      <w:numFmt w:val="lowerLetter"/>
      <w:start w:val="1"/>
    </w:lvl>
  </w:abstractNum>
  <w:abstractNum w:abstractNumId="34">
    <w:nsid w:val="1A32234B"/>
    <w:multiLevelType w:val="hybridMultilevel"/>
    <w:lvl w:ilvl="0">
      <w:lvlJc w:val="left"/>
      <w:lvlText w:val="(%1)"/>
      <w:numFmt w:val="lowerLetter"/>
      <w:start w:val="1"/>
    </w:lvl>
  </w:abstractNum>
  <w:abstractNum w:abstractNumId="35">
    <w:nsid w:val="3B0FD379"/>
    <w:multiLevelType w:val="hybridMultilevel"/>
    <w:lvl w:ilvl="0">
      <w:lvlJc w:val="left"/>
      <w:lvlText w:val="(%1)"/>
      <w:numFmt w:val="lowerLetter"/>
      <w:start w:val="1"/>
    </w:lvl>
  </w:abstractNum>
  <w:abstractNum w:abstractNumId="36">
    <w:nsid w:val="68EB2F63"/>
    <w:multiLevelType w:val="hybridMultilevel"/>
    <w:lvl w:ilvl="0">
      <w:lvlJc w:val="left"/>
      <w:lvlText w:val="(%1)"/>
      <w:numFmt w:val="lowerLetter"/>
      <w:start w:val="2"/>
    </w:lvl>
  </w:abstractNum>
  <w:abstractNum w:abstractNumId="37">
    <w:nsid w:val="4962813B"/>
    <w:multiLevelType w:val="hybridMultilevel"/>
    <w:lvl w:ilvl="0">
      <w:lvlJc w:val="left"/>
      <w:lvlText w:val="·"/>
      <w:numFmt w:val="bullet"/>
      <w:start w:val="1"/>
    </w:lvl>
    <w:lvl w:ilvl="1">
      <w:lvlJc w:val="left"/>
      <w:lvlText w:val="(%2)"/>
      <w:numFmt w:val="lowerRoman"/>
      <w:start w:val="2"/>
    </w:lvl>
  </w:abstractNum>
  <w:abstractNum w:abstractNumId="38">
    <w:nsid w:val="60B6DF70"/>
    <w:multiLevelType w:val="hybridMultilevel"/>
    <w:lvl w:ilvl="0">
      <w:lvlJc w:val="left"/>
      <w:lvlText w:val="(%1)"/>
      <w:numFmt w:val="lowerRoman"/>
      <w:start w:val="2"/>
    </w:lvl>
  </w:abstractNum>
  <w:abstractNum w:abstractNumId="39">
    <w:nsid w:val="6A5EE64"/>
    <w:multiLevelType w:val="hybridMultilevel"/>
    <w:lvl w:ilvl="0">
      <w:lvlJc w:val="left"/>
      <w:lvlText w:val="(%1)"/>
      <w:numFmt w:val="lowerRoman"/>
      <w:start w:val="1"/>
    </w:lvl>
  </w:abstractNum>
  <w:abstractNum w:abstractNumId="40">
    <w:nsid w:val="14330624"/>
    <w:multiLevelType w:val="hybridMultilevel"/>
    <w:lvl w:ilvl="0">
      <w:lvlJc w:val="left"/>
      <w:lvlText w:val="(%1)"/>
      <w:numFmt w:val="lowerRoman"/>
      <w:start w:val="3"/>
    </w:lvl>
  </w:abstractNum>
  <w:abstractNum w:abstractNumId="41">
    <w:nsid w:val="7FFFCA11"/>
    <w:multiLevelType w:val="hybridMultilevel"/>
    <w:lvl w:ilvl="0">
      <w:lvlJc w:val="left"/>
      <w:lvlText w:val="(%1)"/>
      <w:numFmt w:val="lowerLetter"/>
      <w:start w:val="1"/>
    </w:lvl>
  </w:abstractNum>
  <w:abstractNum w:abstractNumId="42">
    <w:nsid w:val="1A27709E"/>
    <w:multiLevelType w:val="hybridMultilevel"/>
    <w:lvl w:ilvl="0">
      <w:lvlJc w:val="left"/>
      <w:lvlText w:val="(%1)"/>
      <w:numFmt w:val="lowerLetter"/>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lowerLetter"/>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1)"/>
      <w:numFmt w:val="lowerRoman"/>
      <w:start w:val="1"/>
    </w:lvl>
  </w:abstractNum>
  <w:abstractNum w:abstractNumId="53">
    <w:nsid w:val="14E17E33"/>
    <w:multiLevelType w:val="hybridMultilevel"/>
    <w:lvl w:ilvl="0">
      <w:lvlJc w:val="left"/>
      <w:lvlText w:val="(%1)"/>
      <w:numFmt w:val="lowerRoman"/>
      <w:start w:val="1"/>
    </w:lvl>
  </w:abstractNum>
  <w:abstractNum w:abstractNumId="54">
    <w:nsid w:val="3222E7CD"/>
    <w:multiLevelType w:val="hybridMultilevel"/>
    <w:lvl w:ilvl="0">
      <w:lvlJc w:val="left"/>
      <w:lvlText w:val="(%1)"/>
      <w:numFmt w:val="lowerRoman"/>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1)"/>
      <w:numFmt w:val="lowerRoman"/>
      <w:start w:val="1"/>
    </w:lvl>
  </w:abstractNum>
  <w:abstractNum w:abstractNumId="57">
    <w:nsid w:val="2DF6D648"/>
    <w:multiLevelType w:val="hybridMultilevel"/>
    <w:lvl w:ilvl="0">
      <w:lvlJc w:val="left"/>
      <w:lvlText w:val="(%1)"/>
      <w:numFmt w:val="lowerRoman"/>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lvl w:ilvl="1">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1)"/>
      <w:numFmt w:val="lowerRoman"/>
      <w:start w:val="3"/>
    </w:lvl>
  </w:abstractNum>
  <w:abstractNum w:abstractNumId="63">
    <w:nsid w:val="43F18422"/>
    <w:multiLevelType w:val="hybridMultilevel"/>
    <w:lvl w:ilvl="0">
      <w:lvlJc w:val="left"/>
      <w:lvlText w:val="(%1)"/>
      <w:numFmt w:val="lowerRoman"/>
      <w:start w:val="3"/>
    </w:lvl>
  </w:abstractNum>
  <w:abstractNum w:abstractNumId="64">
    <w:nsid w:val="60EF0119"/>
    <w:multiLevelType w:val="hybridMultilevel"/>
    <w:lvl w:ilvl="0">
      <w:lvlJc w:val="left"/>
      <w:lvlText w:val="(%1)"/>
      <w:numFmt w:val="lowerLetter"/>
      <w:start w:val="1"/>
    </w:lvl>
  </w:abstractNum>
  <w:abstractNum w:abstractNumId="65">
    <w:nsid w:val="26F324BA"/>
    <w:multiLevelType w:val="hybridMultilevel"/>
    <w:lvl w:ilvl="0">
      <w:lvlJc w:val="left"/>
      <w:lvlText w:val="%1."/>
      <w:numFmt w:val="decimal"/>
      <w:start w:val="5"/>
    </w:lvl>
  </w:abstractNum>
  <w:abstractNum w:abstractNumId="66">
    <w:nsid w:val="7F01579B"/>
    <w:multiLevelType w:val="hybridMultilevel"/>
    <w:lvl w:ilvl="0">
      <w:lvlJc w:val="left"/>
      <w:lvlText w:val="(%1)"/>
      <w:numFmt w:val="lowerRoman"/>
      <w:start w:val="4"/>
    </w:lvl>
  </w:abstractNum>
  <w:abstractNum w:abstractNumId="67">
    <w:nsid w:val="49DA307D"/>
    <w:multiLevelType w:val="hybridMultilevel"/>
    <w:lvl w:ilvl="0">
      <w:lvlJc w:val="left"/>
      <w:lvlText w:val="(%1)"/>
      <w:numFmt w:val="lowerRoman"/>
      <w:start w:val="1"/>
    </w:lvl>
  </w:abstractNum>
  <w:abstractNum w:abstractNumId="68">
    <w:nsid w:val="7055A5F5"/>
    <w:multiLevelType w:val="hybridMultilevel"/>
    <w:lvl w:ilvl="0">
      <w:lvlJc w:val="left"/>
      <w:lvlText w:val="(%1)"/>
      <w:numFmt w:val="lowerRoman"/>
      <w:start w:val="4"/>
    </w:lvl>
  </w:abstractNum>
  <w:abstractNum w:abstractNumId="69">
    <w:nsid w:val="5FB8370B"/>
    <w:multiLevelType w:val="hybridMultilevel"/>
    <w:lvl w:ilvl="0">
      <w:lvlJc w:val="left"/>
      <w:lvlText w:val="(%1)"/>
      <w:numFmt w:val="lowerRoman"/>
      <w:start w:val="1"/>
    </w:lvl>
  </w:abstractNum>
  <w:abstractNum w:abstractNumId="70">
    <w:nsid w:val="50801EE1"/>
    <w:multiLevelType w:val="hybridMultilevel"/>
    <w:lvl w:ilvl="0">
      <w:lvlJc w:val="left"/>
      <w:lvlText w:val="(%1)"/>
      <w:numFmt w:val="lowerRoman"/>
      <w:start w:val="5"/>
    </w:lvl>
  </w:abstractNum>
  <w:abstractNum w:abstractNumId="71">
    <w:nsid w:val="488AC1A"/>
    <w:multiLevelType w:val="hybridMultilevel"/>
    <w:lvl w:ilvl="0">
      <w:lvlJc w:val="left"/>
      <w:lvlText w:val="(%1)"/>
      <w:numFmt w:val="lowerRoman"/>
      <w:start w:val="7"/>
    </w:lvl>
  </w:abstractNum>
  <w:abstractNum w:abstractNumId="72">
    <w:nsid w:val="5FB8011C"/>
    <w:multiLevelType w:val="hybridMultilevel"/>
    <w:lvl w:ilvl="0">
      <w:lvlJc w:val="left"/>
      <w:lvlText w:val="(%1)"/>
      <w:numFmt w:val="lowerRoman"/>
      <w:start w:val="2"/>
    </w:lvl>
  </w:abstractNum>
  <w:abstractNum w:abstractNumId="73">
    <w:nsid w:val="6AA78F7F"/>
    <w:multiLevelType w:val="hybridMultilevel"/>
    <w:lvl w:ilvl="0">
      <w:lvlJc w:val="left"/>
      <w:lvlText w:val="(%1)"/>
      <w:numFmt w:val="lowerRoman"/>
      <w:start w:val="3"/>
    </w:lvl>
  </w:abstractNum>
  <w:abstractNum w:abstractNumId="74">
    <w:nsid w:val="7672BD23"/>
    <w:multiLevelType w:val="hybridMultilevel"/>
    <w:lvl w:ilvl="0">
      <w:lvlJc w:val="left"/>
      <w:lvlText w:val="(%1)"/>
      <w:numFmt w:val="lowerLetter"/>
      <w:start w:val="1"/>
    </w:lvl>
  </w:abstractNum>
  <w:abstractNum w:abstractNumId="75">
    <w:nsid w:val="6FC75AF8"/>
    <w:multiLevelType w:val="hybridMultilevel"/>
    <w:lvl w:ilvl="0">
      <w:lvlJc w:val="left"/>
      <w:lvlText w:val="(%1)"/>
      <w:numFmt w:val="lowerLetter"/>
      <w:start w:val="3"/>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1)"/>
      <w:numFmt w:val="lowerRoman"/>
      <w:start w:val="2"/>
    </w:lvl>
  </w:abstractNum>
  <w:abstractNum w:abstractNumId="83">
    <w:nsid w:val="14FCE74E"/>
    <w:multiLevelType w:val="hybridMultilevel"/>
    <w:lvl w:ilvl="0">
      <w:lvlJc w:val="left"/>
      <w:lvlText w:val="(%1)"/>
      <w:numFmt w:val="lowerRoman"/>
      <w:start w:val="1"/>
    </w:lvl>
  </w:abstractNum>
  <w:abstractNum w:abstractNumId="84">
    <w:nsid w:val="6A3DD3E8"/>
    <w:multiLevelType w:val="hybridMultilevel"/>
    <w:lvl w:ilvl="0">
      <w:lvlJc w:val="left"/>
      <w:lvlText w:val="(%1)"/>
      <w:numFmt w:val="lowerLetter"/>
      <w:start w:val="1"/>
    </w:lvl>
  </w:abstractNum>
  <w:abstractNum w:abstractNumId="85">
    <w:nsid w:val="71C91298"/>
    <w:multiLevelType w:val="hybridMultilevel"/>
    <w:lvl w:ilvl="0">
      <w:lvlJc w:val="left"/>
      <w:lvlText w:val="(%1)"/>
      <w:numFmt w:val="lowerLetter"/>
      <w:start w:val="1"/>
    </w:lvl>
  </w:abstractNum>
  <w:abstractNum w:abstractNumId="86">
    <w:nsid w:val="9DAF632"/>
    <w:multiLevelType w:val="hybridMultilevel"/>
    <w:lvl w:ilvl="0">
      <w:lvlJc w:val="left"/>
      <w:lvlText w:val="(%1)"/>
      <w:numFmt w:val="lowerLetter"/>
      <w:start w:val="1"/>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1"/>
    </w:lvl>
  </w:abstractNum>
  <w:abstractNum w:abstractNumId="89">
    <w:nsid w:val="5092CA79"/>
    <w:multiLevelType w:val="hybridMultilevel"/>
    <w:lvl w:ilvl="0">
      <w:lvlJc w:val="left"/>
      <w:lvlText w:val="(%1)"/>
      <w:numFmt w:val="lowerLetter"/>
      <w:start w:val="2"/>
    </w:lvl>
  </w:abstractNum>
  <w:abstractNum w:abstractNumId="90">
    <w:nsid w:val="1D545C4D"/>
    <w:multiLevelType w:val="hybridMultilevel"/>
    <w:lvl w:ilvl="0">
      <w:lvlJc w:val="left"/>
      <w:lvlText w:val="(%1)"/>
      <w:numFmt w:val="lowerLetter"/>
      <w:start w:val="8"/>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1)"/>
      <w:numFmt w:val="lowerLetter"/>
      <w:start w:val="1"/>
    </w:lvl>
  </w:abstractNum>
  <w:abstractNum w:abstractNumId="99">
    <w:nsid w:val="415E286C"/>
    <w:multiLevelType w:val="hybridMultilevel"/>
    <w:lvl w:ilvl="0">
      <w:lvlJc w:val="left"/>
      <w:lvlText w:val="%1."/>
      <w:numFmt w:val="lowerRoman"/>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1."/>
      <w:numFmt w:val="decimal"/>
      <w:start w:val="1"/>
    </w:lvl>
  </w:abstractNum>
  <w:abstractNum w:abstractNumId="105">
    <w:nsid w:val="3C5991AA"/>
    <w:multiLevelType w:val="hybridMultilevel"/>
    <w:lvl w:ilvl="0">
      <w:lvlJc w:val="left"/>
      <w:lvlText w:val="%1."/>
      <w:numFmt w:val="decimal"/>
      <w:start w:val="2"/>
    </w:lvl>
  </w:abstractNum>
  <w:abstractNum w:abstractNumId="106">
    <w:nsid w:val="4BD8591A"/>
    <w:multiLevelType w:val="hybridMultilevel"/>
    <w:lvl w:ilvl="0">
      <w:lvlJc w:val="left"/>
      <w:lvlText w:val="%1."/>
      <w:numFmt w:val="decimal"/>
      <w:start w:val="3"/>
    </w:lvl>
  </w:abstractNum>
  <w:abstractNum w:abstractNumId="107">
    <w:nsid w:val="78DF6A55"/>
    <w:multiLevelType w:val="hybridMultilevel"/>
    <w:lvl w:ilvl="0">
      <w:lvlJc w:val="left"/>
      <w:lvlText w:val="%1."/>
      <w:numFmt w:val="decimal"/>
      <w:start w:val="4"/>
    </w:lvl>
  </w:abstractNum>
  <w:abstractNum w:abstractNumId="108">
    <w:nsid w:val="39B7AAA2"/>
    <w:multiLevelType w:val="hybridMultilevel"/>
    <w:lvl w:ilvl="0">
      <w:lvlJc w:val="left"/>
      <w:lvlText w:val="%1."/>
      <w:numFmt w:val="decimal"/>
      <w:start w:val="6"/>
    </w:lvl>
  </w:abstractNum>
  <w:abstractNum w:abstractNumId="109">
    <w:nsid w:val="2B0D8DBE"/>
    <w:multiLevelType w:val="hybridMultilevel"/>
    <w:lvl w:ilvl="0">
      <w:lvlJc w:val="left"/>
      <w:lvlText w:val="%1."/>
      <w:numFmt w:val="decimal"/>
      <w:start w:val="10"/>
    </w:lvl>
  </w:abstractNum>
  <w:abstractNum w:abstractNumId="110">
    <w:nsid w:val="6C80EC70"/>
    <w:multiLevelType w:val="hybridMultilevel"/>
    <w:lvl w:ilvl="0">
      <w:lvlJc w:val="left"/>
      <w:lvlText w:val="%1."/>
      <w:numFmt w:val="decimal"/>
      <w:start w:val="12"/>
    </w:lvl>
  </w:abstractNum>
  <w:abstractNum w:abstractNumId="111">
    <w:nsid w:val="379E21B5"/>
    <w:multiLevelType w:val="hybridMultilevel"/>
    <w:lvl w:ilvl="0">
      <w:lvlJc w:val="left"/>
      <w:lvlText w:val="%1."/>
      <w:numFmt w:val="decimal"/>
      <w:start w:val="16"/>
    </w:lvl>
  </w:abstractNum>
  <w:abstractNum w:abstractNumId="112">
    <w:nsid w:val="69E373"/>
    <w:multiLevelType w:val="hybridMultilevel"/>
    <w:lvl w:ilvl="0">
      <w:lvlJc w:val="left"/>
      <w:lvlText w:val="%1."/>
      <w:numFmt w:val="decimal"/>
      <w:start w:val="18"/>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lowerLetter"/>
      <w:start w:val="1"/>
    </w:lvl>
    <w:lvl w:ilvl="1">
      <w:lvlJc w:val="left"/>
      <w:lvlText w:val="%2"/>
      <w:numFmt w:val="lowerRoman"/>
      <w:start w:val="2"/>
    </w:lvl>
  </w:abstractNum>
  <w:abstractNum w:abstractNumId="115">
    <w:nsid w:val="6AA7B75C"/>
    <w:multiLevelType w:val="hybridMultilevel"/>
    <w:lvl w:ilvl="0">
      <w:lvlJc w:val="left"/>
      <w:lvlText w:val="v"/>
      <w:numFmt w:val="bullet"/>
      <w:start w:val="1"/>
    </w:lvl>
  </w:abstractNum>
  <w:abstractNum w:abstractNumId="116">
    <w:nsid w:val="1DF029D3"/>
    <w:multiLevelType w:val="hybridMultilevel"/>
    <w:lvl w:ilvl="0">
      <w:lvlJc w:val="left"/>
      <w:lvlText w:val="(%1)"/>
      <w:numFmt w:val="lowerLetter"/>
      <w:start w:val="5"/>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decimal"/>
      <w:start w:val="1"/>
    </w:lvl>
  </w:abstractNum>
  <w:abstractNum w:abstractNumId="119">
    <w:nsid w:val="3DB012B3"/>
    <w:multiLevelType w:val="hybridMultilevel"/>
    <w:lvl w:ilvl="0">
      <w:lvlJc w:val="left"/>
      <w:lvlText w:val="%1."/>
      <w:numFmt w:val="lowerRoman"/>
      <w:start w:val="1"/>
    </w:lvl>
    <w:lvl w:ilvl="1">
      <w:lvlJc w:val="left"/>
      <w:lvlText w:val="%2."/>
      <w:numFmt w:val="upperLetter"/>
      <w:start w:val="1"/>
    </w:lvl>
  </w:abstractNum>
  <w:abstractNum w:abstractNumId="120">
    <w:nsid w:val="2708C9AF"/>
    <w:multiLevelType w:val="hybridMultilevel"/>
    <w:lvl w:ilvl="0">
      <w:lvlJc w:val="left"/>
      <w:lvlText w:val="%1."/>
      <w:numFmt w:val="lowerRoman"/>
      <w:start w:val="1"/>
    </w:lvl>
    <w:lvl w:ilvl="1">
      <w:lvlJc w:val="left"/>
      <w:lvlText w:val="%2."/>
      <w:numFmt w:val="upp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24" Type="http://schemas.openxmlformats.org/officeDocument/2006/relationships/hyperlink" Target="http://www.sec.gov/Archives/edgar/data/823768/000095012310070947/h74168exv3w1.htm" TargetMode="External"/><Relationship Id="rId125" Type="http://schemas.openxmlformats.org/officeDocument/2006/relationships/hyperlink" Target="http://www.sec.gov/Archives/edgar/data/823768/000110465918011700/a18-6740_1ex3d2.htm" TargetMode="External"/><Relationship Id="rId126" Type="http://schemas.openxmlformats.org/officeDocument/2006/relationships/hyperlink" Target="http://www.sec.gov/Archives/edgar/data/823768/0000950129-99-001268.txt" TargetMode="External"/><Relationship Id="rId127" Type="http://schemas.openxmlformats.org/officeDocument/2006/relationships/hyperlink" Target="http://www.sec.gov/Archives/edgar/data/823768/000095012315002550/d793975dex42.htm" TargetMode="External"/><Relationship Id="rId128" Type="http://schemas.openxmlformats.org/officeDocument/2006/relationships/hyperlink" Target="http://www.sec.gov/Archives/edgar/data/823768/000119312514283972/d740524dex43.htm" TargetMode="External"/><Relationship Id="rId129" Type="http://schemas.openxmlformats.org/officeDocument/2006/relationships/hyperlink" Target="http://www.sec.gov/Archives/edgar/data/823768/0000950129-97-000380.txt" TargetMode="External"/><Relationship Id="rId130" Type="http://schemas.openxmlformats.org/officeDocument/2006/relationships/hyperlink" Target="http://www.sec.gov/Archives/edgar/data/823768/0000950129-97-003909.txt" TargetMode="External"/><Relationship Id="rId131" Type="http://schemas.openxmlformats.org/officeDocument/2006/relationships/hyperlink" Target="http://www.sec.gov/Archives/edgar/data/823768/000155837018000716/wm-20171231ex46aca6a46.htm" TargetMode="External"/><Relationship Id="rId132" Type="http://schemas.openxmlformats.org/officeDocument/2006/relationships/hyperlink" Target="http://www.sec.gov/Archives/edgar/data/823768/000155837018000716/wm-20171231ex47349167a.htm" TargetMode="External"/><Relationship Id="rId133" Type="http://schemas.openxmlformats.org/officeDocument/2006/relationships/hyperlink" Target="http://www.sec.gov/Archives/edgar/data/823768/000119312514200494/d726417dex101.htm" TargetMode="External"/><Relationship Id="rId134" Type="http://schemas.openxmlformats.org/officeDocument/2006/relationships/hyperlink" Target="http://www.sec.gov/Archives/edgar/data/823768/000119312509062520/ddef14a.htm" TargetMode="External"/><Relationship Id="rId135" Type="http://schemas.openxmlformats.org/officeDocument/2006/relationships/hyperlink" Target="http://www.sec.gov/Archives/edgar/data/823768/000119312504059008/ddef14a.htm" TargetMode="External"/><Relationship Id="rId136" Type="http://schemas.openxmlformats.org/officeDocument/2006/relationships/hyperlink" Target="http://www.sec.gov/Archives/edgar/data/823768/000119312515189377/d926999dex101.htm" TargetMode="External"/><Relationship Id="rId137" Type="http://schemas.openxmlformats.org/officeDocument/2006/relationships/hyperlink" Target="http://www.sec.gov/Archives/edgar/data/823768/000119312516467957/d83265dex105.htm" TargetMode="External"/><Relationship Id="rId138" Type="http://schemas.openxmlformats.org/officeDocument/2006/relationships/hyperlink" Target="http://www.sec.gov/Archives/edgar/data/823768/000119312514156430/d690567dex102.htm" TargetMode="External"/><Relationship Id="rId139" Type="http://schemas.openxmlformats.org/officeDocument/2006/relationships/hyperlink" Target="http://www.sec.gov/Archives/edgar/data/823768/000110465918043239/a18-16120_1ex10d1.htm" TargetMode="External"/><Relationship Id="rId140" Type="http://schemas.openxmlformats.org/officeDocument/2006/relationships/hyperlink" Target="http://www.sec.gov/Archives/edgar/data/823768/000119312515252401/d99371dex101.htm" TargetMode="External"/><Relationship Id="rId141" Type="http://schemas.openxmlformats.org/officeDocument/2006/relationships/hyperlink" Target="http://www.sec.gov/Archives/edgar/data/823768/000119312516521391/d135663dex101.htm" TargetMode="External"/><Relationship Id="rId142" Type="http://schemas.openxmlformats.org/officeDocument/2006/relationships/hyperlink" Target="http://www.sec.gov/Archives/edgar/data/823768/000119312517046480/d252547dex1011.htm" TargetMode="External"/><Relationship Id="rId143" Type="http://schemas.openxmlformats.org/officeDocument/2006/relationships/hyperlink" Target="http://www.sec.gov/Archives/edgar/data/823768/000119312517046480/d252547dex1012.htm" TargetMode="External"/><Relationship Id="rId144" Type="http://schemas.openxmlformats.org/officeDocument/2006/relationships/hyperlink" Target="http://www.sec.gov/Archives/edgar/data/823768/000110465917075030/a17-28786_1ex10d2.htm" TargetMode="External"/><Relationship Id="rId145" Type="http://schemas.openxmlformats.org/officeDocument/2006/relationships/hyperlink" Target="http://www.sec.gov/Archives/edgar/data/823768/000110465917075030/a17-28786_1ex10d3.htm" TargetMode="External"/><Relationship Id="rId146" Type="http://schemas.openxmlformats.org/officeDocument/2006/relationships/hyperlink" Target="http://www.sec.gov/Archives/edgar/data/823768/000095012901001398/h84376ex10-20.txt" TargetMode="External"/><Relationship Id="rId147" Type="http://schemas.openxmlformats.org/officeDocument/2006/relationships/hyperlink" Target="http://www.sec.gov/Archives/edgar/data/823768/000095012311024530/h80480exv10w3.htm" TargetMode="External"/><Relationship Id="rId148" Type="http://schemas.openxmlformats.org/officeDocument/2006/relationships/hyperlink" Target="http://www.sec.gov/Archives/edgar/data/823768/000095012906009990/h41867exv10w1.htm" TargetMode="External"/><Relationship Id="rId149" Type="http://schemas.openxmlformats.org/officeDocument/2006/relationships/hyperlink" Target="http://www.sec.gov/Archives/edgar/data/823768/000095012311040715/h80290exv10w6.htm" TargetMode="External"/><Relationship Id="rId150" Type="http://schemas.openxmlformats.org/officeDocument/2006/relationships/hyperlink" Target="http://www.sec.gov/Archives/edgar/data/823768/000110465917075030/a17-28786_1ex10d4.htm" TargetMode="External"/><Relationship Id="rId151" Type="http://schemas.openxmlformats.org/officeDocument/2006/relationships/hyperlink" Target="http://www.sec.gov/Archives/edgar/data/823768/000155837018000716/wm-20171231ex10236fa05.htm" TargetMode="External"/><Relationship Id="rId152" Type="http://schemas.openxmlformats.org/officeDocument/2006/relationships/hyperlink" Target="http://www.sec.gov/Archives/edgar/data/823768/000095012903000958/h02934exv10w24.txt" TargetMode="External"/><Relationship Id="rId153" Type="http://schemas.openxmlformats.org/officeDocument/2006/relationships/hyperlink" Target="http://www.sec.gov/Archives/edgar/data/823768/000119312513058892/d413187dex1043.htm" TargetMode="External"/><Relationship Id="rId154" Type="http://schemas.openxmlformats.org/officeDocument/2006/relationships/hyperlink" Target="http://www.sec.gov/Archives/edgar/data/823768/000110465917075030/a17-28786_1ex10d1.htm" TargetMode="External"/><Relationship Id="rId155" Type="http://schemas.openxmlformats.org/officeDocument/2006/relationships/hyperlink" Target="http://www.sec.gov/Archives/edgar/data/823768/000119312516489993/d142630dex101.htm" TargetMode="External"/><Relationship Id="rId156" Type="http://schemas.openxmlformats.org/officeDocument/2006/relationships/hyperlink" Target="http://www.sec.gov/Archives/edgar/data/823768/000119312517046480/d252547dex1032.htm" TargetMode="External"/><Relationship Id="rId157" Type="http://schemas.openxmlformats.org/officeDocument/2006/relationships/hyperlink" Target="http://www.sec.gov/Archives/edgar/data/823768/000119312517069837/d350228dex101.htm" TargetMode="External"/><Relationship Id="rId158" Type="http://schemas.openxmlformats.org/officeDocument/2006/relationships/hyperlink" Target="http://www.sec.gov/Archives/edgar/data/823768/000119312517069837/d350228dex102.htm" TargetMode="External"/><Relationship Id="rId159" Type="http://schemas.openxmlformats.org/officeDocument/2006/relationships/hyperlink" Target="http://www.sec.gov/Archives/edgar/data/823768/000155837018000716/wm-20171231ex1037b83f8.htm" TargetMode="External"/><Relationship Id="rId160" Type="http://schemas.openxmlformats.org/officeDocument/2006/relationships/hyperlink" Target="http://www.sec.gov/Archives/edgar/data/823768/000110465918011700/a18-6740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2019-12-28T16:46:42Z</dcterms:created>
  <dcterms:modified xsi:type="dcterms:W3CDTF">2019-12-28T16:46:42Z</dcterms:modified>
</cp:coreProperties>
</file>