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16,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333-195980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333- 195980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700" w:type="dxa"/>
        <w:tblCellMar>
          <w:top w:w="0" w:type="dxa"/>
          <w:left w:w="0" w:type="dxa"/>
          <w:bottom w:w="0" w:type="dxa"/>
          <w:right w:w="0" w:type="dxa"/>
        </w:tblCellMar>
      </w:tblPr>
      <w:tr>
        <w:trPr>
          <w:trHeight w:val="229"/>
        </w:trPr>
        <w:tc>
          <w:tcPr>
            <w:tcW w:w="4140" w:type="dxa"/>
            <w:vAlign w:val="bottom"/>
          </w:tcPr>
          <w:p>
            <w:pPr>
              <w:jc w:val="center"/>
              <w:ind w:right="171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tcPr>
          <w:p>
            <w:pPr>
              <w:jc w:val="center"/>
              <w:ind w:left="1710"/>
              <w:spacing w:after="0"/>
              <w:rPr>
                <w:sz w:val="20"/>
                <w:szCs w:val="20"/>
                <w:color w:val="auto"/>
              </w:rPr>
            </w:pPr>
            <w:r>
              <w:rPr>
                <w:rFonts w:ascii="Arial" w:cs="Arial" w:eastAsia="Arial" w:hAnsi="Arial"/>
                <w:sz w:val="18"/>
                <w:szCs w:val="18"/>
                <w:b w:val="1"/>
                <w:bCs w:val="1"/>
                <w:color w:val="auto"/>
                <w:w w:val="91"/>
              </w:rPr>
              <w:t>73-1309529</w:t>
            </w:r>
          </w:p>
        </w:tc>
      </w:tr>
      <w:tr>
        <w:trPr>
          <w:trHeight w:val="216"/>
        </w:trPr>
        <w:tc>
          <w:tcPr>
            <w:tcW w:w="4140" w:type="dxa"/>
            <w:vAlign w:val="bottom"/>
          </w:tcPr>
          <w:p>
            <w:pPr>
              <w:jc w:val="center"/>
              <w:ind w:right="1690"/>
              <w:spacing w:after="0"/>
              <w:rPr>
                <w:sz w:val="20"/>
                <w:szCs w:val="20"/>
                <w:color w:val="auto"/>
              </w:rPr>
            </w:pPr>
            <w:r>
              <w:rPr>
                <w:rFonts w:ascii="Arial" w:cs="Arial" w:eastAsia="Arial" w:hAnsi="Arial"/>
                <w:sz w:val="18"/>
                <w:szCs w:val="18"/>
                <w:b w:val="1"/>
                <w:bCs w:val="1"/>
                <w:color w:val="auto"/>
                <w:w w:val="90"/>
              </w:rPr>
              <w:t>(State or other jurisdiction of</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4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incorporation or organization)</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800 Capitol Street, Suite 3000</w:t>
      </w:r>
    </w:p>
    <w:p>
      <w:pPr>
        <w:spacing w:after="0" w:line="2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 2014 STOCK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 2023 STOCK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titles of the Plans)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Charles C. Boettcher, Chief Legal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Capitol Street, Suite 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11" w:lineRule="exact"/>
        <w:rPr>
          <w:sz w:val="24"/>
          <w:szCs w:val="24"/>
          <w:color w:val="auto"/>
        </w:rPr>
      </w:pPr>
    </w:p>
    <w:p>
      <w:pPr>
        <w:ind w:right="2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9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51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5"/>
        </w:trPr>
        <w:tc>
          <w:tcPr>
            <w:tcW w:w="19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518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2"/>
        </w:trPr>
        <w:tc>
          <w:tcPr>
            <w:tcW w:w="1940" w:type="dxa"/>
            <w:vAlign w:val="bottom"/>
            <w:tcBorders>
              <w:bottom w:val="single" w:sz="8" w:color="auto"/>
            </w:tcBorders>
          </w:tcPr>
          <w:p>
            <w:pPr>
              <w:spacing w:after="0"/>
              <w:rPr>
                <w:sz w:val="21"/>
                <w:szCs w:val="21"/>
                <w:color w:val="auto"/>
              </w:rPr>
            </w:pPr>
          </w:p>
        </w:tc>
        <w:tc>
          <w:tcPr>
            <w:tcW w:w="518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723"/>
        </w:trPr>
        <w:tc>
          <w:tcPr>
            <w:tcW w:w="19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Waste Management Inc., a Delaware corporation (the “Registrant”), previously filed its Registration Statement on Form S-8 (File No. 333-195980) with the Securities and Exchange Commission (the “Commission”) on May 15, 2014 (the “Prior Registration Statement”) with respect to 24,942,050 shares of the Registrant’s common stock, par value $0.01 per share (the “Common Stock”), issuable under the Registrant’s 2014 Stock Incentive Plan (the “2014 Plan”).</w:t>
      </w:r>
    </w:p>
    <w:p>
      <w:pPr>
        <w:spacing w:after="0" w:line="14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May 9, 2023 (the “Approval Date”), the Registrant’s stockholders approved the Registrant’s 2023 Stock Incentive Plan (the “2023 Plan”) and, in connection therewith, no further awards will be granted under the 2014 Plan. Pursuant to the terms of the 2023 Plan, 15,160,725 shares of Common Stock that were available for issuance pursuant to future grants of awards under the 2014 Plan and any shares of Common Stock that were subject to outstanding awards under the 2014 Plan as of the Approval Date that subsequently cease to be subject to such awards as a result of the forfeiture, cancellation or termination of such awards will become available for issuance under the 2023 Plan (the “Rollover Shares”).</w:t>
      </w:r>
    </w:p>
    <w:p>
      <w:pPr>
        <w:spacing w:after="0" w:line="17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Company is filing this Post-Effective Amendment No. 1 to Form S-8 pursuant to SEC Compliance and Disclosure Interpretation 126.43 to amend the Prior Registration Statement to register the offer of the Rollover Shares under the 2023 Plan (as such shares would no longer be issuable under the 2014 Plan). For avoidance of doubt, the Registrant is not registering any additional shares of Common Stock that were not previously approved by the Registrant’s stockholders as of the Approval Date and as such no filing fee is required for this Post-Effective Amendment.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REQUIRED IN THE SECTION 10(a) PROSPECTUS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permitted by the rules of the Securities and Exchange Commission (the “Commission”), this Registration Statement omits the information specified in Part I of Form S-8. The documents containing the information specified in Part I will be delivered to the participants in the 2023 Plan, and have been delivered to the participants in the 2014 Plan, as required by Rule 428(b)(1) under the Securities Act. Such documents are not being filed with the Commission as part of this Registration Statement or as a prospectus or prospectus supplement pursuant to Rule 424. These documents and the documents incorporated by reference in this Post-Effective Amendment pursuant to Item 3 of Part II hereof, taken together, constitute a prospectus that meets the requirements of Section 10(a) of the Securities 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following documents, previously filed by the Registrant with the Commission, are incorporated by reference herein and shall be deemed to be a part hereof, except to the extent that information therein is deemed furnished and not filed pursuant to securities laws and regulations:</w:t>
      </w:r>
    </w:p>
    <w:p>
      <w:pPr>
        <w:spacing w:after="0" w:line="14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7"/>
          <w:szCs w:val="17"/>
          <w:u w:val="single" w:color="auto"/>
          <w:color w:val="0000EE"/>
        </w:rPr>
      </w:pPr>
      <w:hyperlink r:id="rId10">
        <w:r>
          <w:rPr>
            <w:rFonts w:ascii="Arial" w:cs="Arial" w:eastAsia="Arial" w:hAnsi="Arial"/>
            <w:sz w:val="17"/>
            <w:szCs w:val="17"/>
            <w:u w:val="single" w:color="auto"/>
            <w:color w:val="0000EE"/>
          </w:rPr>
          <w:t>The Registrant’s Annual Report on Form 10-K for the fiscal year ended December 31, 2022, filed with the Commission on February 7, 2023;</w:t>
        </w:r>
      </w:hyperlink>
    </w:p>
    <w:p>
      <w:pPr>
        <w:spacing w:after="0" w:line="34" w:lineRule="exact"/>
        <w:rPr>
          <w:rFonts w:ascii="Arial" w:cs="Arial" w:eastAsia="Arial" w:hAnsi="Arial"/>
          <w:sz w:val="17"/>
          <w:szCs w:val="17"/>
          <w:u w:val="single" w:color="auto"/>
          <w:color w:val="0000EE"/>
        </w:rPr>
      </w:pPr>
    </w:p>
    <w:p>
      <w:pPr>
        <w:ind w:left="660" w:hanging="328"/>
        <w:spacing w:after="0"/>
        <w:tabs>
          <w:tab w:leader="none" w:pos="660" w:val="left"/>
        </w:tabs>
        <w:numPr>
          <w:ilvl w:val="0"/>
          <w:numId w:val="1"/>
        </w:numPr>
        <w:rPr>
          <w:rFonts w:ascii="Arial" w:cs="Arial" w:eastAsia="Arial" w:hAnsi="Arial"/>
          <w:sz w:val="18"/>
          <w:szCs w:val="18"/>
          <w:u w:val="single" w:color="auto"/>
          <w:color w:val="0000EE"/>
        </w:rPr>
      </w:pPr>
      <w:hyperlink r:id="rId11">
        <w:r>
          <w:rPr>
            <w:rFonts w:ascii="Arial" w:cs="Arial" w:eastAsia="Arial" w:hAnsi="Arial"/>
            <w:sz w:val="18"/>
            <w:szCs w:val="18"/>
            <w:u w:val="single" w:color="auto"/>
            <w:color w:val="0000EE"/>
          </w:rPr>
          <w:t>The Registrant’s Quarterly Report on Form 10-Q for the quarter ended March 31, 2023 filed with the Commission on April 27, 2023;</w:t>
        </w:r>
      </w:hyperlink>
    </w:p>
    <w:p>
      <w:pPr>
        <w:spacing w:after="0" w:line="9" w:lineRule="exact"/>
        <w:rPr>
          <w:rFonts w:ascii="Arial" w:cs="Arial" w:eastAsia="Arial" w:hAnsi="Arial"/>
          <w:sz w:val="18"/>
          <w:szCs w:val="18"/>
          <w:u w:val="single" w:color="auto"/>
          <w:color w:val="0000EE"/>
        </w:rPr>
      </w:pPr>
    </w:p>
    <w:p>
      <w:pPr>
        <w:ind w:left="660" w:right="160" w:hanging="328"/>
        <w:spacing w:after="0" w:line="265" w:lineRule="auto"/>
        <w:tabs>
          <w:tab w:leader="none" w:pos="660" w:val="left"/>
        </w:tabs>
        <w:numPr>
          <w:ilvl w:val="0"/>
          <w:numId w:val="1"/>
        </w:numPr>
        <w:rPr>
          <w:rFonts w:ascii="Arial" w:cs="Arial" w:eastAsia="Arial" w:hAnsi="Arial"/>
          <w:sz w:val="17"/>
          <w:szCs w:val="17"/>
          <w:color w:val="0000EE"/>
        </w:rPr>
      </w:pPr>
      <w:hyperlink r:id="rId12">
        <w:r>
          <w:rPr>
            <w:rFonts w:ascii="Arial" w:cs="Arial" w:eastAsia="Arial" w:hAnsi="Arial"/>
            <w:sz w:val="17"/>
            <w:szCs w:val="17"/>
            <w:color w:val="auto"/>
          </w:rPr>
          <w:t xml:space="preserve">The Registrant’s Current Reports on Form 8-K filed with the Commission on </w:t>
        </w:r>
        <w:r>
          <w:rPr>
            <w:rFonts w:ascii="Arial" w:cs="Arial" w:eastAsia="Arial" w:hAnsi="Arial"/>
            <w:sz w:val="17"/>
            <w:szCs w:val="17"/>
            <w:u w:val="single" w:color="auto"/>
            <w:color w:val="0000EE"/>
          </w:rPr>
          <w:t>February 6, 2023</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13, 2023</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10, 2023</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May 10,</w:t>
        </w:r>
      </w:hyperlink>
      <w:r>
        <w:rPr>
          <w:rFonts w:ascii="Arial" w:cs="Arial" w:eastAsia="Arial" w:hAnsi="Arial"/>
          <w:sz w:val="17"/>
          <w:szCs w:val="17"/>
          <w:color w:val="auto"/>
        </w:rPr>
        <w:t xml:space="preserve"> </w:t>
      </w:r>
      <w:hyperlink r:id="rId12">
        <w:r>
          <w:rPr>
            <w:rFonts w:ascii="Arial" w:cs="Arial" w:eastAsia="Arial" w:hAnsi="Arial"/>
            <w:sz w:val="17"/>
            <w:szCs w:val="17"/>
            <w:u w:val="single" w:color="auto"/>
            <w:color w:val="0000EE"/>
          </w:rPr>
          <w:t>2023</w:t>
        </w:r>
        <w:r>
          <w:rPr>
            <w:rFonts w:ascii="Arial" w:cs="Arial" w:eastAsia="Arial" w:hAnsi="Arial"/>
            <w:sz w:val="17"/>
            <w:szCs w:val="17"/>
            <w:color w:val="0000EE"/>
          </w:rPr>
          <w:t xml:space="preserve"> </w:t>
        </w:r>
        <w:r>
          <w:rPr>
            <w:rFonts w:ascii="Arial" w:cs="Arial" w:eastAsia="Arial" w:hAnsi="Arial"/>
            <w:sz w:val="17"/>
            <w:szCs w:val="17"/>
            <w:color w:val="000000"/>
          </w:rPr>
          <w:t>(excluding Items 2.02 and 7.01, or corresponding information furnished under Item 9.01 or included as an exhibit); and</w:t>
        </w:r>
      </w:hyperlink>
    </w:p>
    <w:p>
      <w:pPr>
        <w:ind w:left="660" w:right="180" w:hanging="328"/>
        <w:spacing w:after="0" w:line="260" w:lineRule="auto"/>
        <w:tabs>
          <w:tab w:leader="none" w:pos="660" w:val="left"/>
        </w:tabs>
        <w:numPr>
          <w:ilvl w:val="0"/>
          <w:numId w:val="1"/>
        </w:numPr>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The Registrant’s description of Common Stock, incorporated by reference to Exhibit 4.9 to the Registrant’s Annual Report on Form 10-K for the</w:t>
        </w:r>
      </w:hyperlink>
      <w:r>
        <w:rPr>
          <w:rFonts w:ascii="Arial" w:cs="Arial" w:eastAsia="Arial" w:hAnsi="Arial"/>
          <w:sz w:val="18"/>
          <w:szCs w:val="18"/>
          <w:u w:val="single" w:color="auto"/>
          <w:color w:val="0000EE"/>
        </w:rPr>
        <w:t xml:space="preserve"> </w:t>
      </w:r>
      <w:hyperlink r:id="rId13">
        <w:r>
          <w:rPr>
            <w:rFonts w:ascii="Arial" w:cs="Arial" w:eastAsia="Arial" w:hAnsi="Arial"/>
            <w:sz w:val="18"/>
            <w:szCs w:val="18"/>
            <w:u w:val="single" w:color="auto"/>
            <w:color w:val="0000EE"/>
          </w:rPr>
          <w:t>year ended December 31, 2019.</w:t>
        </w:r>
      </w:hyperlink>
    </w:p>
    <w:p>
      <w:pPr>
        <w:spacing w:after="0" w:line="185" w:lineRule="exact"/>
        <w:rPr>
          <w:rFonts w:ascii="Arial" w:cs="Arial" w:eastAsia="Arial" w:hAnsi="Arial"/>
          <w:sz w:val="18"/>
          <w:szCs w:val="18"/>
          <w:color w:val="auto"/>
        </w:rPr>
      </w:pPr>
    </w:p>
    <w:p>
      <w:pPr>
        <w:ind w:right="20"/>
        <w:spacing w:after="0" w:line="290" w:lineRule="auto"/>
        <w:rPr>
          <w:sz w:val="20"/>
          <w:szCs w:val="20"/>
          <w:color w:val="auto"/>
        </w:rPr>
      </w:pPr>
      <w:r>
        <w:rPr>
          <w:rFonts w:ascii="Arial" w:cs="Arial" w:eastAsia="Arial" w:hAnsi="Arial"/>
          <w:sz w:val="16"/>
          <w:szCs w:val="16"/>
          <w:color w:val="auto"/>
        </w:rPr>
        <w:t>In addition, all documents subsequently filed by the Registrant pursuant to Section 13(a), 13(c), 14 and 15(d) of the Exchange Act, excluding any information furnished under Item 2.02 or Item 7.01 of any Current Report on Form 8-K and corresponding information furnished under Item 9.01 or included as an exhibit, prior to the filing of a post-effective amendment to this Registration Statement which indicates that all securities offered have been sold or which deregisters all such securities then remaining unsold, shall be deemed to be incorporated by reference in this Registration Statement and to be a part hereof from the date of filing of such documents. Any statement contained in a document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Courtney Tippy will issue an opinion regarding the validity of the Registrant’s Common Stock offered hereby. Ms. Tippy is the Registrant’s Vice President and Corporate Secretary. Ms. Tippy currently owns less than .01% of the Registrant’s outstanding Common Stock and is eligible to participate in the 2014 Plan and the 2023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Registrant’s Certificate of Incorporation and By-laws require that it provide indemnification to the maximum extent permitted from time to time under DCGL,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Registrant or any of its direct or indirect subsidiaries or while such a director or officer is or was serving at the request of the Registrant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Registrant is not required to indemnify or advance expenses to any person in connection with any action, suit, proceeding, claim or counterclaim initiated by or on behalf of such person. Such indemnification is not be exclusive of other indemnification rights arising under any By-laws, agreement, vote of directors or stockholders or otherwise and shall inure to the benefit of the heirs and legal representatives of such person. Additionally, the Registrant has direct contractual obligations to provide indemnification to each of the members of its Board of Directors and each of its executive officers. These agreements provide directors and executive officers with the same indemnification by the Registrant as described above and assure directors and executive officers that indemnification will continue to be provided despite future changes in the By-laws of the Registrant.</w:t>
      </w:r>
    </w:p>
    <w:p>
      <w:pPr>
        <w:spacing w:after="0" w:line="17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payments of unlawful dividends or unlawful stock repurchases, redemptions or other distributions, or (iv) for any transaction from which the director derived an improper personal benefit. The Registrant’s Certificate of Incorporation provides that no director will be liable to the Registrant or its stockholders for any breach of fiduciary duty, except as limited under DGCL.</w:t>
      </w:r>
    </w:p>
    <w:p>
      <w:pPr>
        <w:spacing w:after="0" w:line="17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Registrant’s directors and officers are covered by insurance policies indemnifying against certain liabilities, including certain liabilities arising under the Securities Act that might be incurred by them in such capacities and against which the Registrant may not indemnify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5" w:lineRule="exact"/>
        <w:rPr>
          <w:sz w:val="20"/>
          <w:szCs w:val="20"/>
          <w:color w:val="auto"/>
        </w:rPr>
      </w:pPr>
    </w:p>
    <w:p>
      <w:pPr>
        <w:ind w:left="560" w:right="220" w:hanging="561"/>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4.1 — </w:t>
      </w:r>
      <w:hyperlink r:id="rId16">
        <w:r>
          <w:rPr>
            <w:rFonts w:ascii="Arial" w:cs="Arial" w:eastAsia="Arial" w:hAnsi="Arial"/>
            <w:sz w:val="18"/>
            <w:szCs w:val="18"/>
            <w:u w:val="single" w:color="auto"/>
            <w:color w:val="0000EE"/>
          </w:rPr>
          <w:t>Third Restated Certificate of Incorporation (Incorporated by reference to Exhibit 3.1 to the Quarterly Report on Form 10-Q for the quarter ended</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June 30, 2010).</w:t>
        </w:r>
      </w:hyperlink>
    </w:p>
    <w:p>
      <w:pPr>
        <w:spacing w:after="0" w:line="170" w:lineRule="exact"/>
        <w:rPr>
          <w:sz w:val="20"/>
          <w:szCs w:val="20"/>
          <w:color w:val="auto"/>
        </w:rPr>
      </w:pPr>
    </w:p>
    <w:p>
      <w:pPr>
        <w:ind w:left="560" w:right="380" w:hanging="561"/>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4.2 — </w:t>
      </w:r>
      <w:hyperlink r:id="rId17">
        <w:r>
          <w:rPr>
            <w:rFonts w:ascii="Arial" w:cs="Arial" w:eastAsia="Arial" w:hAnsi="Arial"/>
            <w:sz w:val="18"/>
            <w:szCs w:val="18"/>
            <w:u w:val="single" w:color="auto"/>
            <w:color w:val="0000EE"/>
          </w:rPr>
          <w:t>Amended and Restated By-laws of Waste Management, Inc. (Incorporated by reference to Exhibit 3.2 to the Current Report on Form 8-K filed</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November 10, 2022).</w:t>
        </w:r>
      </w:hyperlink>
    </w:p>
    <w:p>
      <w:pPr>
        <w:spacing w:after="0" w:line="170"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4.3 — </w:t>
      </w:r>
      <w:hyperlink r:id="rId18">
        <w:r>
          <w:rPr>
            <w:rFonts w:ascii="Arial" w:cs="Arial" w:eastAsia="Arial" w:hAnsi="Arial"/>
            <w:sz w:val="16"/>
            <w:szCs w:val="16"/>
            <w:u w:val="single" w:color="auto"/>
            <w:color w:val="0000EE"/>
          </w:rPr>
          <w:t>Waste Management, Inc. 2014 Stock Incentive Plan (Incorporated by reference to Exhibit 10.1 to the Current Report on Form 8-K filed May 15,</w:t>
        </w:r>
      </w:hyperlink>
    </w:p>
    <w:p>
      <w:pPr>
        <w:spacing w:after="0" w:line="46" w:lineRule="exact"/>
        <w:rPr>
          <w:sz w:val="20"/>
          <w:szCs w:val="20"/>
          <w:color w:val="auto"/>
        </w:rPr>
      </w:pPr>
    </w:p>
    <w:p>
      <w:pPr>
        <w:ind w:left="560"/>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2014).</w:t>
        </w:r>
      </w:hyperlink>
    </w:p>
    <w:p>
      <w:pPr>
        <w:spacing w:after="0" w:line="211"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4.4 — </w:t>
      </w:r>
      <w:hyperlink r:id="rId19">
        <w:r>
          <w:rPr>
            <w:rFonts w:ascii="Arial" w:cs="Arial" w:eastAsia="Arial" w:hAnsi="Arial"/>
            <w:sz w:val="16"/>
            <w:szCs w:val="16"/>
            <w:u w:val="single" w:color="auto"/>
            <w:color w:val="0000EE"/>
          </w:rPr>
          <w:t>Waste Management, Inc. 2023 Stock Incentive Plan (Incorporated by reference to Exhibit 10.1 to the Current Report on Form 8-K filed May 10,</w:t>
        </w:r>
      </w:hyperlink>
    </w:p>
    <w:p>
      <w:pPr>
        <w:spacing w:after="0" w:line="46" w:lineRule="exact"/>
        <w:rPr>
          <w:sz w:val="20"/>
          <w:szCs w:val="20"/>
          <w:color w:val="auto"/>
        </w:rPr>
      </w:pPr>
    </w:p>
    <w:p>
      <w:pPr>
        <w:ind w:left="560"/>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2023).</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 </w:t>
      </w:r>
      <w:r>
        <w:rPr>
          <w:rFonts w:ascii="Arial" w:cs="Arial" w:eastAsia="Arial" w:hAnsi="Arial"/>
          <w:sz w:val="18"/>
          <w:szCs w:val="18"/>
          <w:u w:val="single" w:color="auto"/>
          <w:color w:val="0000EE"/>
        </w:rPr>
        <w:t>Opinion of Courtney Tippy.</w:t>
      </w:r>
    </w:p>
    <w:p>
      <w:pPr>
        <w:spacing w:after="0" w:line="22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5.2 — </w:t>
      </w:r>
      <w:hyperlink r:id="rId20">
        <w:r>
          <w:rPr>
            <w:rFonts w:ascii="Arial" w:cs="Arial" w:eastAsia="Arial" w:hAnsi="Arial"/>
            <w:sz w:val="16"/>
            <w:szCs w:val="16"/>
            <w:u w:val="single" w:color="auto"/>
            <w:color w:val="0000EE"/>
          </w:rPr>
          <w:t>Opinion of Courtney Tippy (incorporated by reference to Exhibit 5.1 to the Company’s Registration Statement on Form S-8 filed on May 15, 2014).</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 — </w:t>
      </w:r>
      <w:r>
        <w:rPr>
          <w:rFonts w:ascii="Arial" w:cs="Arial" w:eastAsia="Arial" w:hAnsi="Arial"/>
          <w:sz w:val="18"/>
          <w:szCs w:val="18"/>
          <w:u w:val="single" w:color="auto"/>
          <w:color w:val="0000EE"/>
        </w:rPr>
        <w:t>Consent of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23.2 — </w:t>
      </w:r>
      <w:r>
        <w:rPr>
          <w:rFonts w:ascii="Arial" w:cs="Arial" w:eastAsia="Arial" w:hAnsi="Arial"/>
          <w:sz w:val="18"/>
          <w:szCs w:val="18"/>
          <w:u w:val="single" w:color="auto"/>
          <w:color w:val="0000EE"/>
        </w:rPr>
        <w:t>Consent of Courtney Tippy (included as part of the opinion filed as Exhibit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24.1 — </w:t>
      </w:r>
      <w:r>
        <w:rPr>
          <w:rFonts w:ascii="Arial" w:cs="Arial" w:eastAsia="Arial" w:hAnsi="Arial"/>
          <w:sz w:val="18"/>
          <w:szCs w:val="18"/>
          <w:u w:val="single" w:color="auto"/>
          <w:color w:val="0000EE"/>
        </w:rPr>
        <w:t>Power of Attorney (included as part of the signature page to this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right="40" w:firstLine="8"/>
        <w:spacing w:after="0" w:line="293"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right="540" w:firstLine="8"/>
        <w:spacing w:after="0" w:line="277"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84" w:lineRule="exact"/>
        <w:rPr>
          <w:sz w:val="20"/>
          <w:szCs w:val="20"/>
          <w:color w:val="auto"/>
        </w:rPr>
      </w:pPr>
    </w:p>
    <w:p>
      <w:pPr>
        <w:ind w:right="280" w:firstLine="8"/>
        <w:spacing w:after="0" w:line="263"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right="22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ind w:left="-8" w:right="140" w:firstLine="8"/>
        <w:spacing w:after="0" w:line="259" w:lineRule="auto"/>
        <w:tabs>
          <w:tab w:leader="none" w:pos="247"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further undertakes that, for the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6" w:lineRule="exact"/>
        <w:rPr>
          <w:rFonts w:ascii="Arial" w:cs="Arial" w:eastAsia="Arial" w:hAnsi="Arial"/>
          <w:sz w:val="18"/>
          <w:szCs w:val="18"/>
          <w:color w:val="auto"/>
        </w:rPr>
      </w:pPr>
    </w:p>
    <w:p>
      <w:pPr>
        <w:ind w:left="-8" w:firstLine="8"/>
        <w:spacing w:after="0" w:line="271" w:lineRule="auto"/>
        <w:tabs>
          <w:tab w:leader="none" w:pos="237"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414020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The Registrant. </w:t>
      </w:r>
      <w:r>
        <w:rPr>
          <w:rFonts w:ascii="Arial" w:cs="Arial" w:eastAsia="Arial" w:hAnsi="Arial"/>
          <w:sz w:val="18"/>
          <w:szCs w:val="18"/>
          <w:color w:val="auto"/>
        </w:rPr>
        <w:t>Pursuant to the requirements of the Securities Act of 1933, the Registrant certifies that it has reasonable grounds to believe that it meets all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filing on Form S-8 and has duly caused this Registration Statement on Form S-8 to be signed on its behalf by the undersigned, thereunto duly authorized, in the City of Houston, State of Texas on the 16th day of May, 2023.</w:t>
      </w:r>
    </w:p>
    <w:p>
      <w:pPr>
        <w:spacing w:after="0" w:line="180"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WASTE MANAGEMENT, INC.</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6" w:name="page7"/>
    <w:bookmarkEnd w:id="6"/>
    <w:p>
      <w:pPr>
        <w:spacing w:after="0" w:line="270" w:lineRule="auto"/>
        <w:rPr>
          <w:sz w:val="20"/>
          <w:szCs w:val="20"/>
          <w:color w:val="auto"/>
        </w:rPr>
      </w:pPr>
      <w:r>
        <w:rPr>
          <w:rFonts w:ascii="Arial" w:cs="Arial" w:eastAsia="Arial" w:hAnsi="Arial"/>
          <w:sz w:val="17"/>
          <w:szCs w:val="17"/>
          <w:color w:val="auto"/>
        </w:rPr>
        <w:t>Each person whose signature appears below appoints James C. Fish, Jr., Devina A. Rankin and Chuck C. Boettcher, and each of them severally, as his or her true and lawful attorney or attorneys-in-fact and agent or agents, each of whom shall be authorized to act with or without the other, with full power of substitution and resubstitution, for him or her and in his or her name, place and stead in his or her capacity as a director or officer or both, as the case may be, to sign a Registration Statement on Form S-8 and any and all amendments to the Registration Statement and all documents or instruments necessary to comply with the Securities Act of 1933, as amended, and to file the same with the Securities and Exchange Commission, with full power and authority to each of said attorneys-in-fact and agents to do and perform in the name and on behalf of each such director or officer, or both, as the case may be, each and every act whatsoever that is necessary, appropriate or advisable in connection with any or all of the above-described matters and to all intents and purposes as he might or could do in person, hereby ratifying and confirming all that said attorneys-in-fact and agents or any of them or their substitutes, may lawfully do or cause to be done by virtue hereof.</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on the 16th day of May, 2023.</w:t>
      </w:r>
    </w:p>
    <w:p>
      <w:pPr>
        <w:sectPr>
          <w:pgSz w:w="11900" w:h="16838" w:orient="portrait"/>
          <w:cols w:equalWidth="0" w:num="1">
            <w:col w:w="11180"/>
          </w:cols>
          <w:pgMar w:left="320" w:top="908" w:right="399" w:bottom="1440" w:gutter="0" w:footer="0" w:header="0"/>
        </w:sectPr>
      </w:pPr>
    </w:p>
    <w:p>
      <w:pPr>
        <w:spacing w:after="0" w:line="166"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89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250" w:lineRule="exact"/>
        <w:rPr>
          <w:sz w:val="20"/>
          <w:szCs w:val="20"/>
          <w:color w:val="auto"/>
        </w:rPr>
      </w:pPr>
    </w:p>
    <w:p>
      <w:pPr>
        <w:jc w:val="center"/>
        <w:ind w:right="540"/>
        <w:spacing w:after="0"/>
        <w:rPr>
          <w:sz w:val="20"/>
          <w:szCs w:val="20"/>
          <w:color w:val="auto"/>
        </w:rPr>
      </w:pPr>
      <w:r>
        <w:rPr>
          <w:rFonts w:ascii="Arial" w:cs="Arial" w:eastAsia="Arial" w:hAnsi="Arial"/>
          <w:sz w:val="18"/>
          <w:szCs w:val="18"/>
          <w:i w:val="1"/>
          <w:iCs w:val="1"/>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9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James C. Fish, Jr.</w:t>
      </w:r>
    </w:p>
    <w:p>
      <w:pPr>
        <w:spacing w:after="0" w:line="251" w:lineRule="exact"/>
        <w:rPr>
          <w:sz w:val="20"/>
          <w:szCs w:val="20"/>
          <w:color w:val="auto"/>
        </w:rPr>
      </w:pPr>
    </w:p>
    <w:p>
      <w:pPr>
        <w:jc w:val="center"/>
        <w:ind w:right="540"/>
        <w:spacing w:after="0"/>
        <w:rPr>
          <w:sz w:val="20"/>
          <w:szCs w:val="20"/>
          <w:color w:val="auto"/>
        </w:rPr>
      </w:pPr>
      <w:r>
        <w:rPr>
          <w:rFonts w:ascii="Arial" w:cs="Arial" w:eastAsia="Arial" w:hAnsi="Arial"/>
          <w:sz w:val="18"/>
          <w:szCs w:val="18"/>
          <w:i w:val="1"/>
          <w:iCs w:val="1"/>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9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Devina A. Rankin</w:t>
      </w:r>
    </w:p>
    <w:p>
      <w:pPr>
        <w:spacing w:after="0" w:line="251" w:lineRule="exact"/>
        <w:rPr>
          <w:sz w:val="20"/>
          <w:szCs w:val="20"/>
          <w:color w:val="auto"/>
        </w:rPr>
      </w:pPr>
    </w:p>
    <w:p>
      <w:pPr>
        <w:jc w:val="center"/>
        <w:ind w:right="540"/>
        <w:spacing w:after="0"/>
        <w:rPr>
          <w:sz w:val="20"/>
          <w:szCs w:val="20"/>
          <w:color w:val="auto"/>
        </w:rPr>
      </w:pPr>
      <w:r>
        <w:rPr>
          <w:rFonts w:ascii="Arial" w:cs="Arial" w:eastAsia="Arial" w:hAnsi="Arial"/>
          <w:sz w:val="18"/>
          <w:szCs w:val="18"/>
          <w:i w:val="1"/>
          <w:iCs w:val="1"/>
          <w:color w:val="auto"/>
        </w:rPr>
        <w:t>/s/ John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9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John Carroll</w:t>
      </w:r>
    </w:p>
    <w:p>
      <w:pPr>
        <w:spacing w:after="0" w:line="251" w:lineRule="exact"/>
        <w:rPr>
          <w:sz w:val="20"/>
          <w:szCs w:val="20"/>
          <w:color w:val="auto"/>
        </w:rPr>
      </w:pPr>
    </w:p>
    <w:p>
      <w:pPr>
        <w:jc w:val="center"/>
        <w:ind w:right="540"/>
        <w:spacing w:after="0"/>
        <w:rPr>
          <w:sz w:val="20"/>
          <w:szCs w:val="20"/>
          <w:color w:val="auto"/>
        </w:rPr>
      </w:pPr>
      <w:r>
        <w:rPr>
          <w:rFonts w:ascii="Arial" w:cs="Arial" w:eastAsia="Arial" w:hAnsi="Arial"/>
          <w:sz w:val="18"/>
          <w:szCs w:val="18"/>
          <w:i w:val="1"/>
          <w:iCs w:val="1"/>
          <w:color w:val="auto"/>
        </w:rPr>
        <w:t>/s/ Bruce E. Chinn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9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Bruce E. Chinn</w:t>
      </w:r>
    </w:p>
    <w:p>
      <w:pPr>
        <w:spacing w:after="0" w:line="251" w:lineRule="exact"/>
        <w:rPr>
          <w:sz w:val="20"/>
          <w:szCs w:val="20"/>
          <w:color w:val="auto"/>
        </w:rPr>
      </w:pPr>
    </w:p>
    <w:p>
      <w:pPr>
        <w:jc w:val="center"/>
        <w:ind w:right="540"/>
        <w:spacing w:after="0"/>
        <w:rPr>
          <w:sz w:val="20"/>
          <w:szCs w:val="20"/>
          <w:color w:val="auto"/>
        </w:rPr>
      </w:pPr>
      <w:r>
        <w:rPr>
          <w:rFonts w:ascii="Arial" w:cs="Arial" w:eastAsia="Arial" w:hAnsi="Arial"/>
          <w:sz w:val="18"/>
          <w:szCs w:val="18"/>
          <w:i w:val="1"/>
          <w:iCs w:val="1"/>
          <w:color w:val="auto"/>
        </w:rPr>
        <w:t>/s/ Andrés R. Gluski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9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Andrés R. Gluski</w:t>
      </w:r>
    </w:p>
    <w:p>
      <w:pPr>
        <w:spacing w:after="0" w:line="238" w:lineRule="exact"/>
        <w:rPr>
          <w:sz w:val="20"/>
          <w:szCs w:val="20"/>
          <w:color w:val="auto"/>
        </w:rPr>
      </w:pPr>
    </w:p>
    <w:p>
      <w:pPr>
        <w:jc w:val="center"/>
        <w:ind w:right="540"/>
        <w:spacing w:after="0"/>
        <w:rPr>
          <w:sz w:val="20"/>
          <w:szCs w:val="20"/>
          <w:color w:val="auto"/>
        </w:rPr>
      </w:pPr>
      <w:r>
        <w:rPr>
          <w:rFonts w:ascii="Arial" w:cs="Arial" w:eastAsia="Arial" w:hAnsi="Arial"/>
          <w:sz w:val="18"/>
          <w:szCs w:val="18"/>
          <w:i w:val="1"/>
          <w:iCs w:val="1"/>
          <w:color w:val="auto"/>
        </w:rPr>
        <w:t>/s/ Victoria M.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9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1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Victoria M. Holt</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6"/>
          <w:szCs w:val="16"/>
          <w:i w:val="1"/>
          <w:iCs w:val="1"/>
          <w:color w:val="auto"/>
        </w:rPr>
        <w:t>/s/ Kathleen M. Mazzarella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89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Kathleen M. Mazzarella</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i w:val="1"/>
          <w:iCs w:val="1"/>
          <w:color w:val="auto"/>
        </w:rPr>
        <w:t>/s/ Sean E.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9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89325" cy="8890"/>
                    </a:xfrm>
                    <a:prstGeom prst="rect">
                      <a:avLst/>
                    </a:prstGeom>
                    <a:noFill/>
                  </pic:spPr>
                </pic:pic>
              </a:graphicData>
            </a:graphic>
          </wp:anchor>
        </w:drawing>
      </w:r>
    </w:p>
    <w:p>
      <w:pPr>
        <w:spacing w:after="0" w:line="1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Sean E. Menke</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i w:val="1"/>
          <w:iCs w:val="1"/>
          <w:color w:val="auto"/>
        </w:rPr>
        <w:t>/s/ William B. Plummer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1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William B. Plummer</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i w:val="1"/>
          <w:iCs w:val="1"/>
          <w:color w:val="auto"/>
        </w:rPr>
        <w:t>/s/ John C.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9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89325" cy="8890"/>
                    </a:xfrm>
                    <a:prstGeom prst="rect">
                      <a:avLst/>
                    </a:prstGeom>
                    <a:noFill/>
                  </pic:spPr>
                </pic:pic>
              </a:graphicData>
            </a:graphic>
          </wp:anchor>
        </w:drawing>
      </w:r>
    </w:p>
    <w:p>
      <w:pPr>
        <w:spacing w:after="0" w:line="1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John C. Pope</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7"/>
          <w:szCs w:val="17"/>
          <w:i w:val="1"/>
          <w:iCs w:val="1"/>
          <w:color w:val="auto"/>
        </w:rPr>
        <w:t>/s/ Maryrose T. Sylvester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489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89325" cy="8890"/>
                    </a:xfrm>
                    <a:prstGeom prst="rect">
                      <a:avLst/>
                    </a:prstGeom>
                    <a:noFill/>
                  </pic:spPr>
                </pic:pic>
              </a:graphicData>
            </a:graphic>
          </wp:anchor>
        </w:drawing>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Maryrose T. Sylvester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3489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263"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President, Chief Executive Officer and Director</w:t>
      </w:r>
    </w:p>
    <w:p>
      <w:pPr>
        <w:spacing w:after="0" w:line="46"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Executive Vice President and Chief Financial</w:t>
      </w:r>
    </w:p>
    <w:p>
      <w:pPr>
        <w:spacing w:after="0" w:line="3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Officer (Principal Financial Officer)</w:t>
      </w:r>
    </w:p>
    <w:p>
      <w:pPr>
        <w:spacing w:after="0" w:line="251"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Vice President and Chief Accounting Officer</w:t>
      </w:r>
    </w:p>
    <w:p>
      <w:pPr>
        <w:spacing w:after="0" w:line="3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Chairman of the Board and Director</w:t>
      </w:r>
    </w:p>
    <w:p>
      <w:pPr>
        <w:spacing w:after="0" w:line="200" w:lineRule="exact"/>
        <w:rPr>
          <w:sz w:val="20"/>
          <w:szCs w:val="20"/>
          <w:color w:val="auto"/>
        </w:rPr>
      </w:pPr>
    </w:p>
    <w:p>
      <w:pPr>
        <w:spacing w:after="0" w:line="28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589280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6060" w:space="720"/>
            <w:col w:w="4400"/>
          </w:cols>
          <w:pgMar w:left="320" w:top="908" w:right="39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[WMI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 am Vice President and Corporate Secretary for Waste Management, Inc., a Delaware corporation (the “Company”), and have acted as General Counsel – Securities &amp; Governance in connection with the registration under the Securities Act of 1933, as amended (the “Act”), of 15,160,725 shares of the Company’s common stock, $0.01 par value (the “Common Stock”), to be offered pursuant to the Company’s 2023 Stock Incentive Plan, upon the terms and subject to the conditions set forth in Registration Statement No. 333-195980 on Form S-8 and Post-Effective Amendment No. 1 thereto to be filed with the Securities and Exchange Commission on or about May 16, 2023 (collectively, the “Registration Statement”).</w:t>
      </w:r>
    </w:p>
    <w:p>
      <w:pPr>
        <w:spacing w:after="0" w:line="17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connection therewith, I have examined originals or copies certified or otherwise identified to my satisfaction of the Registration Statement, the Certificate of Incorporation of the Company, as restated to date, the By-laws of the Company, as amended and restated to date, the Waste Management, Inc. 2023 Stock Incentive Plan (the “Plan”), the resolutions of the Board of Directors and records of the Annual Meeting of Stockholders of the Company relating to adoption and approval of the Plan, and such other documents and instruments as I have deemed necessary or appropriate for the expression of the opinions contained herein.</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 have assumed the genuineness of all signatures, the authenticity and completeness of all records, certificates and other instruments submitted to me as originals, the conformity to original documents of all records, certificates and other instruments submitted to me as copies, the correctness of all statements of fact contained in all records, certificates and other instruments that I have examined and the legal capacity to sign of all individuals executing records, certificates and other instruments.</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Based on the foregoing, and having a regard for such legal considerations as I have deemed relevant, I am of the opinion that any original issuance shares of Common Stock that may be issued pursuant to the Plan have been duly authorized, and subject to the effectiveness of the Registration Statement, the shares of Common Stock issued and paid for in accordance with the Registration Statement and the Plan for the consideration provided for therein will be validly issued, fully paid and non-assessable.</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 hereby consent to the filing of this opinion as an exhibit to the Registration Statement, and I further consent to the use of my name in the Registration Statement and the prospectus that forms a part thereof. In giving this consent, I do not admit thereby that I come within the category of person whose consent is required under Section 7 of the Securities Act of 1933, as amended, or the rules and regulations of the Securities and Exchange Commission promulgated thereunder.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Courtney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Courtney Tippy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and Corporate Secretary of Waste Management,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Counsel – Securities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333333"/>
        </w:rPr>
        <w:t>We consent to the incorporation by reference in the Post-Effective Amendment No. 1 to Registration Statement on Form S-8 (Registration No. 333-195980) pertaining to the Waste Management, Inc. 2014 Stock Incentive Plan and the Waste Management, Inc. 2023 Stock Incentive Plan of our reports dated February 7, 2023, with respect to the consolidated financial statements of Waste Management, Inc. and the effectiveness of internal control over financial reporting of Waste Management, Inc. included in its Annual Report (Form 10-K) for the year ended December 31, 2022, filed with the Securities and Exchange Commission.</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10" Type="http://schemas.openxmlformats.org/officeDocument/2006/relationships/hyperlink" Target="https://www.sec.gov/ix?doc=/Archives/edgar/data/823768/000155837023000964/wm-20221231x10k.htm" TargetMode="External"/><Relationship Id="rId11" Type="http://schemas.openxmlformats.org/officeDocument/2006/relationships/hyperlink" Target="https://www.sec.gov/ix?doc=/Archives/edgar/data/823768/000155837023007024/wm-20230331x10q.htm" TargetMode="External"/><Relationship Id="rId12" Type="http://schemas.openxmlformats.org/officeDocument/2006/relationships/hyperlink" Target="https://www.sec.gov/ix?doc=/Archives/edgar/data/823768/000110465923058503/tm2315236d1_8k.htm" TargetMode="External"/><Relationship Id="rId13" Type="http://schemas.openxmlformats.org/officeDocument/2006/relationships/hyperlink" Target="https://www.sec.gov/Archives/edgar/data/823768/000155837020000762/ex-4d9.htm" TargetMode="External"/><Relationship Id="rId16" Type="http://schemas.openxmlformats.org/officeDocument/2006/relationships/hyperlink" Target="https://www.sec.gov/Archives/edgar/data/823768/000095012310070947/h74168exv3w1.htm" TargetMode="External"/><Relationship Id="rId17" Type="http://schemas.openxmlformats.org/officeDocument/2006/relationships/hyperlink" Target="https://www.sec.gov/Archives/edgar/data/823768/000110465922117214/tm2230189d1_ex3-2.htm" TargetMode="External"/><Relationship Id="rId18" Type="http://schemas.openxmlformats.org/officeDocument/2006/relationships/hyperlink" Target="https://www.sec.gov/Archives/edgar/data/823768/000119312514200494/d726417dex101.htm" TargetMode="External"/><Relationship Id="rId19" Type="http://schemas.openxmlformats.org/officeDocument/2006/relationships/hyperlink" Target="https://www.sec.gov/Archives/edgar/data/823768/000110465923058503/tm2315236d1_ex10-1.htm" TargetMode="External"/><Relationship Id="rId20" Type="http://schemas.openxmlformats.org/officeDocument/2006/relationships/hyperlink" Target="https://www.sec.gov/Archives/edgar/data/823768/000119312514201254/d726194dex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2023-05-16T11:05:06Z</dcterms:created>
  <dcterms:modified xsi:type="dcterms:W3CDTF">2023-05-16T11:05:06Z</dcterms:modified>
</cp:coreProperties>
</file>