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333-207628</w:t>
      </w:r>
    </w:p>
    <w:p>
      <w:pPr>
        <w:spacing w:after="0" w:line="143"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C21128"/>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color w:val="C21128"/>
        </w:rPr>
        <w:t>SUBJECT TO COMPLETION, DATED MAY 9, 2016</w:t>
      </w:r>
    </w:p>
    <w:p>
      <w:pPr>
        <w:spacing w:after="0" w:line="252"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Prospectus</w:t>
      </w:r>
      <w:r>
        <w:rPr>
          <w:sz w:val="20"/>
          <w:szCs w:val="20"/>
          <w:color w:val="auto"/>
        </w:rPr>
        <w:tab/>
      </w:r>
      <w:r>
        <w:rPr>
          <w:rFonts w:ascii="Arial" w:cs="Arial" w:eastAsia="Arial" w:hAnsi="Arial"/>
          <w:sz w:val="16"/>
          <w:szCs w:val="16"/>
          <w:u w:val="single" w:color="auto"/>
          <w:color w:val="auto"/>
        </w:rPr>
        <w:t>Supplement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October 27, 2015)</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118110</wp:posOffset>
            </wp:positionV>
            <wp:extent cx="141478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left="320"/>
        <w:spacing w:after="0"/>
        <w:rPr>
          <w:sz w:val="20"/>
          <w:szCs w:val="20"/>
          <w:color w:val="auto"/>
        </w:rPr>
      </w:pPr>
      <w:r>
        <w:rPr>
          <w:rFonts w:ascii="Arial" w:cs="Arial" w:eastAsia="Arial" w:hAnsi="Arial"/>
          <w:sz w:val="25"/>
          <w:szCs w:val="25"/>
          <w:b w:val="1"/>
          <w:bCs w:val="1"/>
          <w:color w:val="auto"/>
        </w:rPr>
        <w:t>% Senior Notes due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243840</wp:posOffset>
            </wp:positionV>
            <wp:extent cx="1380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left="800"/>
        <w:spacing w:after="0"/>
        <w:tabs>
          <w:tab w:leader="none" w:pos="3620" w:val="left"/>
          <w:tab w:leader="none" w:pos="5440" w:val="left"/>
          <w:tab w:leader="none" w:pos="9220" w:val="left"/>
        </w:tabs>
        <w:rPr>
          <w:sz w:val="20"/>
          <w:szCs w:val="20"/>
          <w:color w:val="auto"/>
        </w:rPr>
      </w:pPr>
      <w:r>
        <w:rPr>
          <w:rFonts w:ascii="Arial" w:cs="Arial" w:eastAsia="Arial" w:hAnsi="Arial"/>
          <w:sz w:val="18"/>
          <w:szCs w:val="18"/>
          <w:color w:val="auto"/>
        </w:rPr>
        <w:t>We are offering $500 million of our</w:t>
        <w:tab/>
        <w:t>% senior notes due</w:t>
      </w:r>
      <w:r>
        <w:rPr>
          <w:sz w:val="20"/>
          <w:szCs w:val="20"/>
          <w:color w:val="auto"/>
        </w:rPr>
        <w:tab/>
      </w:r>
      <w:r>
        <w:rPr>
          <w:rFonts w:ascii="Arial" w:cs="Arial" w:eastAsia="Arial" w:hAnsi="Arial"/>
          <w:sz w:val="18"/>
          <w:szCs w:val="18"/>
          <w:color w:val="auto"/>
        </w:rPr>
        <w:t>. Interest on the notes will accrue from</w:t>
      </w:r>
      <w:r>
        <w:rPr>
          <w:sz w:val="20"/>
          <w:szCs w:val="20"/>
          <w:color w:val="auto"/>
        </w:rPr>
        <w:tab/>
      </w:r>
      <w:r>
        <w:rPr>
          <w:rFonts w:ascii="Arial" w:cs="Arial" w:eastAsia="Arial" w:hAnsi="Arial"/>
          <w:sz w:val="16"/>
          <w:szCs w:val="16"/>
          <w:color w:val="auto"/>
        </w:rPr>
        <w:t>, 2016 and will be payable on</w:t>
      </w:r>
    </w:p>
    <w:p>
      <w:pPr>
        <w:spacing w:after="0" w:line="23" w:lineRule="exact"/>
        <w:rPr>
          <w:sz w:val="24"/>
          <w:szCs w:val="24"/>
          <w:color w:val="auto"/>
        </w:rPr>
      </w:pPr>
    </w:p>
    <w:p>
      <w:pPr>
        <w:ind w:left="420"/>
        <w:spacing w:after="0"/>
        <w:tabs>
          <w:tab w:leader="none" w:pos="1100" w:val="left"/>
          <w:tab w:leader="none" w:pos="3740" w:val="left"/>
          <w:tab w:leader="none" w:pos="6700" w:val="left"/>
          <w:tab w:leader="none" w:pos="72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w:t>
      </w:r>
      <w:r>
        <w:rPr>
          <w:sz w:val="20"/>
          <w:szCs w:val="20"/>
          <w:color w:val="auto"/>
        </w:rPr>
        <w:tab/>
      </w:r>
      <w:r>
        <w:rPr>
          <w:rFonts w:ascii="Arial" w:cs="Arial" w:eastAsia="Arial" w:hAnsi="Arial"/>
          <w:sz w:val="18"/>
          <w:szCs w:val="18"/>
          <w:color w:val="auto"/>
        </w:rPr>
        <w:t>, 2016. The notes will mature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11" w:lineRule="exact"/>
        <w:rPr>
          <w:sz w:val="24"/>
          <w:szCs w:val="24"/>
          <w:color w:val="auto"/>
        </w:rPr>
      </w:pPr>
    </w:p>
    <w:p>
      <w:pPr>
        <w:ind w:right="40" w:firstLine="799"/>
        <w:spacing w:after="0" w:line="264" w:lineRule="auto"/>
        <w:rPr>
          <w:sz w:val="20"/>
          <w:szCs w:val="20"/>
          <w:color w:val="auto"/>
        </w:rPr>
      </w:pPr>
      <w:r>
        <w:rPr>
          <w:rFonts w:ascii="Arial" w:cs="Arial" w:eastAsia="Arial" w:hAnsi="Arial"/>
          <w:sz w:val="18"/>
          <w:szCs w:val="18"/>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81" w:lineRule="exact"/>
        <w:rPr>
          <w:sz w:val="24"/>
          <w:szCs w:val="24"/>
          <w:color w:val="auto"/>
        </w:rPr>
      </w:pPr>
    </w:p>
    <w:p>
      <w:pPr>
        <w:ind w:right="540" w:firstLine="799"/>
        <w:spacing w:after="0" w:line="308" w:lineRule="auto"/>
        <w:rPr>
          <w:sz w:val="20"/>
          <w:szCs w:val="20"/>
          <w:color w:val="auto"/>
        </w:rPr>
      </w:pPr>
      <w:r>
        <w:rPr>
          <w:rFonts w:ascii="Arial" w:cs="Arial" w:eastAsia="Arial" w:hAnsi="Arial"/>
          <w:sz w:val="17"/>
          <w:szCs w:val="17"/>
          <w:color w:val="auto"/>
        </w:rPr>
        <w:t>We may redeem the notes, in whole or in part, at any time at the redemption prices described beginning on page S-13. If a change of control triggering event as described beginning on page S-16 occurs, we may be required to offer to purchase the notes from holders.</w:t>
      </w:r>
    </w:p>
    <w:p>
      <w:pPr>
        <w:spacing w:after="0" w:line="133" w:lineRule="exact"/>
        <w:rPr>
          <w:sz w:val="24"/>
          <w:szCs w:val="24"/>
          <w:color w:val="auto"/>
        </w:rPr>
      </w:pPr>
    </w:p>
    <w:p>
      <w:pPr>
        <w:ind w:right="200" w:firstLine="79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 of this prospectus supplement and page 6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206375</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180" w:firstLine="79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209550</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tbl>
      <w:tblPr>
        <w:tblLayout w:type="fixed"/>
        <w:tblInd w:w="84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Per Note</w:t>
            </w:r>
          </w:p>
        </w:tc>
        <w:tc>
          <w:tcPr>
            <w:tcW w:w="218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0"/>
        </w:trPr>
        <w:tc>
          <w:tcPr>
            <w:tcW w:w="4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1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Underwriting Discount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0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(excluding expenses)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85725</wp:posOffset>
            </wp:positionV>
            <wp:extent cx="943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ind w:left="800"/>
              <w:spacing w:after="0"/>
              <w:rPr>
                <w:sz w:val="20"/>
                <w:szCs w:val="20"/>
                <w:color w:val="auto"/>
              </w:rPr>
            </w:pPr>
            <w:r>
              <w:rPr>
                <w:rFonts w:ascii="Arial" w:cs="Arial" w:eastAsia="Arial" w:hAnsi="Arial"/>
                <w:sz w:val="18"/>
                <w:szCs w:val="18"/>
                <w:color w:val="auto"/>
              </w:rPr>
              <w:t>(1)</w:t>
            </w:r>
          </w:p>
        </w:tc>
        <w:tc>
          <w:tcPr>
            <w:tcW w:w="2560" w:type="dxa"/>
            <w:vAlign w:val="bottom"/>
          </w:tcPr>
          <w:p>
            <w:pPr>
              <w:ind w:left="180"/>
              <w:spacing w:after="0"/>
              <w:rPr>
                <w:sz w:val="20"/>
                <w:szCs w:val="20"/>
                <w:color w:val="auto"/>
              </w:rPr>
            </w:pPr>
            <w:r>
              <w:rPr>
                <w:rFonts w:ascii="Arial" w:cs="Arial" w:eastAsia="Arial" w:hAnsi="Arial"/>
                <w:sz w:val="18"/>
                <w:szCs w:val="18"/>
                <w:color w:val="auto"/>
              </w:rPr>
              <w:t>Plus accrued interest from</w:t>
            </w:r>
          </w:p>
        </w:tc>
        <w:tc>
          <w:tcPr>
            <w:tcW w:w="7660" w:type="dxa"/>
            <w:vAlign w:val="bottom"/>
            <w:gridSpan w:val="4"/>
          </w:tcPr>
          <w:p>
            <w:pPr>
              <w:ind w:left="480"/>
              <w:spacing w:after="0"/>
              <w:rPr>
                <w:sz w:val="20"/>
                <w:szCs w:val="20"/>
                <w:color w:val="auto"/>
              </w:rPr>
            </w:pPr>
            <w:r>
              <w:rPr>
                <w:rFonts w:ascii="Arial" w:cs="Arial" w:eastAsia="Arial" w:hAnsi="Arial"/>
                <w:sz w:val="18"/>
                <w:szCs w:val="18"/>
                <w:color w:val="auto"/>
              </w:rPr>
              <w:t>, 2016 if delivery occurs after that date.</w:t>
            </w:r>
          </w:p>
        </w:tc>
      </w:tr>
      <w:tr>
        <w:trPr>
          <w:trHeight w:val="432"/>
        </w:trPr>
        <w:tc>
          <w:tcPr>
            <w:tcW w:w="11420" w:type="dxa"/>
            <w:vAlign w:val="bottom"/>
            <w:gridSpan w:val="6"/>
          </w:tcPr>
          <w:p>
            <w:pPr>
              <w:ind w:left="80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tc>
      </w:tr>
      <w:tr>
        <w:trPr>
          <w:trHeight w:val="418"/>
        </w:trPr>
        <w:tc>
          <w:tcPr>
            <w:tcW w:w="6700" w:type="dxa"/>
            <w:vAlign w:val="bottom"/>
            <w:gridSpan w:val="4"/>
          </w:tcPr>
          <w:p>
            <w:pPr>
              <w:ind w:left="800"/>
              <w:spacing w:after="0"/>
              <w:rPr>
                <w:sz w:val="20"/>
                <w:szCs w:val="20"/>
                <w:color w:val="auto"/>
              </w:rPr>
            </w:pPr>
            <w:r>
              <w:rPr>
                <w:rFonts w:ascii="Arial" w:cs="Arial" w:eastAsia="Arial" w:hAnsi="Arial"/>
                <w:sz w:val="18"/>
                <w:szCs w:val="18"/>
                <w:color w:val="auto"/>
              </w:rPr>
              <w:t>The underwriters expect to deliver the notes to investors on or about</w:t>
            </w: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 2016 only in book-entry form through the facilities of The</w:t>
            </w:r>
          </w:p>
        </w:tc>
      </w:tr>
      <w:tr>
        <w:trPr>
          <w:trHeight w:val="230"/>
        </w:trPr>
        <w:tc>
          <w:tcPr>
            <w:tcW w:w="11420" w:type="dxa"/>
            <w:vAlign w:val="bottom"/>
            <w:gridSpan w:val="6"/>
          </w:tcPr>
          <w:p>
            <w:pPr>
              <w:spacing w:after="0"/>
              <w:rPr>
                <w:sz w:val="20"/>
                <w:szCs w:val="20"/>
                <w:color w:val="auto"/>
              </w:rPr>
            </w:pPr>
            <w:r>
              <w:rPr>
                <w:rFonts w:ascii="Arial" w:cs="Arial" w:eastAsia="Arial" w:hAnsi="Arial"/>
                <w:sz w:val="18"/>
                <w:szCs w:val="18"/>
                <w:color w:val="auto"/>
                <w:w w:val="95"/>
              </w:rPr>
              <w:t>Depository Trust Company and its participants, including Clearstream Banking S.A. and Euroclear Bank SA/NV, as operator of the Euroclear System.</w:t>
            </w:r>
          </w:p>
        </w:tc>
      </w:tr>
      <w:tr>
        <w:trPr>
          <w:trHeight w:val="351"/>
        </w:trPr>
        <w:tc>
          <w:tcPr>
            <w:tcW w:w="1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Borders>
              <w:bottom w:val="single" w:sz="8" w:color="auto"/>
            </w:tcBorders>
            <w:gridSpan w:val="2"/>
          </w:tcPr>
          <w:p>
            <w:pPr>
              <w:spacing w:after="0"/>
              <w:rPr>
                <w:sz w:val="24"/>
                <w:szCs w:val="24"/>
                <w:color w:val="auto"/>
              </w:rPr>
            </w:pPr>
          </w:p>
        </w:tc>
        <w:tc>
          <w:tcPr>
            <w:tcW w:w="4620" w:type="dxa"/>
            <w:vAlign w:val="bottom"/>
          </w:tcPr>
          <w:p>
            <w:pPr>
              <w:spacing w:after="0"/>
              <w:rPr>
                <w:sz w:val="24"/>
                <w:szCs w:val="24"/>
                <w:color w:val="auto"/>
              </w:rPr>
            </w:pPr>
          </w:p>
        </w:tc>
      </w:tr>
      <w:tr>
        <w:trPr>
          <w:trHeight w:val="426"/>
        </w:trPr>
        <w:tc>
          <w:tcPr>
            <w:tcW w:w="1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60" w:type="dxa"/>
            <w:vAlign w:val="bottom"/>
            <w:gridSpan w:val="4"/>
          </w:tcPr>
          <w:p>
            <w:pPr>
              <w:ind w:left="840"/>
              <w:spacing w:after="0"/>
              <w:rPr>
                <w:sz w:val="20"/>
                <w:szCs w:val="20"/>
                <w:color w:val="auto"/>
              </w:rPr>
            </w:pPr>
            <w:r>
              <w:rPr>
                <w:rFonts w:ascii="Arial" w:cs="Arial" w:eastAsia="Arial" w:hAnsi="Arial"/>
                <w:sz w:val="18"/>
                <w:szCs w:val="18"/>
                <w:i w:val="1"/>
                <w:iCs w:val="1"/>
                <w:color w:val="auto"/>
              </w:rPr>
              <w:t>Joint Book-Running Managers</w:t>
            </w:r>
          </w:p>
        </w:tc>
      </w:tr>
      <w:tr>
        <w:trPr>
          <w:trHeight w:val="623"/>
        </w:trPr>
        <w:tc>
          <w:tcPr>
            <w:tcW w:w="3760" w:type="dxa"/>
            <w:vAlign w:val="bottom"/>
            <w:gridSpan w:val="2"/>
          </w:tcPr>
          <w:p>
            <w:pPr>
              <w:spacing w:after="0"/>
              <w:rPr>
                <w:sz w:val="20"/>
                <w:szCs w:val="20"/>
                <w:color w:val="auto"/>
              </w:rPr>
            </w:pPr>
            <w:r>
              <w:rPr>
                <w:rFonts w:ascii="Arial" w:cs="Arial" w:eastAsia="Arial" w:hAnsi="Arial"/>
                <w:sz w:val="32"/>
                <w:szCs w:val="32"/>
                <w:b w:val="1"/>
                <w:bCs w:val="1"/>
                <w:color w:val="auto"/>
              </w:rPr>
              <w:t>BofA Merrill Lynch</w:t>
            </w:r>
          </w:p>
        </w:tc>
        <w:tc>
          <w:tcPr>
            <w:tcW w:w="860" w:type="dxa"/>
            <w:vAlign w:val="bottom"/>
          </w:tcPr>
          <w:p>
            <w:pPr>
              <w:spacing w:after="0"/>
              <w:rPr>
                <w:sz w:val="24"/>
                <w:szCs w:val="24"/>
                <w:color w:val="auto"/>
              </w:rPr>
            </w:pPr>
          </w:p>
        </w:tc>
        <w:tc>
          <w:tcPr>
            <w:tcW w:w="2080" w:type="dxa"/>
            <w:vAlign w:val="bottom"/>
          </w:tcPr>
          <w:p>
            <w:pPr>
              <w:ind w:left="720"/>
              <w:spacing w:after="0"/>
              <w:rPr>
                <w:sz w:val="20"/>
                <w:szCs w:val="20"/>
                <w:color w:val="auto"/>
              </w:rPr>
            </w:pPr>
            <w:r>
              <w:rPr>
                <w:rFonts w:ascii="Arial" w:cs="Arial" w:eastAsia="Arial" w:hAnsi="Arial"/>
                <w:sz w:val="32"/>
                <w:szCs w:val="32"/>
                <w:b w:val="1"/>
                <w:bCs w:val="1"/>
                <w:color w:val="auto"/>
                <w:w w:val="94"/>
              </w:rPr>
              <w:t>Citigroup</w:t>
            </w:r>
          </w:p>
        </w:tc>
        <w:tc>
          <w:tcPr>
            <w:tcW w:w="100" w:type="dxa"/>
            <w:vAlign w:val="bottom"/>
          </w:tcPr>
          <w:p>
            <w:pPr>
              <w:spacing w:after="0"/>
              <w:rPr>
                <w:sz w:val="24"/>
                <w:szCs w:val="24"/>
                <w:color w:val="auto"/>
              </w:rPr>
            </w:pPr>
          </w:p>
        </w:tc>
        <w:tc>
          <w:tcPr>
            <w:tcW w:w="4620" w:type="dxa"/>
            <w:vAlign w:val="bottom"/>
          </w:tcPr>
          <w:p>
            <w:pPr>
              <w:ind w:left="2120"/>
              <w:spacing w:after="0"/>
              <w:rPr>
                <w:sz w:val="20"/>
                <w:szCs w:val="20"/>
                <w:color w:val="auto"/>
              </w:rPr>
            </w:pPr>
            <w:r>
              <w:rPr>
                <w:rFonts w:ascii="Arial" w:cs="Arial" w:eastAsia="Arial" w:hAnsi="Arial"/>
                <w:sz w:val="32"/>
                <w:szCs w:val="32"/>
                <w:b w:val="1"/>
                <w:bCs w:val="1"/>
                <w:color w:val="auto"/>
                <w:w w:val="91"/>
              </w:rPr>
              <w:t>Mizuho Securities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213360</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51"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color w:val="auto"/>
        </w:rPr>
        <w:t>May</w:t>
        <w:tab/>
        <w:t>, 2016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198755</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b w:val="1"/>
                <w:bCs w:val="1"/>
                <w:color w:val="auto"/>
              </w:rPr>
              <w:t>Prospectus Supplement</w:t>
            </w:r>
          </w:p>
        </w:tc>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Page</w:t>
            </w:r>
          </w:p>
        </w:tc>
        <w:tc>
          <w:tcPr>
            <w:tcW w:w="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00" w:type="dxa"/>
            <w:vAlign w:val="bottom"/>
            <w:gridSpan w:val="2"/>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S</w:t>
              </w:r>
              <w:r>
                <w:rPr>
                  <w:rFonts w:ascii="Arial" w:cs="Arial" w:eastAsia="Arial" w:hAnsi="Arial"/>
                  <w:sz w:val="15"/>
                  <w:szCs w:val="15"/>
                  <w:color w:val="0000EE"/>
                  <w:w w:val="99"/>
                </w:rPr>
                <w:t>UMMARY</w:t>
              </w:r>
            </w:hyperlink>
          </w:p>
        </w:tc>
        <w:tc>
          <w:tcPr>
            <w:tcW w:w="10180" w:type="dxa"/>
            <w:vAlign w:val="bottom"/>
            <w:gridSpan w:val="22"/>
            <w:vMerge w:val="restart"/>
          </w:tcPr>
          <w:p>
            <w:pPr>
              <w:spacing w:after="0"/>
              <w:rPr>
                <w:sz w:val="12"/>
                <w:szCs w:val="12"/>
                <w:color w:val="auto"/>
              </w:rPr>
            </w:pPr>
          </w:p>
        </w:tc>
        <w:tc>
          <w:tcPr>
            <w:tcW w:w="300" w:type="dxa"/>
            <w:vAlign w:val="bottom"/>
            <w:tcBorders>
              <w:bottom w:val="single" w:sz="8" w:color="auto"/>
            </w:tcBorders>
            <w:gridSpan w:val="2"/>
            <w:vMerge w:val="continue"/>
          </w:tcPr>
          <w:p>
            <w:pPr>
              <w:spacing w:after="0"/>
              <w:rPr>
                <w:sz w:val="12"/>
                <w:szCs w:val="12"/>
                <w:color w:val="auto"/>
              </w:rPr>
            </w:pPr>
          </w:p>
        </w:tc>
        <w:tc>
          <w:tcPr>
            <w:tcW w:w="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00" w:type="dxa"/>
            <w:vAlign w:val="bottom"/>
            <w:tcBorders>
              <w:bottom w:val="single" w:sz="8" w:color="0000EE"/>
            </w:tcBorders>
            <w:gridSpan w:val="2"/>
            <w:vMerge w:val="continue"/>
          </w:tcPr>
          <w:p>
            <w:pPr>
              <w:spacing w:after="0"/>
              <w:rPr>
                <w:sz w:val="14"/>
                <w:szCs w:val="14"/>
                <w:color w:val="auto"/>
              </w:rPr>
            </w:pPr>
          </w:p>
        </w:tc>
        <w:tc>
          <w:tcPr>
            <w:tcW w:w="10180" w:type="dxa"/>
            <w:vAlign w:val="bottom"/>
            <w:gridSpan w:val="2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tcPr>
          <w:p>
            <w:pPr>
              <w:jc w:val="right"/>
              <w:ind w:right="20"/>
              <w:spacing w:after="0" w:line="170"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4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600" w:type="dxa"/>
            <w:vAlign w:val="bottom"/>
            <w:gridSpan w:val="17"/>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S-10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D</w:t>
              </w:r>
              <w:r>
                <w:rPr>
                  <w:rFonts w:ascii="Arial" w:cs="Arial" w:eastAsia="Arial" w:hAnsi="Arial"/>
                  <w:sz w:val="15"/>
                  <w:szCs w:val="15"/>
                  <w:color w:val="0000EE"/>
                  <w:w w:val="94"/>
                </w:rPr>
                <w:t>ESCRIPTION OF</w:t>
              </w:r>
              <w:r>
                <w:rPr>
                  <w:rFonts w:ascii="Arial" w:cs="Arial" w:eastAsia="Arial" w:hAnsi="Arial"/>
                  <w:sz w:val="18"/>
                  <w:szCs w:val="18"/>
                  <w:color w:val="0000EE"/>
                  <w:w w:val="94"/>
                </w:rPr>
                <w:t xml:space="preserve"> N</w:t>
              </w:r>
              <w:r>
                <w:rPr>
                  <w:rFonts w:ascii="Arial" w:cs="Arial" w:eastAsia="Arial" w:hAnsi="Arial"/>
                  <w:sz w:val="15"/>
                  <w:szCs w:val="15"/>
                  <w:color w:val="0000EE"/>
                  <w:w w:val="94"/>
                </w:rPr>
                <w:t>OTES</w:t>
              </w:r>
            </w:hyperlink>
          </w:p>
        </w:tc>
        <w:tc>
          <w:tcPr>
            <w:tcW w:w="9180" w:type="dxa"/>
            <w:vAlign w:val="bottom"/>
            <w:gridSpan w:val="15"/>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S-12</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C</w:t>
              </w:r>
              <w:r>
                <w:rPr>
                  <w:rFonts w:ascii="Arial" w:cs="Arial" w:eastAsia="Arial" w:hAnsi="Arial"/>
                  <w:sz w:val="15"/>
                  <w:szCs w:val="15"/>
                  <w:color w:val="0000EE"/>
                  <w:w w:val="95"/>
                </w:rPr>
                <w:t>ERTAIN</w:t>
              </w:r>
              <w:r>
                <w:rPr>
                  <w:rFonts w:ascii="Arial" w:cs="Arial" w:eastAsia="Arial" w:hAnsi="Arial"/>
                  <w:sz w:val="18"/>
                  <w:szCs w:val="18"/>
                  <w:color w:val="0000EE"/>
                  <w:w w:val="95"/>
                </w:rPr>
                <w:t xml:space="preserve"> U.S. F</w:t>
              </w:r>
              <w:r>
                <w:rPr>
                  <w:rFonts w:ascii="Arial" w:cs="Arial" w:eastAsia="Arial" w:hAnsi="Arial"/>
                  <w:sz w:val="15"/>
                  <w:szCs w:val="15"/>
                  <w:color w:val="0000EE"/>
                  <w:w w:val="95"/>
                </w:rPr>
                <w:t>EDERAL</w:t>
              </w:r>
              <w:r>
                <w:rPr>
                  <w:rFonts w:ascii="Arial" w:cs="Arial" w:eastAsia="Arial" w:hAnsi="Arial"/>
                  <w:sz w:val="18"/>
                  <w:szCs w:val="18"/>
                  <w:color w:val="0000EE"/>
                  <w:w w:val="95"/>
                </w:rPr>
                <w:t xml:space="preserve"> T</w:t>
              </w:r>
              <w:r>
                <w:rPr>
                  <w:rFonts w:ascii="Arial" w:cs="Arial" w:eastAsia="Arial" w:hAnsi="Arial"/>
                  <w:sz w:val="15"/>
                  <w:szCs w:val="15"/>
                  <w:color w:val="0000EE"/>
                  <w:w w:val="95"/>
                </w:rPr>
                <w:t>AX</w:t>
              </w:r>
              <w:r>
                <w:rPr>
                  <w:rFonts w:ascii="Arial" w:cs="Arial" w:eastAsia="Arial" w:hAnsi="Arial"/>
                  <w:sz w:val="18"/>
                  <w:szCs w:val="18"/>
                  <w:color w:val="0000EE"/>
                  <w:w w:val="95"/>
                </w:rPr>
                <w:t xml:space="preserve"> C</w:t>
              </w:r>
              <w:r>
                <w:rPr>
                  <w:rFonts w:ascii="Arial" w:cs="Arial" w:eastAsia="Arial" w:hAnsi="Arial"/>
                  <w:sz w:val="15"/>
                  <w:szCs w:val="15"/>
                  <w:color w:val="0000EE"/>
                  <w:w w:val="95"/>
                </w:rPr>
                <w:t>ONSIDERATIONS</w:t>
              </w:r>
              <w:r>
                <w:rPr>
                  <w:rFonts w:ascii="Arial" w:cs="Arial" w:eastAsia="Arial" w:hAnsi="Arial"/>
                  <w:sz w:val="18"/>
                  <w:szCs w:val="18"/>
                  <w:color w:val="0000EE"/>
                  <w:w w:val="95"/>
                </w:rPr>
                <w:t xml:space="preserve"> F</w:t>
              </w:r>
              <w:r>
                <w:rPr>
                  <w:rFonts w:ascii="Arial" w:cs="Arial" w:eastAsia="Arial" w:hAnsi="Arial"/>
                  <w:sz w:val="15"/>
                  <w:szCs w:val="15"/>
                  <w:color w:val="0000EE"/>
                  <w:w w:val="95"/>
                </w:rPr>
                <w:t>OR</w:t>
              </w:r>
              <w:r>
                <w:rPr>
                  <w:rFonts w:ascii="Arial" w:cs="Arial" w:eastAsia="Arial" w:hAnsi="Arial"/>
                  <w:sz w:val="18"/>
                  <w:szCs w:val="18"/>
                  <w:color w:val="0000EE"/>
                  <w:w w:val="95"/>
                </w:rPr>
                <w:t xml:space="preserve"> N</w:t>
              </w:r>
              <w:r>
                <w:rPr>
                  <w:rFonts w:ascii="Arial" w:cs="Arial" w:eastAsia="Arial" w:hAnsi="Arial"/>
                  <w:sz w:val="15"/>
                  <w:szCs w:val="15"/>
                  <w:color w:val="0000EE"/>
                  <w:w w:val="95"/>
                </w:rPr>
                <w:t>ON</w:t>
              </w:r>
              <w:r>
                <w:rPr>
                  <w:rFonts w:ascii="Arial" w:cs="Arial" w:eastAsia="Arial" w:hAnsi="Arial"/>
                  <w:sz w:val="18"/>
                  <w:szCs w:val="18"/>
                  <w:color w:val="0000EE"/>
                  <w:w w:val="95"/>
                </w:rPr>
                <w:t>-U.S. H</w:t>
              </w:r>
              <w:r>
                <w:rPr>
                  <w:rFonts w:ascii="Arial" w:cs="Arial" w:eastAsia="Arial" w:hAnsi="Arial"/>
                  <w:sz w:val="15"/>
                  <w:szCs w:val="15"/>
                  <w:color w:val="0000EE"/>
                  <w:w w:val="95"/>
                </w:rPr>
                <w:t>OLDERS</w:t>
              </w:r>
            </w:hyperlink>
          </w:p>
        </w:tc>
        <w:tc>
          <w:tcPr>
            <w:tcW w:w="5620" w:type="dxa"/>
            <w:vAlign w:val="bottom"/>
            <w:gridSpan w:val="2"/>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S-24</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w:t>
              </w:r>
              <w:r>
                <w:rPr>
                  <w:rFonts w:ascii="Arial" w:cs="Arial" w:eastAsia="Arial" w:hAnsi="Arial"/>
                  <w:sz w:val="15"/>
                  <w:szCs w:val="15"/>
                  <w:color w:val="0000EE"/>
                </w:rPr>
                <w:t>NDERWRITING</w:t>
              </w:r>
              <w:r>
                <w:rPr>
                  <w:rFonts w:ascii="Arial" w:cs="Arial" w:eastAsia="Arial" w:hAnsi="Arial"/>
                  <w:sz w:val="18"/>
                  <w:szCs w:val="18"/>
                  <w:color w:val="0000EE"/>
                </w:rPr>
                <w:t xml:space="preserve"> (C</w:t>
              </w:r>
              <w:r>
                <w:rPr>
                  <w:rFonts w:ascii="Arial" w:cs="Arial" w:eastAsia="Arial" w:hAnsi="Arial"/>
                  <w:sz w:val="15"/>
                  <w:szCs w:val="15"/>
                  <w:color w:val="0000EE"/>
                </w:rPr>
                <w:t>ONFLICTS OF</w:t>
              </w:r>
              <w:r>
                <w:rPr>
                  <w:rFonts w:ascii="Arial" w:cs="Arial" w:eastAsia="Arial" w:hAnsi="Arial"/>
                  <w:sz w:val="18"/>
                  <w:szCs w:val="18"/>
                  <w:color w:val="0000EE"/>
                </w:rPr>
                <w:t xml:space="preserve"> I</w:t>
              </w:r>
              <w:r>
                <w:rPr>
                  <w:rFonts w:ascii="Arial" w:cs="Arial" w:eastAsia="Arial" w:hAnsi="Arial"/>
                  <w:sz w:val="15"/>
                  <w:szCs w:val="15"/>
                  <w:color w:val="0000EE"/>
                </w:rPr>
                <w:t>NTEREST</w:t>
              </w:r>
              <w:r>
                <w:rPr>
                  <w:rFonts w:ascii="Arial" w:cs="Arial" w:eastAsia="Arial" w:hAnsi="Arial"/>
                  <w:sz w:val="18"/>
                  <w:szCs w:val="18"/>
                  <w:color w:val="0000EE"/>
                </w:rPr>
                <w:t xml:space="preserve"> )</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S-28</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1940" w:type="dxa"/>
            <w:vAlign w:val="bottom"/>
            <w:tcBorders>
              <w:top w:val="single" w:sz="8" w:color="0000EE"/>
            </w:tcBorders>
            <w:gridSpan w:val="12"/>
          </w:tcPr>
          <w:p>
            <w:pPr>
              <w:spacing w:after="0"/>
              <w:rPr>
                <w:sz w:val="17"/>
                <w:szCs w:val="17"/>
                <w:color w:val="auto"/>
              </w:rPr>
            </w:pPr>
          </w:p>
        </w:tc>
        <w:tc>
          <w:tcPr>
            <w:tcW w:w="7760" w:type="dxa"/>
            <w:vAlign w:val="bottom"/>
            <w:gridSpan w:val="6"/>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S-32</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S-32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w:t>
              </w:r>
              <w:r>
                <w:rPr>
                  <w:rFonts w:ascii="Arial" w:cs="Arial" w:eastAsia="Arial" w:hAnsi="Arial"/>
                  <w:sz w:val="15"/>
                  <w:szCs w:val="15"/>
                  <w:color w:val="0000EE"/>
                </w:rPr>
                <w:t>NCORPORATION OF</w:t>
              </w:r>
              <w:r>
                <w:rPr>
                  <w:rFonts w:ascii="Arial" w:cs="Arial" w:eastAsia="Arial" w:hAnsi="Arial"/>
                  <w:sz w:val="18"/>
                  <w:szCs w:val="18"/>
                  <w:color w:val="0000EE"/>
                </w:rPr>
                <w:t xml:space="preserve"> C</w:t>
              </w:r>
              <w:r>
                <w:rPr>
                  <w:rFonts w:ascii="Arial" w:cs="Arial" w:eastAsia="Arial" w:hAnsi="Arial"/>
                  <w:sz w:val="15"/>
                  <w:szCs w:val="15"/>
                  <w:color w:val="0000EE"/>
                </w:rPr>
                <w:t>ERTAIN</w:t>
              </w:r>
              <w:r>
                <w:rPr>
                  <w:rFonts w:ascii="Arial" w:cs="Arial" w:eastAsia="Arial" w:hAnsi="Arial"/>
                  <w:sz w:val="18"/>
                  <w:szCs w:val="18"/>
                  <w:color w:val="0000EE"/>
                </w:rPr>
                <w:t xml:space="preserve"> D</w:t>
              </w:r>
              <w:r>
                <w:rPr>
                  <w:rFonts w:ascii="Arial" w:cs="Arial" w:eastAsia="Arial" w:hAnsi="Arial"/>
                  <w:sz w:val="15"/>
                  <w:szCs w:val="15"/>
                  <w:color w:val="0000EE"/>
                </w:rPr>
                <w:t>OCUMENTS BY</w:t>
              </w:r>
              <w:r>
                <w:rPr>
                  <w:rFonts w:ascii="Arial" w:cs="Arial" w:eastAsia="Arial" w:hAnsi="Arial"/>
                  <w:sz w:val="18"/>
                  <w:szCs w:val="18"/>
                  <w:color w:val="0000EE"/>
                </w:rPr>
                <w:t xml:space="preserve"> R</w:t>
              </w:r>
              <w:r>
                <w:rPr>
                  <w:rFonts w:ascii="Arial" w:cs="Arial" w:eastAsia="Arial" w:hAnsi="Arial"/>
                  <w:sz w:val="15"/>
                  <w:szCs w:val="15"/>
                  <w:color w:val="0000EE"/>
                </w:rPr>
                <w:t>EFERENCE</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S-33</w:t>
            </w:r>
          </w:p>
        </w:tc>
        <w:tc>
          <w:tcPr>
            <w:tcW w:w="0" w:type="dxa"/>
            <w:vAlign w:val="bottom"/>
          </w:tcPr>
          <w:p>
            <w:pPr>
              <w:spacing w:after="0"/>
              <w:rPr>
                <w:sz w:val="1"/>
                <w:szCs w:val="1"/>
                <w:color w:val="auto"/>
              </w:rPr>
            </w:pPr>
          </w:p>
        </w:tc>
      </w:tr>
      <w:tr>
        <w:trPr>
          <w:trHeight w:val="480"/>
        </w:trPr>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360" w:type="dxa"/>
            <w:vAlign w:val="bottom"/>
            <w:gridSpan w:val="3"/>
          </w:tcPr>
          <w:p>
            <w:pPr>
              <w:ind w:left="620"/>
              <w:spacing w:after="0"/>
              <w:rPr>
                <w:sz w:val="20"/>
                <w:szCs w:val="20"/>
                <w:color w:val="auto"/>
              </w:rPr>
            </w:pPr>
            <w:r>
              <w:rPr>
                <w:rFonts w:ascii="Arial" w:cs="Arial" w:eastAsia="Arial" w:hAnsi="Arial"/>
                <w:sz w:val="18"/>
                <w:szCs w:val="18"/>
                <w:b w:val="1"/>
                <w:bCs w:val="1"/>
                <w:color w:val="auto"/>
              </w:rPr>
              <w:t>Prospectus</w:t>
            </w:r>
          </w:p>
        </w:tc>
        <w:tc>
          <w:tcPr>
            <w:tcW w:w="40" w:type="dxa"/>
            <w:vAlign w:val="bottom"/>
          </w:tcPr>
          <w:p>
            <w:pPr>
              <w:spacing w:after="0"/>
              <w:rPr>
                <w:sz w:val="24"/>
                <w:szCs w:val="24"/>
                <w:color w:val="auto"/>
              </w:rPr>
            </w:pP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49"/>
        </w:trPr>
        <w:tc>
          <w:tcPr>
            <w:tcW w:w="2520" w:type="dxa"/>
            <w:vAlign w:val="bottom"/>
            <w:gridSpan w:val="14"/>
            <w:vMerge w:val="restart"/>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F</w:t>
              </w:r>
              <w:r>
                <w:rPr>
                  <w:rFonts w:ascii="Arial" w:cs="Arial" w:eastAsia="Arial" w:hAnsi="Arial"/>
                  <w:sz w:val="15"/>
                  <w:szCs w:val="15"/>
                  <w:color w:val="0000EE"/>
                  <w:w w:val="94"/>
                </w:rPr>
                <w:t>ORWARD</w:t>
              </w:r>
              <w:r>
                <w:rPr>
                  <w:rFonts w:ascii="Arial" w:cs="Arial" w:eastAsia="Arial" w:hAnsi="Arial"/>
                  <w:sz w:val="18"/>
                  <w:szCs w:val="18"/>
                  <w:color w:val="0000EE"/>
                  <w:w w:val="94"/>
                </w:rPr>
                <w:t>-L</w:t>
              </w:r>
              <w:r>
                <w:rPr>
                  <w:rFonts w:ascii="Arial" w:cs="Arial" w:eastAsia="Arial" w:hAnsi="Arial"/>
                  <w:sz w:val="15"/>
                  <w:szCs w:val="15"/>
                  <w:color w:val="0000EE"/>
                  <w:w w:val="94"/>
                </w:rPr>
                <w:t>OOKING</w:t>
              </w:r>
              <w:r>
                <w:rPr>
                  <w:rFonts w:ascii="Arial" w:cs="Arial" w:eastAsia="Arial" w:hAnsi="Arial"/>
                  <w:sz w:val="18"/>
                  <w:szCs w:val="18"/>
                  <w:color w:val="0000EE"/>
                  <w:w w:val="94"/>
                </w:rPr>
                <w:t xml:space="preserve"> S</w:t>
              </w:r>
              <w:r>
                <w:rPr>
                  <w:rFonts w:ascii="Arial" w:cs="Arial" w:eastAsia="Arial" w:hAnsi="Arial"/>
                  <w:sz w:val="15"/>
                  <w:szCs w:val="15"/>
                  <w:color w:val="0000EE"/>
                  <w:w w:val="94"/>
                </w:rPr>
                <w:t>TATEMENTS</w:t>
              </w:r>
            </w:hyperlink>
          </w:p>
        </w:tc>
        <w:tc>
          <w:tcPr>
            <w:tcW w:w="8460" w:type="dxa"/>
            <w:vAlign w:val="bottom"/>
            <w:gridSpan w:val="10"/>
            <w:vMerge w:val="restart"/>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20" w:type="dxa"/>
            <w:vAlign w:val="bottom"/>
            <w:tcBorders>
              <w:bottom w:val="single" w:sz="8" w:color="0000EE"/>
            </w:tcBorders>
            <w:gridSpan w:val="14"/>
            <w:vMerge w:val="continue"/>
          </w:tcPr>
          <w:p>
            <w:pPr>
              <w:spacing w:after="0"/>
              <w:rPr>
                <w:sz w:val="14"/>
                <w:szCs w:val="14"/>
                <w:color w:val="auto"/>
              </w:rPr>
            </w:pPr>
          </w:p>
        </w:tc>
        <w:tc>
          <w:tcPr>
            <w:tcW w:w="8460" w:type="dxa"/>
            <w:vAlign w:val="bottom"/>
            <w:gridSpan w:val="10"/>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A</w:t>
              </w:r>
              <w:r>
                <w:rPr>
                  <w:rFonts w:ascii="Arial" w:cs="Arial" w:eastAsia="Arial" w:hAnsi="Arial"/>
                  <w:sz w:val="15"/>
                  <w:szCs w:val="15"/>
                  <w:color w:val="0000EE"/>
                  <w:w w:val="93"/>
                </w:rPr>
                <w:t>BOUT</w:t>
              </w:r>
              <w:r>
                <w:rPr>
                  <w:rFonts w:ascii="Arial" w:cs="Arial" w:eastAsia="Arial" w:hAnsi="Arial"/>
                  <w:sz w:val="18"/>
                  <w:szCs w:val="18"/>
                  <w:color w:val="0000EE"/>
                  <w:w w:val="93"/>
                </w:rPr>
                <w:t xml:space="preserve"> T</w:t>
              </w:r>
              <w:r>
                <w:rPr>
                  <w:rFonts w:ascii="Arial" w:cs="Arial" w:eastAsia="Arial" w:hAnsi="Arial"/>
                  <w:sz w:val="15"/>
                  <w:szCs w:val="15"/>
                  <w:color w:val="0000EE"/>
                  <w:w w:val="93"/>
                </w:rPr>
                <w:t>HIS</w:t>
              </w:r>
              <w:r>
                <w:rPr>
                  <w:rFonts w:ascii="Arial" w:cs="Arial" w:eastAsia="Arial" w:hAnsi="Arial"/>
                  <w:sz w:val="18"/>
                  <w:szCs w:val="18"/>
                  <w:color w:val="0000EE"/>
                  <w:w w:val="93"/>
                </w:rPr>
                <w:t xml:space="preserve"> P</w:t>
              </w:r>
              <w:r>
                <w:rPr>
                  <w:rFonts w:ascii="Arial" w:cs="Arial" w:eastAsia="Arial" w:hAnsi="Arial"/>
                  <w:sz w:val="15"/>
                  <w:szCs w:val="15"/>
                  <w:color w:val="0000EE"/>
                  <w:w w:val="93"/>
                </w:rPr>
                <w:t>ROSPECTUS</w:t>
              </w:r>
            </w:hyperlink>
          </w:p>
        </w:tc>
        <w:tc>
          <w:tcPr>
            <w:tcW w:w="9040" w:type="dxa"/>
            <w:vAlign w:val="bottom"/>
            <w:gridSpan w:val="14"/>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w:t>
              </w:r>
              <w:r>
                <w:rPr>
                  <w:rFonts w:ascii="Arial" w:cs="Arial" w:eastAsia="Arial" w:hAnsi="Arial"/>
                  <w:sz w:val="15"/>
                  <w:szCs w:val="15"/>
                  <w:color w:val="0000EE"/>
                </w:rPr>
                <w:t>NCORPORATION OF</w:t>
              </w:r>
              <w:r>
                <w:rPr>
                  <w:rFonts w:ascii="Arial" w:cs="Arial" w:eastAsia="Arial" w:hAnsi="Arial"/>
                  <w:sz w:val="18"/>
                  <w:szCs w:val="18"/>
                  <w:color w:val="0000EE"/>
                </w:rPr>
                <w:t xml:space="preserve"> C</w:t>
              </w:r>
              <w:r>
                <w:rPr>
                  <w:rFonts w:ascii="Arial" w:cs="Arial" w:eastAsia="Arial" w:hAnsi="Arial"/>
                  <w:sz w:val="15"/>
                  <w:szCs w:val="15"/>
                  <w:color w:val="0000EE"/>
                </w:rPr>
                <w:t>ERTAIN</w:t>
              </w:r>
              <w:r>
                <w:rPr>
                  <w:rFonts w:ascii="Arial" w:cs="Arial" w:eastAsia="Arial" w:hAnsi="Arial"/>
                  <w:sz w:val="18"/>
                  <w:szCs w:val="18"/>
                  <w:color w:val="0000EE"/>
                </w:rPr>
                <w:t xml:space="preserve"> D</w:t>
              </w:r>
              <w:r>
                <w:rPr>
                  <w:rFonts w:ascii="Arial" w:cs="Arial" w:eastAsia="Arial" w:hAnsi="Arial"/>
                  <w:sz w:val="15"/>
                  <w:szCs w:val="15"/>
                  <w:color w:val="0000EE"/>
                </w:rPr>
                <w:t>OCUMENTS BY</w:t>
              </w:r>
              <w:r>
                <w:rPr>
                  <w:rFonts w:ascii="Arial" w:cs="Arial" w:eastAsia="Arial" w:hAnsi="Arial"/>
                  <w:sz w:val="18"/>
                  <w:szCs w:val="18"/>
                  <w:color w:val="0000EE"/>
                </w:rPr>
                <w:t xml:space="preserve"> R</w:t>
              </w:r>
              <w:r>
                <w:rPr>
                  <w:rFonts w:ascii="Arial" w:cs="Arial" w:eastAsia="Arial" w:hAnsi="Arial"/>
                  <w:sz w:val="15"/>
                  <w:szCs w:val="15"/>
                  <w:color w:val="0000EE"/>
                </w:rPr>
                <w:t>EFERENCE</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W</w:t>
              </w:r>
              <w:r>
                <w:rPr>
                  <w:rFonts w:ascii="Arial" w:cs="Arial" w:eastAsia="Arial" w:hAnsi="Arial"/>
                  <w:sz w:val="15"/>
                  <w:szCs w:val="15"/>
                  <w:color w:val="0000EE"/>
                  <w:w w:val="97"/>
                </w:rPr>
                <w:t>HERE</w:t>
              </w:r>
              <w:r>
                <w:rPr>
                  <w:rFonts w:ascii="Arial" w:cs="Arial" w:eastAsia="Arial" w:hAnsi="Arial"/>
                  <w:sz w:val="18"/>
                  <w:szCs w:val="18"/>
                  <w:color w:val="0000EE"/>
                  <w:w w:val="97"/>
                </w:rPr>
                <w:t xml:space="preserve"> Y</w:t>
              </w:r>
              <w:r>
                <w:rPr>
                  <w:rFonts w:ascii="Arial" w:cs="Arial" w:eastAsia="Arial" w:hAnsi="Arial"/>
                  <w:sz w:val="15"/>
                  <w:szCs w:val="15"/>
                  <w:color w:val="0000EE"/>
                  <w:w w:val="97"/>
                </w:rPr>
                <w:t>OU</w:t>
              </w:r>
              <w:r>
                <w:rPr>
                  <w:rFonts w:ascii="Arial" w:cs="Arial" w:eastAsia="Arial" w:hAnsi="Arial"/>
                  <w:sz w:val="18"/>
                  <w:szCs w:val="18"/>
                  <w:color w:val="0000EE"/>
                  <w:w w:val="97"/>
                </w:rPr>
                <w:t xml:space="preserve"> C</w:t>
              </w:r>
              <w:r>
                <w:rPr>
                  <w:rFonts w:ascii="Arial" w:cs="Arial" w:eastAsia="Arial" w:hAnsi="Arial"/>
                  <w:sz w:val="15"/>
                  <w:szCs w:val="15"/>
                  <w:color w:val="0000EE"/>
                  <w:w w:val="97"/>
                </w:rPr>
                <w:t>AN</w:t>
              </w:r>
              <w:r>
                <w:rPr>
                  <w:rFonts w:ascii="Arial" w:cs="Arial" w:eastAsia="Arial" w:hAnsi="Arial"/>
                  <w:sz w:val="18"/>
                  <w:szCs w:val="18"/>
                  <w:color w:val="0000EE"/>
                  <w:w w:val="97"/>
                </w:rPr>
                <w:t xml:space="preserve"> F</w:t>
              </w:r>
              <w:r>
                <w:rPr>
                  <w:rFonts w:ascii="Arial" w:cs="Arial" w:eastAsia="Arial" w:hAnsi="Arial"/>
                  <w:sz w:val="15"/>
                  <w:szCs w:val="15"/>
                  <w:color w:val="0000EE"/>
                  <w:w w:val="97"/>
                </w:rPr>
                <w:t>IND</w:t>
              </w:r>
              <w:r>
                <w:rPr>
                  <w:rFonts w:ascii="Arial" w:cs="Arial" w:eastAsia="Arial" w:hAnsi="Arial"/>
                  <w:sz w:val="18"/>
                  <w:szCs w:val="18"/>
                  <w:color w:val="0000EE"/>
                  <w:w w:val="97"/>
                </w:rPr>
                <w:t xml:space="preserve"> M</w:t>
              </w:r>
              <w:r>
                <w:rPr>
                  <w:rFonts w:ascii="Arial" w:cs="Arial" w:eastAsia="Arial" w:hAnsi="Arial"/>
                  <w:sz w:val="15"/>
                  <w:szCs w:val="15"/>
                  <w:color w:val="0000EE"/>
                  <w:w w:val="97"/>
                </w:rPr>
                <w:t>ORE</w:t>
              </w:r>
              <w:r>
                <w:rPr>
                  <w:rFonts w:ascii="Arial" w:cs="Arial" w:eastAsia="Arial" w:hAnsi="Arial"/>
                  <w:sz w:val="18"/>
                  <w:szCs w:val="18"/>
                  <w:color w:val="0000EE"/>
                  <w:w w:val="97"/>
                </w:rPr>
                <w:t xml:space="preserve"> I</w:t>
              </w:r>
              <w:r>
                <w:rPr>
                  <w:rFonts w:ascii="Arial" w:cs="Arial" w:eastAsia="Arial" w:hAnsi="Arial"/>
                  <w:sz w:val="15"/>
                  <w:szCs w:val="15"/>
                  <w:color w:val="0000EE"/>
                  <w:w w:val="97"/>
                </w:rPr>
                <w:t>NFORMATION</w:t>
              </w:r>
            </w:hyperlink>
          </w:p>
        </w:tc>
        <w:tc>
          <w:tcPr>
            <w:tcW w:w="980" w:type="dxa"/>
            <w:vAlign w:val="bottom"/>
            <w:tcBorders>
              <w:top w:val="single" w:sz="8" w:color="0000EE"/>
            </w:tcBorders>
          </w:tcPr>
          <w:p>
            <w:pPr>
              <w:spacing w:after="0"/>
              <w:rPr>
                <w:sz w:val="17"/>
                <w:szCs w:val="17"/>
                <w:color w:val="auto"/>
              </w:rPr>
            </w:pPr>
          </w:p>
        </w:tc>
        <w:tc>
          <w:tcPr>
            <w:tcW w:w="6660" w:type="dxa"/>
            <w:vAlign w:val="bottom"/>
            <w:gridSpan w:val="4"/>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T</w:t>
              </w:r>
              <w:r>
                <w:rPr>
                  <w:rFonts w:ascii="Arial" w:cs="Arial" w:eastAsia="Arial" w:hAnsi="Arial"/>
                  <w:sz w:val="15"/>
                  <w:szCs w:val="15"/>
                  <w:color w:val="0000EE"/>
                  <w:w w:val="95"/>
                </w:rPr>
                <w:t>HE</w:t>
              </w:r>
              <w:r>
                <w:rPr>
                  <w:rFonts w:ascii="Arial" w:cs="Arial" w:eastAsia="Arial" w:hAnsi="Arial"/>
                  <w:sz w:val="18"/>
                  <w:szCs w:val="18"/>
                  <w:color w:val="0000EE"/>
                  <w:w w:val="95"/>
                </w:rPr>
                <w:t xml:space="preserve"> C</w:t>
              </w:r>
              <w:r>
                <w:rPr>
                  <w:rFonts w:ascii="Arial" w:cs="Arial" w:eastAsia="Arial" w:hAnsi="Arial"/>
                  <w:sz w:val="15"/>
                  <w:szCs w:val="15"/>
                  <w:color w:val="0000EE"/>
                  <w:w w:val="95"/>
                </w:rPr>
                <w:t>OMPANY</w:t>
              </w:r>
            </w:hyperlink>
          </w:p>
        </w:tc>
        <w:tc>
          <w:tcPr>
            <w:tcW w:w="9860" w:type="dxa"/>
            <w:vAlign w:val="bottom"/>
            <w:gridSpan w:val="20"/>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40" w:type="dxa"/>
            <w:vAlign w:val="bottom"/>
            <w:gridSpan w:val="7"/>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R</w:t>
              </w:r>
              <w:r>
                <w:rPr>
                  <w:rFonts w:ascii="Arial" w:cs="Arial" w:eastAsia="Arial" w:hAnsi="Arial"/>
                  <w:sz w:val="15"/>
                  <w:szCs w:val="15"/>
                  <w:color w:val="0000EE"/>
                  <w:w w:val="95"/>
                </w:rPr>
                <w:t>ATIO OF</w:t>
              </w:r>
              <w:r>
                <w:rPr>
                  <w:rFonts w:ascii="Arial" w:cs="Arial" w:eastAsia="Arial" w:hAnsi="Arial"/>
                  <w:sz w:val="18"/>
                  <w:szCs w:val="18"/>
                  <w:color w:val="0000EE"/>
                  <w:w w:val="95"/>
                </w:rPr>
                <w:t xml:space="preserve"> E</w:t>
              </w:r>
              <w:r>
                <w:rPr>
                  <w:rFonts w:ascii="Arial" w:cs="Arial" w:eastAsia="Arial" w:hAnsi="Arial"/>
                  <w:sz w:val="15"/>
                  <w:szCs w:val="15"/>
                  <w:color w:val="0000EE"/>
                  <w:w w:val="95"/>
                </w:rPr>
                <w:t>ARNINGS TO</w:t>
              </w:r>
              <w:r>
                <w:rPr>
                  <w:rFonts w:ascii="Arial" w:cs="Arial" w:eastAsia="Arial" w:hAnsi="Arial"/>
                  <w:sz w:val="18"/>
                  <w:szCs w:val="18"/>
                  <w:color w:val="0000EE"/>
                  <w:w w:val="95"/>
                </w:rPr>
                <w:t xml:space="preserve"> F</w:t>
              </w:r>
              <w:r>
                <w:rPr>
                  <w:rFonts w:ascii="Arial" w:cs="Arial" w:eastAsia="Arial" w:hAnsi="Arial"/>
                  <w:sz w:val="15"/>
                  <w:szCs w:val="15"/>
                  <w:color w:val="0000EE"/>
                  <w:w w:val="95"/>
                </w:rPr>
                <w:t>IXED</w:t>
              </w:r>
              <w:r>
                <w:rPr>
                  <w:rFonts w:ascii="Arial" w:cs="Arial" w:eastAsia="Arial" w:hAnsi="Arial"/>
                  <w:sz w:val="18"/>
                  <w:szCs w:val="18"/>
                  <w:color w:val="0000EE"/>
                  <w:w w:val="95"/>
                </w:rPr>
                <w:t xml:space="preserve"> C</w:t>
              </w:r>
              <w:r>
                <w:rPr>
                  <w:rFonts w:ascii="Arial" w:cs="Arial" w:eastAsia="Arial" w:hAnsi="Arial"/>
                  <w:sz w:val="15"/>
                  <w:szCs w:val="15"/>
                  <w:color w:val="0000EE"/>
                  <w:w w:val="95"/>
                </w:rPr>
                <w:t>HARGES</w:t>
              </w:r>
            </w:hyperlink>
          </w:p>
        </w:tc>
        <w:tc>
          <w:tcPr>
            <w:tcW w:w="7940" w:type="dxa"/>
            <w:vAlign w:val="bottom"/>
            <w:gridSpan w:val="7"/>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600" w:type="dxa"/>
            <w:vAlign w:val="bottom"/>
            <w:gridSpan w:val="17"/>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w:t>
              </w:r>
              <w:r>
                <w:rPr>
                  <w:rFonts w:ascii="Arial" w:cs="Arial" w:eastAsia="Arial" w:hAnsi="Arial"/>
                  <w:sz w:val="15"/>
                  <w:szCs w:val="15"/>
                  <w:color w:val="0000EE"/>
                </w:rPr>
                <w:t>ESCRIPTION OF THE</w:t>
              </w:r>
              <w:r>
                <w:rPr>
                  <w:rFonts w:ascii="Arial" w:cs="Arial" w:eastAsia="Arial" w:hAnsi="Arial"/>
                  <w:sz w:val="18"/>
                  <w:szCs w:val="18"/>
                  <w:color w:val="0000EE"/>
                </w:rPr>
                <w:t xml:space="preserve"> D</w:t>
              </w:r>
              <w:r>
                <w:rPr>
                  <w:rFonts w:ascii="Arial" w:cs="Arial" w:eastAsia="Arial" w:hAnsi="Arial"/>
                  <w:sz w:val="15"/>
                  <w:szCs w:val="15"/>
                  <w:color w:val="0000EE"/>
                </w:rPr>
                <w:t>EBT</w:t>
              </w:r>
              <w:r>
                <w:rPr>
                  <w:rFonts w:ascii="Arial" w:cs="Arial" w:eastAsia="Arial" w:hAnsi="Arial"/>
                  <w:sz w:val="18"/>
                  <w:szCs w:val="18"/>
                  <w:color w:val="0000EE"/>
                </w:rPr>
                <w:t xml:space="preserve"> S</w:t>
              </w:r>
              <w:r>
                <w:rPr>
                  <w:rFonts w:ascii="Arial" w:cs="Arial" w:eastAsia="Arial" w:hAnsi="Arial"/>
                  <w:sz w:val="15"/>
                  <w:szCs w:val="15"/>
                  <w:color w:val="0000EE"/>
                </w:rPr>
                <w:t>ECURITIES</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G</w:t>
              </w:r>
              <w:r>
                <w:rPr>
                  <w:rFonts w:ascii="Arial" w:cs="Arial" w:eastAsia="Arial" w:hAnsi="Arial"/>
                  <w:sz w:val="15"/>
                  <w:szCs w:val="15"/>
                  <w:color w:val="0000EE"/>
                </w:rPr>
                <w:t>UARANTEES</w:t>
              </w:r>
            </w:hyperlink>
          </w:p>
        </w:tc>
        <w:tc>
          <w:tcPr>
            <w:tcW w:w="8040" w:type="dxa"/>
            <w:vAlign w:val="bottom"/>
            <w:gridSpan w:val="8"/>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60" w:type="dxa"/>
            <w:vAlign w:val="bottom"/>
            <w:gridSpan w:val="9"/>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8500" w:type="dxa"/>
            <w:vAlign w:val="bottom"/>
            <w:gridSpan w:val="11"/>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D</w:t>
              </w:r>
              <w:r>
                <w:rPr>
                  <w:rFonts w:ascii="Arial" w:cs="Arial" w:eastAsia="Arial" w:hAnsi="Arial"/>
                  <w:sz w:val="15"/>
                  <w:szCs w:val="15"/>
                  <w:color w:val="0000EE"/>
                  <w:w w:val="94"/>
                </w:rPr>
                <w:t>ESCRIPTION OF</w:t>
              </w:r>
              <w:r>
                <w:rPr>
                  <w:rFonts w:ascii="Arial" w:cs="Arial" w:eastAsia="Arial" w:hAnsi="Arial"/>
                  <w:sz w:val="18"/>
                  <w:szCs w:val="18"/>
                  <w:color w:val="0000EE"/>
                  <w:w w:val="94"/>
                </w:rPr>
                <w:t xml:space="preserve"> O</w:t>
              </w:r>
              <w:r>
                <w:rPr>
                  <w:rFonts w:ascii="Arial" w:cs="Arial" w:eastAsia="Arial" w:hAnsi="Arial"/>
                  <w:sz w:val="15"/>
                  <w:szCs w:val="15"/>
                  <w:color w:val="0000EE"/>
                  <w:w w:val="94"/>
                </w:rPr>
                <w:t>THER</w:t>
              </w:r>
              <w:r>
                <w:rPr>
                  <w:rFonts w:ascii="Arial" w:cs="Arial" w:eastAsia="Arial" w:hAnsi="Arial"/>
                  <w:sz w:val="18"/>
                  <w:szCs w:val="18"/>
                  <w:color w:val="0000EE"/>
                  <w:w w:val="94"/>
                </w:rPr>
                <w:t xml:space="preserve"> S</w:t>
              </w:r>
              <w:r>
                <w:rPr>
                  <w:rFonts w:ascii="Arial" w:cs="Arial" w:eastAsia="Arial" w:hAnsi="Arial"/>
                  <w:sz w:val="15"/>
                  <w:szCs w:val="15"/>
                  <w:color w:val="0000EE"/>
                  <w:w w:val="94"/>
                </w:rPr>
                <w:t>ECURITIES</w:t>
              </w:r>
            </w:hyperlink>
          </w:p>
        </w:tc>
        <w:tc>
          <w:tcPr>
            <w:tcW w:w="8260" w:type="dxa"/>
            <w:vAlign w:val="bottom"/>
            <w:gridSpan w:val="9"/>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w:t>
              </w:r>
              <w:r>
                <w:rPr>
                  <w:rFonts w:ascii="Arial" w:cs="Arial" w:eastAsia="Arial" w:hAnsi="Arial"/>
                  <w:sz w:val="15"/>
                  <w:szCs w:val="15"/>
                  <w:color w:val="0000EE"/>
                </w:rPr>
                <w:t>LAN OF</w:t>
              </w:r>
              <w:r>
                <w:rPr>
                  <w:rFonts w:ascii="Arial" w:cs="Arial" w:eastAsia="Arial" w:hAnsi="Arial"/>
                  <w:sz w:val="18"/>
                  <w:szCs w:val="18"/>
                  <w:color w:val="0000EE"/>
                </w:rPr>
                <w:t xml:space="preserve"> D</w:t>
              </w:r>
              <w:r>
                <w:rPr>
                  <w:rFonts w:ascii="Arial" w:cs="Arial" w:eastAsia="Arial" w:hAnsi="Arial"/>
                  <w:sz w:val="15"/>
                  <w:szCs w:val="15"/>
                  <w:color w:val="0000EE"/>
                </w:rPr>
                <w:t>ISTRIBUTION</w:t>
              </w:r>
            </w:hyperlink>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840" w:type="dxa"/>
            <w:vAlign w:val="bottom"/>
            <w:gridSpan w:val="1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S</w:t>
              </w:r>
              <w:r>
                <w:rPr>
                  <w:rFonts w:ascii="Arial" w:cs="Arial" w:eastAsia="Arial" w:hAnsi="Arial"/>
                  <w:sz w:val="15"/>
                  <w:szCs w:val="15"/>
                  <w:color w:val="0000EE"/>
                  <w:w w:val="96"/>
                </w:rPr>
                <w:t>ELLING</w:t>
              </w:r>
              <w:r>
                <w:rPr>
                  <w:rFonts w:ascii="Arial" w:cs="Arial" w:eastAsia="Arial" w:hAnsi="Arial"/>
                  <w:sz w:val="18"/>
                  <w:szCs w:val="18"/>
                  <w:color w:val="0000EE"/>
                  <w:w w:val="96"/>
                </w:rPr>
                <w:t xml:space="preserve"> S</w:t>
              </w:r>
              <w:r>
                <w:rPr>
                  <w:rFonts w:ascii="Arial" w:cs="Arial" w:eastAsia="Arial" w:hAnsi="Arial"/>
                  <w:sz w:val="15"/>
                  <w:szCs w:val="15"/>
                  <w:color w:val="0000EE"/>
                  <w:w w:val="96"/>
                </w:rPr>
                <w:t>ECURITYHOLDERS</w:t>
              </w:r>
            </w:hyperlink>
          </w:p>
        </w:tc>
        <w:tc>
          <w:tcPr>
            <w:tcW w:w="8840" w:type="dxa"/>
            <w:vAlign w:val="bottom"/>
            <w:gridSpan w:val="13"/>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9700" w:type="dxa"/>
            <w:vAlign w:val="bottom"/>
            <w:gridSpan w:val="18"/>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32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232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320" w:firstLine="775"/>
        <w:spacing w:after="0" w:line="279" w:lineRule="auto"/>
        <w:rPr>
          <w:sz w:val="20"/>
          <w:szCs w:val="20"/>
          <w:color w:val="auto"/>
        </w:rPr>
      </w:pPr>
      <w:r>
        <w:rPr>
          <w:rFonts w:ascii="Arial" w:cs="Arial" w:eastAsia="Arial" w:hAnsi="Arial"/>
          <w:sz w:val="17"/>
          <w:szCs w:val="17"/>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the documents incorporated by reference, in their entirety before making an investment decision.</w:t>
      </w:r>
    </w:p>
    <w:p>
      <w:pPr>
        <w:spacing w:after="0" w:line="171" w:lineRule="exact"/>
        <w:rPr>
          <w:sz w:val="20"/>
          <w:szCs w:val="20"/>
          <w:color w:val="auto"/>
        </w:rPr>
      </w:pPr>
    </w:p>
    <w:p>
      <w:pPr>
        <w:ind w:left="200" w:right="560" w:firstLine="775"/>
        <w:spacing w:after="0" w:line="277"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consolidated subsidiaries, taken as a whole, unless the context clearly indicates otherwise.</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200" w:firstLine="775"/>
        <w:spacing w:after="0" w:line="276"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173" w:lineRule="exact"/>
        <w:rPr>
          <w:sz w:val="20"/>
          <w:szCs w:val="20"/>
          <w:color w:val="auto"/>
        </w:rPr>
      </w:pPr>
    </w:p>
    <w:p>
      <w:pPr>
        <w:ind w:left="200" w:right="160" w:firstLine="775"/>
        <w:spacing w:after="0" w:line="257" w:lineRule="auto"/>
        <w:rPr>
          <w:sz w:val="20"/>
          <w:szCs w:val="20"/>
          <w:color w:val="auto"/>
        </w:rPr>
      </w:pPr>
      <w:r>
        <w:rPr>
          <w:rFonts w:ascii="Arial" w:cs="Arial" w:eastAsia="Arial" w:hAnsi="Arial"/>
          <w:sz w:val="18"/>
          <w:szCs w:val="18"/>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Waste Management Holdings, Inc.</w:t>
      </w:r>
    </w:p>
    <w:p>
      <w:pPr>
        <w:spacing w:after="0" w:line="229" w:lineRule="exact"/>
        <w:rPr>
          <w:sz w:val="20"/>
          <w:szCs w:val="20"/>
          <w:color w:val="auto"/>
        </w:rPr>
      </w:pPr>
    </w:p>
    <w:p>
      <w:pPr>
        <w:ind w:left="200" w:right="160" w:firstLine="775"/>
        <w:spacing w:after="0" w:line="277"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Inc. WM Holdings is a holding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9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6229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80" w:firstLine="775"/>
        <w:spacing w:after="0" w:line="264"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Issuer</w:t>
            </w:r>
          </w:p>
        </w:tc>
        <w:tc>
          <w:tcPr>
            <w:tcW w:w="4480" w:type="dxa"/>
            <w:vAlign w:val="bottom"/>
            <w:gridSpan w:val="2"/>
          </w:tcPr>
          <w:p>
            <w:pPr>
              <w:ind w:left="1220"/>
              <w:spacing w:after="0"/>
              <w:rPr>
                <w:sz w:val="20"/>
                <w:szCs w:val="20"/>
                <w:color w:val="auto"/>
              </w:rPr>
            </w:pPr>
            <w:r>
              <w:rPr>
                <w:rFonts w:ascii="Arial" w:cs="Arial" w:eastAsia="Arial" w:hAnsi="Arial"/>
                <w:sz w:val="18"/>
                <w:szCs w:val="18"/>
                <w:color w:val="auto"/>
              </w:rPr>
              <w:t>Waste Management, Inc.</w:t>
            </w:r>
          </w:p>
        </w:tc>
        <w:tc>
          <w:tcPr>
            <w:tcW w:w="3580" w:type="dxa"/>
            <w:vAlign w:val="bottom"/>
          </w:tcPr>
          <w:p>
            <w:pPr>
              <w:spacing w:after="0"/>
              <w:rPr>
                <w:sz w:val="20"/>
                <w:szCs w:val="20"/>
                <w:color w:val="auto"/>
              </w:rPr>
            </w:pP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Securities Offered</w:t>
            </w:r>
          </w:p>
        </w:tc>
        <w:tc>
          <w:tcPr>
            <w:tcW w:w="4480" w:type="dxa"/>
            <w:vAlign w:val="bottom"/>
            <w:gridSpan w:val="2"/>
          </w:tcPr>
          <w:p>
            <w:pPr>
              <w:ind w:left="1220"/>
              <w:spacing w:after="0"/>
              <w:rPr>
                <w:sz w:val="20"/>
                <w:szCs w:val="20"/>
                <w:color w:val="auto"/>
              </w:rPr>
            </w:pPr>
            <w:r>
              <w:rPr>
                <w:rFonts w:ascii="Arial" w:cs="Arial" w:eastAsia="Arial" w:hAnsi="Arial"/>
                <w:sz w:val="18"/>
                <w:szCs w:val="18"/>
                <w:color w:val="auto"/>
                <w:w w:val="95"/>
              </w:rPr>
              <w:t>$500 million aggregate principal amount of</w:t>
            </w:r>
          </w:p>
        </w:tc>
        <w:tc>
          <w:tcPr>
            <w:tcW w:w="3580" w:type="dxa"/>
            <w:vAlign w:val="bottom"/>
          </w:tcPr>
          <w:p>
            <w:pPr>
              <w:jc w:val="right"/>
              <w:ind w:right="1910"/>
              <w:spacing w:after="0"/>
              <w:rPr>
                <w:sz w:val="20"/>
                <w:szCs w:val="20"/>
                <w:color w:val="auto"/>
              </w:rPr>
            </w:pPr>
            <w:r>
              <w:rPr>
                <w:rFonts w:ascii="Arial" w:cs="Arial" w:eastAsia="Arial" w:hAnsi="Arial"/>
                <w:sz w:val="18"/>
                <w:szCs w:val="18"/>
                <w:color w:val="auto"/>
                <w:w w:val="97"/>
              </w:rPr>
              <w:t>% Senior Notes due</w:t>
            </w:r>
          </w:p>
        </w:tc>
      </w:tr>
      <w:tr>
        <w:trPr>
          <w:trHeight w:val="458"/>
        </w:trPr>
        <w:tc>
          <w:tcPr>
            <w:tcW w:w="2980" w:type="dxa"/>
            <w:vAlign w:val="bottom"/>
          </w:tcPr>
          <w:p>
            <w:pPr>
              <w:spacing w:after="0"/>
              <w:rPr>
                <w:sz w:val="20"/>
                <w:szCs w:val="20"/>
                <w:color w:val="auto"/>
              </w:rPr>
            </w:pPr>
            <w:r>
              <w:rPr>
                <w:rFonts w:ascii="Arial" w:cs="Arial" w:eastAsia="Arial" w:hAnsi="Arial"/>
                <w:sz w:val="18"/>
                <w:szCs w:val="18"/>
                <w:color w:val="auto"/>
              </w:rPr>
              <w:t>Subsidiary Guarantee</w:t>
            </w: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5"/>
              </w:rPr>
              <w:t>WM Holdings will fully and unconditionally guarantee, on a senior unsecured basis, the full</w:t>
            </w:r>
          </w:p>
        </w:tc>
      </w:tr>
      <w:tr>
        <w:trPr>
          <w:trHeight w:val="216"/>
        </w:trPr>
        <w:tc>
          <w:tcPr>
            <w:tcW w:w="2980" w:type="dxa"/>
            <w:vAlign w:val="bottom"/>
          </w:tcPr>
          <w:p>
            <w:pPr>
              <w:spacing w:after="0"/>
              <w:rPr>
                <w:sz w:val="18"/>
                <w:szCs w:val="18"/>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1"/>
              </w:rPr>
              <w:t>and prompt payment of the principal and any premium and interest on the notes, when and as</w:t>
            </w:r>
          </w:p>
        </w:tc>
      </w:tr>
      <w:tr>
        <w:trPr>
          <w:trHeight w:val="230"/>
        </w:trPr>
        <w:tc>
          <w:tcPr>
            <w:tcW w:w="2980" w:type="dxa"/>
            <w:vAlign w:val="bottom"/>
          </w:tcPr>
          <w:p>
            <w:pPr>
              <w:spacing w:after="0"/>
              <w:rPr>
                <w:sz w:val="20"/>
                <w:szCs w:val="20"/>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rPr>
              <w:t>they become due and payable, whether at maturity or otherwise.</w:t>
            </w:r>
          </w:p>
        </w:tc>
      </w:tr>
      <w:tr>
        <w:trPr>
          <w:trHeight w:val="459"/>
        </w:trPr>
        <w:tc>
          <w:tcPr>
            <w:tcW w:w="2980" w:type="dxa"/>
            <w:vAlign w:val="bottom"/>
          </w:tcPr>
          <w:p>
            <w:pPr>
              <w:spacing w:after="0"/>
              <w:rPr>
                <w:sz w:val="20"/>
                <w:szCs w:val="20"/>
                <w:color w:val="auto"/>
              </w:rPr>
            </w:pPr>
            <w:r>
              <w:rPr>
                <w:rFonts w:ascii="Arial" w:cs="Arial" w:eastAsia="Arial" w:hAnsi="Arial"/>
                <w:sz w:val="18"/>
                <w:szCs w:val="18"/>
                <w:color w:val="auto"/>
              </w:rPr>
              <w:t>Maturity Date</w:t>
            </w:r>
          </w:p>
        </w:tc>
        <w:tc>
          <w:tcPr>
            <w:tcW w:w="1940" w:type="dxa"/>
            <w:vAlign w:val="bottom"/>
          </w:tcPr>
          <w:p>
            <w:pPr>
              <w:spacing w:after="0"/>
              <w:rPr>
                <w:sz w:val="24"/>
                <w:szCs w:val="24"/>
                <w:color w:val="auto"/>
              </w:rPr>
            </w:pPr>
          </w:p>
        </w:tc>
        <w:tc>
          <w:tcPr>
            <w:tcW w:w="2540" w:type="dxa"/>
            <w:vAlign w:val="bottom"/>
          </w:tcPr>
          <w:p>
            <w:pPr>
              <w:jc w:val="right"/>
              <w:ind w:right="2370"/>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24"/>
                <w:szCs w:val="24"/>
                <w:color w:val="auto"/>
              </w:rPr>
            </w:pP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Interest Rate</w:t>
            </w:r>
          </w:p>
        </w:tc>
        <w:tc>
          <w:tcPr>
            <w:tcW w:w="4480" w:type="dxa"/>
            <w:vAlign w:val="bottom"/>
            <w:gridSpan w:val="2"/>
          </w:tcPr>
          <w:p>
            <w:pPr>
              <w:ind w:left="1440"/>
              <w:spacing w:after="0"/>
              <w:rPr>
                <w:sz w:val="20"/>
                <w:szCs w:val="20"/>
                <w:color w:val="auto"/>
              </w:rPr>
            </w:pPr>
            <w:r>
              <w:rPr>
                <w:rFonts w:ascii="Arial" w:cs="Arial" w:eastAsia="Arial" w:hAnsi="Arial"/>
                <w:sz w:val="18"/>
                <w:szCs w:val="18"/>
                <w:color w:val="auto"/>
              </w:rPr>
              <w:t>% per year</w:t>
            </w:r>
          </w:p>
        </w:tc>
        <w:tc>
          <w:tcPr>
            <w:tcW w:w="3580" w:type="dxa"/>
            <w:vAlign w:val="bottom"/>
          </w:tcPr>
          <w:p>
            <w:pPr>
              <w:spacing w:after="0"/>
              <w:rPr>
                <w:sz w:val="24"/>
                <w:szCs w:val="24"/>
                <w:color w:val="auto"/>
              </w:rPr>
            </w:pP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and</w:t>
            </w:r>
          </w:p>
        </w:tc>
        <w:tc>
          <w:tcPr>
            <w:tcW w:w="2540" w:type="dxa"/>
            <w:vAlign w:val="bottom"/>
          </w:tcPr>
          <w:p>
            <w:pPr>
              <w:jc w:val="right"/>
              <w:ind w:right="370"/>
              <w:spacing w:after="0"/>
              <w:rPr>
                <w:sz w:val="20"/>
                <w:szCs w:val="20"/>
                <w:color w:val="auto"/>
              </w:rPr>
            </w:pPr>
            <w:r>
              <w:rPr>
                <w:rFonts w:ascii="Arial" w:cs="Arial" w:eastAsia="Arial" w:hAnsi="Arial"/>
                <w:sz w:val="18"/>
                <w:szCs w:val="18"/>
                <w:color w:val="auto"/>
              </w:rPr>
              <w:t>of each year, beginning</w:t>
            </w:r>
          </w:p>
        </w:tc>
        <w:tc>
          <w:tcPr>
            <w:tcW w:w="3580" w:type="dxa"/>
            <w:vAlign w:val="bottom"/>
          </w:tcPr>
          <w:p>
            <w:pPr>
              <w:jc w:val="right"/>
              <w:ind w:right="2510"/>
              <w:spacing w:after="0"/>
              <w:rPr>
                <w:sz w:val="20"/>
                <w:szCs w:val="20"/>
                <w:color w:val="auto"/>
              </w:rPr>
            </w:pPr>
            <w:r>
              <w:rPr>
                <w:rFonts w:ascii="Arial" w:cs="Arial" w:eastAsia="Arial" w:hAnsi="Arial"/>
                <w:sz w:val="18"/>
                <w:szCs w:val="18"/>
                <w:color w:val="auto"/>
              </w:rPr>
              <w:t>, 2016</w:t>
            </w:r>
          </w:p>
        </w:tc>
      </w:tr>
      <w:tr>
        <w:trPr>
          <w:trHeight w:val="458"/>
        </w:trPr>
        <w:tc>
          <w:tcPr>
            <w:tcW w:w="2980" w:type="dxa"/>
            <w:vAlign w:val="bottom"/>
          </w:tcPr>
          <w:p>
            <w:pPr>
              <w:spacing w:after="0"/>
              <w:rPr>
                <w:sz w:val="20"/>
                <w:szCs w:val="20"/>
                <w:color w:val="auto"/>
              </w:rPr>
            </w:pPr>
            <w:r>
              <w:rPr>
                <w:rFonts w:ascii="Arial" w:cs="Arial" w:eastAsia="Arial" w:hAnsi="Arial"/>
                <w:sz w:val="18"/>
                <w:szCs w:val="18"/>
                <w:color w:val="auto"/>
              </w:rPr>
              <w:t>Optional Redemption</w:t>
            </w: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4"/>
              </w:rPr>
              <w:t>We may elect to redeem and repay any or all of the notes at any time in minimum principal</w:t>
            </w:r>
          </w:p>
        </w:tc>
      </w:tr>
      <w:tr>
        <w:trPr>
          <w:trHeight w:val="216"/>
        </w:trPr>
        <w:tc>
          <w:tcPr>
            <w:tcW w:w="2980" w:type="dxa"/>
            <w:vAlign w:val="bottom"/>
          </w:tcPr>
          <w:p>
            <w:pPr>
              <w:spacing w:after="0"/>
              <w:rPr>
                <w:sz w:val="18"/>
                <w:szCs w:val="18"/>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2"/>
              </w:rPr>
              <w:t>amounts of $2,000 or any integral multiple of $1,000 in excess thereof. If we elect to redeem</w:t>
            </w:r>
          </w:p>
        </w:tc>
      </w:tr>
      <w:tr>
        <w:trPr>
          <w:trHeight w:val="216"/>
        </w:trPr>
        <w:tc>
          <w:tcPr>
            <w:tcW w:w="2980" w:type="dxa"/>
            <w:vAlign w:val="bottom"/>
          </w:tcPr>
          <w:p>
            <w:pPr>
              <w:spacing w:after="0"/>
              <w:rPr>
                <w:sz w:val="18"/>
                <w:szCs w:val="18"/>
                <w:color w:val="auto"/>
              </w:rPr>
            </w:pPr>
          </w:p>
        </w:tc>
        <w:tc>
          <w:tcPr>
            <w:tcW w:w="4480" w:type="dxa"/>
            <w:vAlign w:val="bottom"/>
            <w:gridSpan w:val="2"/>
          </w:tcPr>
          <w:p>
            <w:pPr>
              <w:ind w:left="1220"/>
              <w:spacing w:after="0"/>
              <w:rPr>
                <w:sz w:val="20"/>
                <w:szCs w:val="20"/>
                <w:color w:val="auto"/>
              </w:rPr>
            </w:pPr>
            <w:r>
              <w:rPr>
                <w:rFonts w:ascii="Arial" w:cs="Arial" w:eastAsia="Arial" w:hAnsi="Arial"/>
                <w:sz w:val="18"/>
                <w:szCs w:val="18"/>
                <w:color w:val="auto"/>
                <w:w w:val="95"/>
              </w:rPr>
              <w:t>and repay the notes before the date that is</w:t>
            </w:r>
          </w:p>
        </w:tc>
        <w:tc>
          <w:tcPr>
            <w:tcW w:w="3580" w:type="dxa"/>
            <w:vAlign w:val="bottom"/>
          </w:tcPr>
          <w:p>
            <w:pPr>
              <w:jc w:val="right"/>
              <w:ind w:right="10"/>
              <w:spacing w:after="0"/>
              <w:rPr>
                <w:sz w:val="20"/>
                <w:szCs w:val="20"/>
                <w:color w:val="auto"/>
              </w:rPr>
            </w:pPr>
            <w:r>
              <w:rPr>
                <w:rFonts w:ascii="Arial" w:cs="Arial" w:eastAsia="Arial" w:hAnsi="Arial"/>
                <w:sz w:val="18"/>
                <w:szCs w:val="18"/>
                <w:color w:val="auto"/>
                <w:w w:val="97"/>
              </w:rPr>
              <w:t>months prior to the maturity date, we will pay</w:t>
            </w:r>
          </w:p>
        </w:tc>
      </w:tr>
      <w:tr>
        <w:trPr>
          <w:trHeight w:val="216"/>
        </w:trPr>
        <w:tc>
          <w:tcPr>
            <w:tcW w:w="2980" w:type="dxa"/>
            <w:vAlign w:val="bottom"/>
          </w:tcPr>
          <w:p>
            <w:pPr>
              <w:spacing w:after="0"/>
              <w:rPr>
                <w:sz w:val="18"/>
                <w:szCs w:val="18"/>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4"/>
              </w:rPr>
              <w:t>an amount equal to the greater of 100% of the principal amount of the notes redeemed and</w:t>
            </w:r>
          </w:p>
        </w:tc>
      </w:tr>
      <w:tr>
        <w:trPr>
          <w:trHeight w:val="216"/>
        </w:trPr>
        <w:tc>
          <w:tcPr>
            <w:tcW w:w="2980" w:type="dxa"/>
            <w:vAlign w:val="bottom"/>
          </w:tcPr>
          <w:p>
            <w:pPr>
              <w:spacing w:after="0"/>
              <w:rPr>
                <w:sz w:val="18"/>
                <w:szCs w:val="18"/>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1"/>
              </w:rPr>
              <w:t>repaid, or the sum of the present values of the remaining scheduled payments of principal and</w:t>
            </w:r>
          </w:p>
        </w:tc>
      </w:tr>
      <w:tr>
        <w:trPr>
          <w:trHeight w:val="216"/>
        </w:trPr>
        <w:tc>
          <w:tcPr>
            <w:tcW w:w="2980" w:type="dxa"/>
            <w:vAlign w:val="bottom"/>
          </w:tcPr>
          <w:p>
            <w:pPr>
              <w:spacing w:after="0"/>
              <w:rPr>
                <w:sz w:val="18"/>
                <w:szCs w:val="18"/>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8"/>
              </w:rPr>
              <w:t>interest on the notes to be redeemed and repaid that would be due if the notes matured</w:t>
            </w:r>
          </w:p>
        </w:tc>
      </w:tr>
      <w:tr>
        <w:trPr>
          <w:trHeight w:val="216"/>
        </w:trPr>
        <w:tc>
          <w:tcPr>
            <w:tcW w:w="2980" w:type="dxa"/>
            <w:vAlign w:val="bottom"/>
          </w:tcPr>
          <w:p>
            <w:pPr>
              <w:spacing w:after="0"/>
              <w:rPr>
                <w:sz w:val="18"/>
                <w:szCs w:val="18"/>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0"/>
              </w:rPr>
              <w:t>months prior to the maturity date. If we elect to redeem and repay the notes on or after the date</w:t>
            </w:r>
          </w:p>
        </w:tc>
      </w:tr>
      <w:tr>
        <w:trPr>
          <w:trHeight w:val="216"/>
        </w:trPr>
        <w:tc>
          <w:tcPr>
            <w:tcW w:w="2980" w:type="dxa"/>
            <w:vAlign w:val="bottom"/>
          </w:tcPr>
          <w:p>
            <w:pPr>
              <w:spacing w:after="0"/>
              <w:rPr>
                <w:sz w:val="18"/>
                <w:szCs w:val="18"/>
                <w:color w:val="auto"/>
              </w:rPr>
            </w:pPr>
          </w:p>
        </w:tc>
        <w:tc>
          <w:tcPr>
            <w:tcW w:w="1940" w:type="dxa"/>
            <w:vAlign w:val="bottom"/>
          </w:tcPr>
          <w:p>
            <w:pPr>
              <w:ind w:left="1220"/>
              <w:spacing w:after="0"/>
              <w:rPr>
                <w:sz w:val="20"/>
                <w:szCs w:val="20"/>
                <w:color w:val="auto"/>
              </w:rPr>
            </w:pPr>
            <w:r>
              <w:rPr>
                <w:rFonts w:ascii="Arial" w:cs="Arial" w:eastAsia="Arial" w:hAnsi="Arial"/>
                <w:sz w:val="18"/>
                <w:szCs w:val="18"/>
                <w:color w:val="auto"/>
              </w:rPr>
              <w:t>that is</w:t>
            </w:r>
          </w:p>
        </w:tc>
        <w:tc>
          <w:tcPr>
            <w:tcW w:w="6120" w:type="dxa"/>
            <w:vAlign w:val="bottom"/>
            <w:gridSpan w:val="2"/>
          </w:tcPr>
          <w:p>
            <w:pPr>
              <w:jc w:val="right"/>
              <w:ind w:right="210"/>
              <w:spacing w:after="0"/>
              <w:rPr>
                <w:sz w:val="20"/>
                <w:szCs w:val="20"/>
                <w:color w:val="auto"/>
              </w:rPr>
            </w:pPr>
            <w:r>
              <w:rPr>
                <w:rFonts w:ascii="Arial" w:cs="Arial" w:eastAsia="Arial" w:hAnsi="Arial"/>
                <w:sz w:val="18"/>
                <w:szCs w:val="18"/>
                <w:color w:val="auto"/>
                <w:w w:val="94"/>
              </w:rPr>
              <w:t>months prior to the maturity date, we will pay an amount equal to 100% of the</w:t>
            </w:r>
          </w:p>
        </w:tc>
      </w:tr>
      <w:tr>
        <w:trPr>
          <w:trHeight w:val="230"/>
        </w:trPr>
        <w:tc>
          <w:tcPr>
            <w:tcW w:w="2980" w:type="dxa"/>
            <w:vAlign w:val="bottom"/>
          </w:tcPr>
          <w:p>
            <w:pPr>
              <w:spacing w:after="0"/>
              <w:rPr>
                <w:sz w:val="20"/>
                <w:szCs w:val="20"/>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rPr>
              <w:t>principal amount of the notes redeemed and repaid.</w:t>
            </w:r>
          </w:p>
        </w:tc>
      </w:tr>
      <w:tr>
        <w:trPr>
          <w:trHeight w:val="445"/>
        </w:trPr>
        <w:tc>
          <w:tcPr>
            <w:tcW w:w="2980" w:type="dxa"/>
            <w:vAlign w:val="bottom"/>
          </w:tcPr>
          <w:p>
            <w:pPr>
              <w:spacing w:after="0"/>
              <w:rPr>
                <w:sz w:val="24"/>
                <w:szCs w:val="24"/>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1"/>
              </w:rPr>
              <w:t>We will pay accrued interest on the notes redeemed to the redemption date. See “Description</w:t>
            </w:r>
          </w:p>
        </w:tc>
      </w:tr>
      <w:tr>
        <w:trPr>
          <w:trHeight w:val="230"/>
        </w:trPr>
        <w:tc>
          <w:tcPr>
            <w:tcW w:w="2980" w:type="dxa"/>
            <w:vAlign w:val="bottom"/>
          </w:tcPr>
          <w:p>
            <w:pPr>
              <w:spacing w:after="0"/>
              <w:rPr>
                <w:sz w:val="20"/>
                <w:szCs w:val="20"/>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rPr>
              <w:t>of Notes—Optional Redemption” in this prospectus supplement.</w:t>
            </w:r>
          </w:p>
        </w:tc>
      </w:tr>
      <w:tr>
        <w:trPr>
          <w:trHeight w:val="445"/>
        </w:trPr>
        <w:tc>
          <w:tcPr>
            <w:tcW w:w="298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1"/>
              </w:rPr>
              <w:t>If a change of control triggering event occurs, holders of the notes may require us to purchase</w:t>
            </w:r>
          </w:p>
        </w:tc>
      </w:tr>
      <w:tr>
        <w:trPr>
          <w:trHeight w:val="216"/>
        </w:trPr>
        <w:tc>
          <w:tcPr>
            <w:tcW w:w="2980" w:type="dxa"/>
            <w:vAlign w:val="bottom"/>
          </w:tcPr>
          <w:p>
            <w:pPr>
              <w:spacing w:after="0"/>
              <w:rPr>
                <w:sz w:val="18"/>
                <w:szCs w:val="18"/>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4"/>
              </w:rPr>
              <w:t>all or a portion of such holders’ notes at a price equal to 101% of the principal amount, plus</w:t>
            </w:r>
          </w:p>
        </w:tc>
      </w:tr>
      <w:tr>
        <w:trPr>
          <w:trHeight w:val="216"/>
        </w:trPr>
        <w:tc>
          <w:tcPr>
            <w:tcW w:w="2980" w:type="dxa"/>
            <w:vAlign w:val="bottom"/>
          </w:tcPr>
          <w:p>
            <w:pPr>
              <w:spacing w:after="0"/>
              <w:rPr>
                <w:sz w:val="18"/>
                <w:szCs w:val="18"/>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0"/>
              </w:rPr>
              <w:t>accrued interest, if any, to the date of purchase. See “Description of Notes—Change of Control</w:t>
            </w:r>
          </w:p>
        </w:tc>
      </w:tr>
      <w:tr>
        <w:trPr>
          <w:trHeight w:val="230"/>
        </w:trPr>
        <w:tc>
          <w:tcPr>
            <w:tcW w:w="2980" w:type="dxa"/>
            <w:vAlign w:val="bottom"/>
          </w:tcPr>
          <w:p>
            <w:pPr>
              <w:spacing w:after="0"/>
              <w:rPr>
                <w:sz w:val="20"/>
                <w:szCs w:val="20"/>
                <w:color w:val="auto"/>
              </w:rPr>
            </w:pPr>
          </w:p>
        </w:tc>
        <w:tc>
          <w:tcPr>
            <w:tcW w:w="4480" w:type="dxa"/>
            <w:vAlign w:val="bottom"/>
            <w:gridSpan w:val="2"/>
          </w:tcPr>
          <w:p>
            <w:pPr>
              <w:ind w:left="1220"/>
              <w:spacing w:after="0"/>
              <w:rPr>
                <w:sz w:val="20"/>
                <w:szCs w:val="20"/>
                <w:color w:val="auto"/>
              </w:rPr>
            </w:pPr>
            <w:r>
              <w:rPr>
                <w:rFonts w:ascii="Arial" w:cs="Arial" w:eastAsia="Arial" w:hAnsi="Arial"/>
                <w:sz w:val="18"/>
                <w:szCs w:val="18"/>
                <w:color w:val="auto"/>
              </w:rPr>
              <w:t>Offer” in this prospectus supplement.</w:t>
            </w:r>
          </w:p>
        </w:tc>
        <w:tc>
          <w:tcPr>
            <w:tcW w:w="3580" w:type="dxa"/>
            <w:vAlign w:val="bottom"/>
          </w:tcPr>
          <w:p>
            <w:pPr>
              <w:spacing w:after="0"/>
              <w:rPr>
                <w:sz w:val="20"/>
                <w:szCs w:val="20"/>
                <w:color w:val="auto"/>
              </w:rPr>
            </w:pPr>
          </w:p>
        </w:tc>
      </w:tr>
      <w:tr>
        <w:trPr>
          <w:trHeight w:val="445"/>
        </w:trPr>
        <w:tc>
          <w:tcPr>
            <w:tcW w:w="2980" w:type="dxa"/>
            <w:vAlign w:val="bottom"/>
          </w:tcPr>
          <w:p>
            <w:pPr>
              <w:spacing w:after="0"/>
              <w:rPr>
                <w:sz w:val="20"/>
                <w:szCs w:val="20"/>
                <w:color w:val="auto"/>
              </w:rPr>
            </w:pPr>
            <w:r>
              <w:rPr>
                <w:rFonts w:ascii="Arial" w:cs="Arial" w:eastAsia="Arial" w:hAnsi="Arial"/>
                <w:sz w:val="18"/>
                <w:szCs w:val="18"/>
                <w:color w:val="auto"/>
              </w:rPr>
              <w:t>Ranking</w:t>
            </w: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1"/>
              </w:rPr>
              <w:t>The notes and the guarantee will constitute the senior unsecured debt of Waste Management,</w:t>
            </w:r>
          </w:p>
        </w:tc>
      </w:tr>
      <w:tr>
        <w:trPr>
          <w:trHeight w:val="216"/>
        </w:trPr>
        <w:tc>
          <w:tcPr>
            <w:tcW w:w="2980" w:type="dxa"/>
            <w:vAlign w:val="bottom"/>
          </w:tcPr>
          <w:p>
            <w:pPr>
              <w:spacing w:after="0"/>
              <w:rPr>
                <w:sz w:val="18"/>
                <w:szCs w:val="18"/>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w w:val="92"/>
              </w:rPr>
              <w:t>Inc. and WM Holdings, respectively, and will rank equally with all of our and its other existing</w:t>
            </w:r>
          </w:p>
        </w:tc>
      </w:tr>
      <w:tr>
        <w:trPr>
          <w:trHeight w:val="230"/>
        </w:trPr>
        <w:tc>
          <w:tcPr>
            <w:tcW w:w="2980" w:type="dxa"/>
            <w:vAlign w:val="bottom"/>
          </w:tcPr>
          <w:p>
            <w:pPr>
              <w:spacing w:after="0"/>
              <w:rPr>
                <w:sz w:val="20"/>
                <w:szCs w:val="20"/>
                <w:color w:val="auto"/>
              </w:rPr>
            </w:pPr>
          </w:p>
        </w:tc>
        <w:tc>
          <w:tcPr>
            <w:tcW w:w="8060" w:type="dxa"/>
            <w:vAlign w:val="bottom"/>
            <w:gridSpan w:val="3"/>
          </w:tcPr>
          <w:p>
            <w:pPr>
              <w:ind w:left="1220"/>
              <w:spacing w:after="0"/>
              <w:rPr>
                <w:sz w:val="20"/>
                <w:szCs w:val="20"/>
                <w:color w:val="auto"/>
              </w:rPr>
            </w:pPr>
            <w:r>
              <w:rPr>
                <w:rFonts w:ascii="Arial" w:cs="Arial" w:eastAsia="Arial" w:hAnsi="Arial"/>
                <w:sz w:val="18"/>
                <w:szCs w:val="18"/>
                <w:color w:val="auto"/>
              </w:rPr>
              <w:t>and future senior obligations from time to time outstanding.</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24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60242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Covenants</w:t>
            </w: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7"/>
              </w:rPr>
              <w:t>We will issue the notes under an indenture containing covenants for your benefit. These</w:t>
            </w:r>
          </w:p>
        </w:tc>
      </w:tr>
      <w:tr>
        <w:trPr>
          <w:trHeight w:val="230"/>
        </w:trPr>
        <w:tc>
          <w:tcPr>
            <w:tcW w:w="2720" w:type="dxa"/>
            <w:vAlign w:val="bottom"/>
          </w:tcPr>
          <w:p>
            <w:pPr>
              <w:spacing w:after="0"/>
              <w:rPr>
                <w:sz w:val="20"/>
                <w:szCs w:val="20"/>
                <w:color w:val="auto"/>
              </w:rPr>
            </w:pPr>
          </w:p>
        </w:tc>
        <w:tc>
          <w:tcPr>
            <w:tcW w:w="6360" w:type="dxa"/>
            <w:vAlign w:val="bottom"/>
          </w:tcPr>
          <w:p>
            <w:pPr>
              <w:ind w:left="1480"/>
              <w:spacing w:after="0"/>
              <w:rPr>
                <w:sz w:val="20"/>
                <w:szCs w:val="20"/>
                <w:color w:val="auto"/>
              </w:rPr>
            </w:pPr>
            <w:r>
              <w:rPr>
                <w:rFonts w:ascii="Arial" w:cs="Arial" w:eastAsia="Arial" w:hAnsi="Arial"/>
                <w:sz w:val="18"/>
                <w:szCs w:val="18"/>
                <w:color w:val="auto"/>
              </w:rPr>
              <w:t>covenants restrict our ability, with certain exceptions, to:</w:t>
            </w:r>
          </w:p>
        </w:tc>
        <w:tc>
          <w:tcPr>
            <w:tcW w:w="1980" w:type="dxa"/>
            <w:vAlign w:val="bottom"/>
          </w:tcPr>
          <w:p>
            <w:pPr>
              <w:spacing w:after="0"/>
              <w:rPr>
                <w:sz w:val="20"/>
                <w:szCs w:val="20"/>
                <w:color w:val="auto"/>
              </w:rPr>
            </w:pPr>
          </w:p>
        </w:tc>
      </w:tr>
      <w:tr>
        <w:trPr>
          <w:trHeight w:val="459"/>
        </w:trPr>
        <w:tc>
          <w:tcPr>
            <w:tcW w:w="2720" w:type="dxa"/>
            <w:vAlign w:val="bottom"/>
          </w:tcPr>
          <w:p>
            <w:pPr>
              <w:spacing w:after="0"/>
              <w:rPr>
                <w:sz w:val="24"/>
                <w:szCs w:val="24"/>
                <w:color w:val="auto"/>
              </w:rPr>
            </w:pPr>
          </w:p>
        </w:tc>
        <w:tc>
          <w:tcPr>
            <w:tcW w:w="6360" w:type="dxa"/>
            <w:vAlign w:val="bottom"/>
          </w:tcPr>
          <w:p>
            <w:pPr>
              <w:ind w:left="1740"/>
              <w:spacing w:after="0"/>
              <w:rPr>
                <w:sz w:val="20"/>
                <w:szCs w:val="20"/>
                <w:color w:val="auto"/>
              </w:rPr>
            </w:pPr>
            <w:r>
              <w:rPr>
                <w:rFonts w:ascii="Arial" w:cs="Arial" w:eastAsia="Arial" w:hAnsi="Arial"/>
                <w:sz w:val="18"/>
                <w:szCs w:val="18"/>
                <w:color w:val="auto"/>
              </w:rPr>
              <w:t>• create, incur or assume debt secured by liens;</w:t>
            </w:r>
          </w:p>
        </w:tc>
        <w:tc>
          <w:tcPr>
            <w:tcW w:w="1980" w:type="dxa"/>
            <w:vAlign w:val="bottom"/>
          </w:tcPr>
          <w:p>
            <w:pPr>
              <w:spacing w:after="0"/>
              <w:rPr>
                <w:sz w:val="24"/>
                <w:szCs w:val="24"/>
                <w:color w:val="auto"/>
              </w:rPr>
            </w:pPr>
          </w:p>
        </w:tc>
      </w:tr>
      <w:tr>
        <w:trPr>
          <w:trHeight w:val="459"/>
        </w:trPr>
        <w:tc>
          <w:tcPr>
            <w:tcW w:w="2720" w:type="dxa"/>
            <w:vAlign w:val="bottom"/>
          </w:tcPr>
          <w:p>
            <w:pPr>
              <w:spacing w:after="0"/>
              <w:rPr>
                <w:sz w:val="24"/>
                <w:szCs w:val="24"/>
                <w:color w:val="auto"/>
              </w:rPr>
            </w:pPr>
          </w:p>
        </w:tc>
        <w:tc>
          <w:tcPr>
            <w:tcW w:w="6360" w:type="dxa"/>
            <w:vAlign w:val="bottom"/>
          </w:tcPr>
          <w:p>
            <w:pPr>
              <w:ind w:left="1740"/>
              <w:spacing w:after="0"/>
              <w:rPr>
                <w:sz w:val="20"/>
                <w:szCs w:val="20"/>
                <w:color w:val="auto"/>
              </w:rPr>
            </w:pPr>
            <w:r>
              <w:rPr>
                <w:rFonts w:ascii="Arial" w:cs="Arial" w:eastAsia="Arial" w:hAnsi="Arial"/>
                <w:sz w:val="18"/>
                <w:szCs w:val="18"/>
                <w:color w:val="auto"/>
              </w:rPr>
              <w:t>• engage in sale and leaseback transactions; and</w:t>
            </w:r>
          </w:p>
        </w:tc>
        <w:tc>
          <w:tcPr>
            <w:tcW w:w="1980" w:type="dxa"/>
            <w:vAlign w:val="bottom"/>
          </w:tcPr>
          <w:p>
            <w:pPr>
              <w:spacing w:after="0"/>
              <w:rPr>
                <w:sz w:val="24"/>
                <w:szCs w:val="24"/>
                <w:color w:val="auto"/>
              </w:rPr>
            </w:pPr>
          </w:p>
        </w:tc>
      </w:tr>
      <w:tr>
        <w:trPr>
          <w:trHeight w:val="459"/>
        </w:trPr>
        <w:tc>
          <w:tcPr>
            <w:tcW w:w="2720" w:type="dxa"/>
            <w:vAlign w:val="bottom"/>
          </w:tcPr>
          <w:p>
            <w:pPr>
              <w:spacing w:after="0"/>
              <w:rPr>
                <w:sz w:val="24"/>
                <w:szCs w:val="24"/>
                <w:color w:val="auto"/>
              </w:rPr>
            </w:pPr>
          </w:p>
        </w:tc>
        <w:tc>
          <w:tcPr>
            <w:tcW w:w="8340" w:type="dxa"/>
            <w:vAlign w:val="bottom"/>
            <w:gridSpan w:val="2"/>
          </w:tcPr>
          <w:p>
            <w:pPr>
              <w:ind w:left="1740"/>
              <w:spacing w:after="0"/>
              <w:rPr>
                <w:sz w:val="20"/>
                <w:szCs w:val="20"/>
                <w:color w:val="auto"/>
              </w:rPr>
            </w:pPr>
            <w:r>
              <w:rPr>
                <w:rFonts w:ascii="Arial" w:cs="Arial" w:eastAsia="Arial" w:hAnsi="Arial"/>
                <w:sz w:val="18"/>
                <w:szCs w:val="18"/>
                <w:color w:val="auto"/>
              </w:rPr>
              <w:t>• merge, consolidate or transfer all or substantially all of our assets.</w:t>
            </w:r>
          </w:p>
        </w:tc>
      </w:tr>
      <w:tr>
        <w:trPr>
          <w:trHeight w:val="445"/>
        </w:trPr>
        <w:tc>
          <w:tcPr>
            <w:tcW w:w="2720" w:type="dxa"/>
            <w:vAlign w:val="bottom"/>
          </w:tcPr>
          <w:p>
            <w:pPr>
              <w:spacing w:after="0"/>
              <w:rPr>
                <w:sz w:val="20"/>
                <w:szCs w:val="20"/>
                <w:color w:val="auto"/>
              </w:rPr>
            </w:pPr>
            <w:r>
              <w:rPr>
                <w:rFonts w:ascii="Arial" w:cs="Arial" w:eastAsia="Arial" w:hAnsi="Arial"/>
                <w:sz w:val="18"/>
                <w:szCs w:val="18"/>
                <w:color w:val="auto"/>
              </w:rPr>
              <w:t>Use of Proceeds</w:t>
            </w:r>
          </w:p>
        </w:tc>
        <w:tc>
          <w:tcPr>
            <w:tcW w:w="6360" w:type="dxa"/>
            <w:vAlign w:val="bottom"/>
          </w:tcPr>
          <w:p>
            <w:pPr>
              <w:ind w:left="1480"/>
              <w:spacing w:after="0"/>
              <w:rPr>
                <w:sz w:val="20"/>
                <w:szCs w:val="20"/>
                <w:color w:val="auto"/>
              </w:rPr>
            </w:pPr>
            <w:r>
              <w:rPr>
                <w:rFonts w:ascii="Arial" w:cs="Arial" w:eastAsia="Arial" w:hAnsi="Arial"/>
                <w:sz w:val="18"/>
                <w:szCs w:val="18"/>
                <w:color w:val="auto"/>
                <w:w w:val="93"/>
              </w:rPr>
              <w:t>We expect the net proceeds from the offering of the notes to be $</w:t>
            </w:r>
          </w:p>
        </w:tc>
        <w:tc>
          <w:tcPr>
            <w:tcW w:w="1980" w:type="dxa"/>
            <w:vAlign w:val="bottom"/>
          </w:tcPr>
          <w:p>
            <w:pPr>
              <w:ind w:left="240"/>
              <w:spacing w:after="0"/>
              <w:rPr>
                <w:sz w:val="20"/>
                <w:szCs w:val="20"/>
                <w:color w:val="auto"/>
              </w:rPr>
            </w:pPr>
            <w:r>
              <w:rPr>
                <w:rFonts w:ascii="Arial" w:cs="Arial" w:eastAsia="Arial" w:hAnsi="Arial"/>
                <w:sz w:val="18"/>
                <w:szCs w:val="18"/>
                <w:color w:val="auto"/>
                <w:w w:val="95"/>
              </w:rPr>
              <w:t>million, after deducting</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0"/>
              </w:rPr>
              <w:t>the underwriting discount and estimated expenses of the offering that we will pay. We intend to</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1"/>
              </w:rPr>
              <w:t>use the net proceeds from the offering of the notes, together with cash on hand, to repay $500</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rPr>
              <w:t>million principal amount of our outstanding 2.6% Senior Notes when they mature in</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2"/>
              </w:rPr>
              <w:t>September 2016, plus accrued and unpaid interest of $6.5 million. Pending application of the</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0"/>
              </w:rPr>
              <w:t>net proceeds as described immediately above, we anticipate that we may temporarily pay down</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2"/>
              </w:rPr>
              <w:t>short-term borrowings under our U.S. revolving credit facility (referred to herein as our “$2.25</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6"/>
              </w:rPr>
              <w:t>billion revolving credit facility”) used for working capital, and we may temporarily invest in</w:t>
            </w:r>
          </w:p>
        </w:tc>
      </w:tr>
      <w:tr>
        <w:trPr>
          <w:trHeight w:val="230"/>
        </w:trPr>
        <w:tc>
          <w:tcPr>
            <w:tcW w:w="2720" w:type="dxa"/>
            <w:vAlign w:val="bottom"/>
          </w:tcPr>
          <w:p>
            <w:pPr>
              <w:spacing w:after="0"/>
              <w:rPr>
                <w:sz w:val="20"/>
                <w:szCs w:val="20"/>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rPr>
              <w:t>short-term investments. See “Use of Proceeds” in this prospectus supplement.</w:t>
            </w:r>
          </w:p>
        </w:tc>
      </w:tr>
      <w:tr>
        <w:trPr>
          <w:trHeight w:val="445"/>
        </w:trPr>
        <w:tc>
          <w:tcPr>
            <w:tcW w:w="2720" w:type="dxa"/>
            <w:vAlign w:val="bottom"/>
          </w:tcPr>
          <w:p>
            <w:pPr>
              <w:spacing w:after="0"/>
              <w:rPr>
                <w:sz w:val="24"/>
                <w:szCs w:val="24"/>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8"/>
              </w:rPr>
              <w:t>Certain affiliates of Citigroup Global Markets Inc., Merrill Lynch, Pierce, Fenner &amp; Smith</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rPr>
              <w:t>Incorporated and Mizuho Securities USA Inc. are lenders to us under our $2.25 billion</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6"/>
              </w:rPr>
              <w:t>revolving credit facility and may receive 5% or more of the net proceeds of this offering by</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1"/>
              </w:rPr>
              <w:t>reason of the repayment of amounts outstanding under such credit facility, pending application</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8"/>
              </w:rPr>
              <w:t>of the net proceeds as described in the initial paragraph under “Use of Proceeds” in this</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6"/>
              </w:rPr>
              <w:t>prospectus supplement. Accordingly, such underwriters are deemed to have a “conflict of</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4"/>
              </w:rPr>
              <w:t>interest” within the meaning of Rule 5121, and this offering will be conducted in accordance</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5"/>
              </w:rPr>
              <w:t>with Rule 5121. No underwriter with a “conflict of interest” will confirm sales to any account</w:t>
            </w:r>
          </w:p>
        </w:tc>
      </w:tr>
      <w:tr>
        <w:trPr>
          <w:trHeight w:val="230"/>
        </w:trPr>
        <w:tc>
          <w:tcPr>
            <w:tcW w:w="2720" w:type="dxa"/>
            <w:vAlign w:val="bottom"/>
          </w:tcPr>
          <w:p>
            <w:pPr>
              <w:spacing w:after="0"/>
              <w:rPr>
                <w:sz w:val="20"/>
                <w:szCs w:val="20"/>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3"/>
              </w:rPr>
              <w:t>over which it exercises discretion without the specific written approval of the account holder.</w:t>
            </w:r>
          </w:p>
        </w:tc>
      </w:tr>
      <w:tr>
        <w:trPr>
          <w:trHeight w:val="459"/>
        </w:trPr>
        <w:tc>
          <w:tcPr>
            <w:tcW w:w="2720" w:type="dxa"/>
            <w:vAlign w:val="bottom"/>
          </w:tcPr>
          <w:p>
            <w:pPr>
              <w:spacing w:after="0"/>
              <w:rPr>
                <w:sz w:val="20"/>
                <w:szCs w:val="20"/>
                <w:color w:val="auto"/>
              </w:rPr>
            </w:pPr>
            <w:r>
              <w:rPr>
                <w:rFonts w:ascii="Arial" w:cs="Arial" w:eastAsia="Arial" w:hAnsi="Arial"/>
                <w:sz w:val="18"/>
                <w:szCs w:val="18"/>
                <w:color w:val="auto"/>
              </w:rPr>
              <w:t>Trustee</w:t>
            </w:r>
          </w:p>
        </w:tc>
        <w:tc>
          <w:tcPr>
            <w:tcW w:w="6360" w:type="dxa"/>
            <w:vAlign w:val="bottom"/>
          </w:tcPr>
          <w:p>
            <w:pPr>
              <w:ind w:left="1480"/>
              <w:spacing w:after="0"/>
              <w:rPr>
                <w:sz w:val="20"/>
                <w:szCs w:val="20"/>
                <w:color w:val="auto"/>
              </w:rPr>
            </w:pPr>
            <w:r>
              <w:rPr>
                <w:rFonts w:ascii="Arial" w:cs="Arial" w:eastAsia="Arial" w:hAnsi="Arial"/>
                <w:sz w:val="18"/>
                <w:szCs w:val="18"/>
                <w:color w:val="auto"/>
              </w:rPr>
              <w:t>The Bank of New York Mellon Trust Company, N.A.</w:t>
            </w:r>
          </w:p>
        </w:tc>
        <w:tc>
          <w:tcPr>
            <w:tcW w:w="1980" w:type="dxa"/>
            <w:vAlign w:val="bottom"/>
          </w:tcPr>
          <w:p>
            <w:pPr>
              <w:spacing w:after="0"/>
              <w:rPr>
                <w:sz w:val="24"/>
                <w:szCs w:val="24"/>
                <w:color w:val="auto"/>
              </w:rPr>
            </w:pPr>
          </w:p>
        </w:tc>
      </w:tr>
      <w:tr>
        <w:trPr>
          <w:trHeight w:val="458"/>
        </w:trPr>
        <w:tc>
          <w:tcPr>
            <w:tcW w:w="2720" w:type="dxa"/>
            <w:vAlign w:val="bottom"/>
          </w:tcPr>
          <w:p>
            <w:pPr>
              <w:spacing w:after="0"/>
              <w:rPr>
                <w:sz w:val="20"/>
                <w:szCs w:val="20"/>
                <w:color w:val="auto"/>
              </w:rPr>
            </w:pPr>
            <w:r>
              <w:rPr>
                <w:rFonts w:ascii="Arial" w:cs="Arial" w:eastAsia="Arial" w:hAnsi="Arial"/>
                <w:sz w:val="18"/>
                <w:szCs w:val="18"/>
                <w:color w:val="auto"/>
              </w:rPr>
              <w:t>Additional Issues</w:t>
            </w: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0"/>
              </w:rPr>
              <w:t>We may create and issue additional notes ranking equally and ratably with the notes offered by</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3"/>
              </w:rPr>
              <w:t>this prospectus supplement in all respects, so that such additional notes will be consolidated</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0"/>
              </w:rPr>
              <w:t>and form a single series with the notes offered by this prospectus supplement and will have the</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1"/>
              </w:rPr>
              <w:t>same terms, as to status, redemption or otherwise except for the issue date, the initial interest</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0"/>
              </w:rPr>
              <w:t>payment date, if applicable, and the payment of interest accruing prior to the issue date of such</w:t>
            </w:r>
          </w:p>
        </w:tc>
      </w:tr>
      <w:tr>
        <w:trPr>
          <w:trHeight w:val="230"/>
        </w:trPr>
        <w:tc>
          <w:tcPr>
            <w:tcW w:w="2720" w:type="dxa"/>
            <w:vAlign w:val="bottom"/>
          </w:tcPr>
          <w:p>
            <w:pPr>
              <w:spacing w:after="0"/>
              <w:rPr>
                <w:sz w:val="20"/>
                <w:szCs w:val="20"/>
                <w:color w:val="auto"/>
              </w:rPr>
            </w:pPr>
          </w:p>
        </w:tc>
        <w:tc>
          <w:tcPr>
            <w:tcW w:w="6360" w:type="dxa"/>
            <w:vAlign w:val="bottom"/>
          </w:tcPr>
          <w:p>
            <w:pPr>
              <w:ind w:left="1480"/>
              <w:spacing w:after="0"/>
              <w:rPr>
                <w:sz w:val="20"/>
                <w:szCs w:val="20"/>
                <w:color w:val="auto"/>
              </w:rPr>
            </w:pPr>
            <w:r>
              <w:rPr>
                <w:rFonts w:ascii="Arial" w:cs="Arial" w:eastAsia="Arial" w:hAnsi="Arial"/>
                <w:sz w:val="18"/>
                <w:szCs w:val="18"/>
                <w:color w:val="auto"/>
              </w:rPr>
              <w:t>additional notes.</w:t>
            </w:r>
          </w:p>
        </w:tc>
        <w:tc>
          <w:tcPr>
            <w:tcW w:w="1980" w:type="dxa"/>
            <w:vAlign w:val="bottom"/>
          </w:tcPr>
          <w:p>
            <w:pPr>
              <w:spacing w:after="0"/>
              <w:rPr>
                <w:sz w:val="20"/>
                <w:szCs w:val="20"/>
                <w:color w:val="auto"/>
              </w:rPr>
            </w:pPr>
          </w:p>
        </w:tc>
      </w:tr>
      <w:tr>
        <w:trPr>
          <w:trHeight w:val="445"/>
        </w:trPr>
        <w:tc>
          <w:tcPr>
            <w:tcW w:w="2720" w:type="dxa"/>
            <w:vAlign w:val="bottom"/>
          </w:tcPr>
          <w:p>
            <w:pPr>
              <w:spacing w:after="0"/>
              <w:rPr>
                <w:sz w:val="20"/>
                <w:szCs w:val="20"/>
                <w:color w:val="auto"/>
              </w:rPr>
            </w:pPr>
            <w:r>
              <w:rPr>
                <w:rFonts w:ascii="Arial" w:cs="Arial" w:eastAsia="Arial" w:hAnsi="Arial"/>
                <w:sz w:val="18"/>
                <w:szCs w:val="18"/>
                <w:color w:val="auto"/>
              </w:rPr>
              <w:t>Risk Factors</w:t>
            </w: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0"/>
              </w:rPr>
              <w:t>See page S-6 of this prospectus supplement and page 6 of the accompanying prospectus for a</w:t>
            </w:r>
          </w:p>
        </w:tc>
      </w:tr>
      <w:tr>
        <w:trPr>
          <w:trHeight w:val="230"/>
        </w:trPr>
        <w:tc>
          <w:tcPr>
            <w:tcW w:w="2720" w:type="dxa"/>
            <w:vAlign w:val="bottom"/>
          </w:tcPr>
          <w:p>
            <w:pPr>
              <w:spacing w:after="0"/>
              <w:rPr>
                <w:sz w:val="20"/>
                <w:szCs w:val="20"/>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rPr>
              <w:t>discussion of the risks you should consider before investing in the notes.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03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403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200" w:right="40" w:firstLine="775"/>
        <w:spacing w:after="0" w:line="257" w:lineRule="auto"/>
        <w:rPr>
          <w:sz w:val="20"/>
          <w:szCs w:val="20"/>
          <w:color w:val="auto"/>
        </w:rPr>
      </w:pPr>
      <w:r>
        <w:rPr>
          <w:rFonts w:ascii="Arial" w:cs="Arial" w:eastAsia="Arial" w:hAnsi="Arial"/>
          <w:sz w:val="18"/>
          <w:szCs w:val="18"/>
          <w:color w:val="auto"/>
        </w:rPr>
        <w:t>For purposes of computing these ratios, we have divided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The following table sets forth our ratio of earnings to fixed charges for each of the periods indicated (dollars in millions):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9"/>
            <w:vMerge w:val="restart"/>
          </w:tcPr>
          <w:p>
            <w:pPr>
              <w:jc w:val="center"/>
              <w:ind w:right="480"/>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10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3"/>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gridSpan w:val="9"/>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110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2015</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2012</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5"/>
              </w:rPr>
              <w:t>(Unaudited)</w:t>
            </w:r>
          </w:p>
        </w:tc>
        <w:tc>
          <w:tcPr>
            <w:tcW w:w="40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 investments (a)</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1,109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1,805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1,557</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Implicit interest in rents</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Earnings available for fixed charges (a)</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1,546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2,329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1,072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1,897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540" w:type="dxa"/>
            <w:vAlign w:val="bottom"/>
            <w:gridSpan w:val="2"/>
          </w:tcPr>
          <w:p>
            <w:pPr>
              <w:ind w:left="720"/>
              <w:spacing w:after="0"/>
              <w:rPr>
                <w:sz w:val="20"/>
                <w:szCs w:val="20"/>
                <w:color w:val="auto"/>
              </w:rPr>
            </w:pPr>
            <w:r>
              <w:rPr>
                <w:rFonts w:ascii="Arial" w:cs="Arial" w:eastAsia="Arial" w:hAnsi="Arial"/>
                <w:sz w:val="18"/>
                <w:szCs w:val="18"/>
                <w:color w:val="auto"/>
              </w:rPr>
              <w:t>Total fixed charges (a)</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4.7x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3.4x</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4.3x</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1.9x</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3.8x</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Adjusted ratio of earnings to fixed charges (b)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4.7x</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4.9x</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4.2x</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3.7x</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3.6x</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80" w:hanging="423"/>
        <w:spacing w:after="0" w:line="259"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43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3743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80" w:hanging="423"/>
        <w:spacing w:after="0" w:line="264"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divestitures and losses on early extinguishment of debt. A reconciliation showing the effect of these items on our “Income before income taxes and losses in equity investments” used to calculate our earnings available for fixed charges is as follows (in millions):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5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gridSpan w:val="8"/>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5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4"/>
                <w:szCs w:val="4"/>
                <w:color w:val="auto"/>
              </w:rPr>
            </w:pPr>
          </w:p>
        </w:tc>
        <w:tc>
          <w:tcPr>
            <w:tcW w:w="68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4"/>
                <w:szCs w:val="4"/>
                <w:color w:val="auto"/>
              </w:rPr>
            </w:pPr>
          </w:p>
        </w:tc>
        <w:tc>
          <w:tcPr>
            <w:tcW w:w="6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2012</w:t>
            </w:r>
          </w:p>
        </w:tc>
        <w:tc>
          <w:tcPr>
            <w:tcW w:w="9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March 31, 2016</w:t>
            </w:r>
          </w:p>
        </w:tc>
        <w:tc>
          <w:tcPr>
            <w:tcW w:w="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7"/>
              </w:rPr>
              <w:t>(Unaudited)</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As reported Income before income taxes and losses in equity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1,109</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1,805</w:t>
            </w:r>
          </w:p>
        </w:tc>
        <w:tc>
          <w:tcPr>
            <w:tcW w:w="1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Arial" w:cs="Arial" w:eastAsia="Arial" w:hAnsi="Arial"/>
                <w:sz w:val="18"/>
                <w:szCs w:val="18"/>
                <w:color w:val="auto"/>
                <w:w w:val="97"/>
              </w:rPr>
              <w:t>Adjustments to Income before income taxes and losses in equity</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costs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Goodwill impairments</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impairments (other than goodwill)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(Income) expense from divestitures</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040" w:type="dxa"/>
            <w:vAlign w:val="bottom"/>
          </w:tcPr>
          <w:p>
            <w:pPr>
              <w:spacing w:after="0" w:line="205" w:lineRule="exact"/>
              <w:rPr>
                <w:sz w:val="20"/>
                <w:szCs w:val="20"/>
                <w:color w:val="auto"/>
              </w:rPr>
            </w:pPr>
            <w:r>
              <w:rPr>
                <w:rFonts w:ascii="Arial" w:cs="Arial" w:eastAsia="Arial" w:hAnsi="Arial"/>
                <w:sz w:val="18"/>
                <w:szCs w:val="18"/>
                <w:b w:val="1"/>
                <w:bCs w:val="1"/>
                <w:color w:val="auto"/>
              </w:rPr>
              <w:t>Adjusted income before income taxes and losses in equity</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2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1,761</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1,727</w:t>
            </w:r>
          </w:p>
        </w:tc>
        <w:tc>
          <w:tcPr>
            <w:tcW w:w="1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1,526</w:t>
            </w:r>
          </w:p>
        </w:tc>
        <w:tc>
          <w:tcPr>
            <w:tcW w:w="2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1,500</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right="120"/>
        <w:spacing w:after="0" w:line="276" w:lineRule="auto"/>
        <w:rPr>
          <w:sz w:val="20"/>
          <w:szCs w:val="20"/>
          <w:color w:val="auto"/>
        </w:rPr>
      </w:pPr>
      <w:r>
        <w:rPr>
          <w:rFonts w:ascii="Arial" w:cs="Arial" w:eastAsia="Arial" w:hAnsi="Arial"/>
          <w:sz w:val="17"/>
          <w:szCs w:val="17"/>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U.S. Generally Accepted Accounting Principles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80"/>
          </w:cols>
          <w:pgMar w:left="24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i w:val="1"/>
          <w:iCs w:val="1"/>
          <w:color w:val="auto"/>
        </w:rPr>
        <w:t>You should carefully consider the risk factors identified in Part 1, Item 1A, “Risk Factors,” of our Annual Report on Form 10-K for the year ended December 31, 2015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substantial indebtedness could impair our financial condition and our ability to fulfill our debt obligations, including our obligations under the notes.</w:t>
      </w:r>
    </w:p>
    <w:p>
      <w:pPr>
        <w:spacing w:after="0" w:line="166"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We have substantial indebtedness. At March 31, 2016, our ratio of total debt to total capitalization was 64.4% and we had $9.6 billion of total debt. In addition, as of March 31, 2016, we had approximately $965 million of letters of credit outstanding under our $2.25 billion revolving credit facility and other letter of credit facilities. Our indebtedness makes us vulnerable to changes in interest rates. As of March 31, 2016, we had $1.14 billion of debt with stated maturities within 12 months and $381 million of tax-exempt bonds with term interest rate periods scheduled to expire within the next 12 months. Our level of indebtedness and the covenants contained in the agreements governing our debt could have important consequences, including:</w:t>
      </w:r>
    </w:p>
    <w:p>
      <w:pPr>
        <w:spacing w:after="0" w:line="200" w:lineRule="exact"/>
        <w:rPr>
          <w:sz w:val="20"/>
          <w:szCs w:val="20"/>
          <w:color w:val="auto"/>
        </w:rPr>
      </w:pPr>
    </w:p>
    <w:p>
      <w:pPr>
        <w:ind w:left="1240" w:right="60" w:hanging="327"/>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197" w:lineRule="exact"/>
        <w:rPr>
          <w:rFonts w:ascii="Arial" w:cs="Arial" w:eastAsia="Arial" w:hAnsi="Arial"/>
          <w:sz w:val="18"/>
          <w:szCs w:val="18"/>
          <w:color w:val="auto"/>
        </w:rPr>
      </w:pPr>
    </w:p>
    <w:p>
      <w:pPr>
        <w:ind w:left="1240" w:right="340" w:hanging="327"/>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197" w:lineRule="exact"/>
        <w:rPr>
          <w:rFonts w:ascii="Arial" w:cs="Arial" w:eastAsia="Arial" w:hAnsi="Arial"/>
          <w:sz w:val="18"/>
          <w:szCs w:val="18"/>
          <w:color w:val="auto"/>
        </w:rPr>
      </w:pPr>
    </w:p>
    <w:p>
      <w:pPr>
        <w:ind w:left="1240" w:right="120" w:hanging="327"/>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225" w:lineRule="exact"/>
        <w:rPr>
          <w:sz w:val="20"/>
          <w:szCs w:val="20"/>
          <w:color w:val="auto"/>
        </w:rPr>
      </w:pPr>
    </w:p>
    <w:p>
      <w:pPr>
        <w:ind w:right="40" w:firstLine="799"/>
        <w:spacing w:after="0" w:line="276" w:lineRule="auto"/>
        <w:rPr>
          <w:sz w:val="20"/>
          <w:szCs w:val="20"/>
          <w:color w:val="auto"/>
        </w:rPr>
      </w:pPr>
      <w:r>
        <w:rPr>
          <w:rFonts w:ascii="Arial" w:cs="Arial" w:eastAsia="Arial" w:hAnsi="Arial"/>
          <w:sz w:val="17"/>
          <w:szCs w:val="17"/>
          <w:color w:val="auto"/>
        </w:rPr>
        <w:t>We are not prohibited under the indenture governing the notes from incurring additional indebtedness. Although our $2.25 billion revolving credit facility requires us to comply with specified ratios of Total Debt to EBITDA and EBIT to Consolidated Total Interest Expense (each as defined in our $2.25 billion revolving credit facility), as of March 31, 2016 and after giving effect to the offering of the notes and the use of proceeds contemplated hereby, we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holding company and we depend upon cash distributions from our subsidiaries to service our debt.</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effectively subordinated to certain of our subsidiaries’ debt and our secured debt.</w:t>
      </w:r>
    </w:p>
    <w:p>
      <w:pPr>
        <w:spacing w:after="0" w:line="229" w:lineRule="exact"/>
        <w:rPr>
          <w:sz w:val="20"/>
          <w:szCs w:val="20"/>
          <w:color w:val="auto"/>
        </w:rPr>
      </w:pPr>
    </w:p>
    <w:p>
      <w:pPr>
        <w:ind w:right="60" w:firstLine="799"/>
        <w:spacing w:after="0" w:line="270" w:lineRule="auto"/>
        <w:rPr>
          <w:sz w:val="20"/>
          <w:szCs w:val="20"/>
          <w:color w:val="auto"/>
        </w:rPr>
      </w:pPr>
      <w:r>
        <w:rPr>
          <w:rFonts w:ascii="Arial" w:cs="Arial" w:eastAsia="Arial" w:hAnsi="Arial"/>
          <w:sz w:val="17"/>
          <w:szCs w:val="17"/>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March 31, 2016 was $74 million. As of March 31, 2016, our operating subsidiaries had $3.024 billion of indebtedness and WM Holdings had $304 million of indebtedness (excluding guarantees of $5.7 billion of our senior debt), in each case excluding intercompany loans. For a description of the ranking of the notes, see “Description of Notes—Ranking” in this prospectus supplement.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Fraudulent transfer statutes may limit your rights under the guarantee of the notes.</w:t>
      </w:r>
    </w:p>
    <w:p>
      <w:pPr>
        <w:spacing w:after="0" w:line="229" w:lineRule="exact"/>
        <w:rPr>
          <w:sz w:val="20"/>
          <w:szCs w:val="20"/>
          <w:color w:val="auto"/>
        </w:rPr>
      </w:pPr>
    </w:p>
    <w:p>
      <w:pPr>
        <w:ind w:right="40" w:firstLine="799"/>
        <w:spacing w:after="0" w:line="290" w:lineRule="auto"/>
        <w:rPr>
          <w:sz w:val="20"/>
          <w:szCs w:val="20"/>
          <w:color w:val="auto"/>
        </w:rPr>
      </w:pPr>
      <w:r>
        <w:rPr>
          <w:rFonts w:ascii="Arial" w:cs="Arial" w:eastAsia="Arial" w:hAnsi="Arial"/>
          <w:sz w:val="16"/>
          <w:szCs w:val="16"/>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may not have sufficient funds to purchase the notes upon a change of control triggering event, and this covenant provides limited protection to investors.</w:t>
      </w:r>
    </w:p>
    <w:p>
      <w:pPr>
        <w:spacing w:after="0" w:line="166"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not be able to sell the notes.</w:t>
      </w:r>
    </w:p>
    <w:p>
      <w:pPr>
        <w:spacing w:after="0" w:line="229"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214" w:lineRule="exact"/>
        <w:rPr>
          <w:sz w:val="20"/>
          <w:szCs w:val="20"/>
          <w:color w:val="auto"/>
        </w:rPr>
      </w:pPr>
    </w:p>
    <w:p>
      <w:pPr>
        <w:ind w:left="1240" w:hanging="3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80"/>
          </w:cols>
          <w:pgMar w:left="24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40" w:firstLine="799"/>
        <w:spacing w:after="0" w:line="286" w:lineRule="auto"/>
        <w:rPr>
          <w:sz w:val="20"/>
          <w:szCs w:val="20"/>
          <w:color w:val="auto"/>
        </w:rPr>
      </w:pPr>
      <w:r>
        <w:rPr>
          <w:rFonts w:ascii="Arial" w:cs="Arial" w:eastAsia="Arial" w:hAnsi="Arial"/>
          <w:sz w:val="17"/>
          <w:szCs w:val="17"/>
          <w:color w:val="auto"/>
        </w:rPr>
        <w:t>We expect the net proceeds from the offering of the notes to be $ million, after deducting the underwriting discount and estimated expenses of the offering that we will pay. We intend to use the net proceeds from the offering of the notes, together with cash on hand, to repay $500 million principal amount of our outstanding 2.6% Senior Notes when they mature in September 2016, plus accrued and unpaid interest of $6.5 million.</w:t>
      </w:r>
    </w:p>
    <w:p>
      <w:pPr>
        <w:spacing w:after="0" w:line="166"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Pending application of the net proceeds as described immediately above, we anticipate that we may temporarily pay down short-term borrowings under our $2.25 billion revolving credit facility used for working capital, and we may temporarily invest in short-term investments. As of March 31, 2016, the outstanding balance on our $2.25 billion revolving credit facility was $458 million and had a weighted average interest rate of 1.4%. The $2.25 billion revolving credit facility matures in July 2020.</w:t>
      </w:r>
    </w:p>
    <w:p>
      <w:pPr>
        <w:spacing w:after="0" w:line="187" w:lineRule="exact"/>
        <w:rPr>
          <w:sz w:val="20"/>
          <w:szCs w:val="20"/>
          <w:color w:val="auto"/>
        </w:rPr>
      </w:pPr>
    </w:p>
    <w:p>
      <w:pPr>
        <w:ind w:right="180" w:firstLine="799"/>
        <w:spacing w:after="0" w:line="255" w:lineRule="auto"/>
        <w:rPr>
          <w:sz w:val="20"/>
          <w:szCs w:val="20"/>
          <w:color w:val="auto"/>
        </w:rPr>
      </w:pPr>
      <w:r>
        <w:rPr>
          <w:rFonts w:ascii="Arial" w:cs="Arial" w:eastAsia="Arial" w:hAnsi="Arial"/>
          <w:sz w:val="18"/>
          <w:szCs w:val="18"/>
          <w:color w:val="auto"/>
        </w:rPr>
        <w:t>Certain affiliates of Citigroup Global Markets Inc., Merrill Lynch, Pierce, Fenner &amp; Smith Incorporated and Mizuho Securities USA Inc. are lenders to us under our $2.25 billion revolving credit facility and may receive 5% or more of the net proceeds of this offering by reason of the repayment of amounts outstanding under such credit facility, pending application of the net proceeds as described above. Accordingly, such underwriters are deemed to have a “conflict of interest” within the meaning of Rule 5121, and this offering will be conducted in accordance with Rule 5121. No underwriter with a “conflict of interest” will confirm sales to any account over which it exercises discretion without the specific written approval of the account holder. See “Underwriting (Conflicts of Interest)” in this prospectus supplement.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The following table sets forth our consolidated cash and cash equivalents and consolidated capitalization as of March 31, 2016 on an actual basis and as adjusted to give effect to the offering of the notes and the application of the estimated net proceeds as described in the initial paragraph under “Use of Proceeds” in this prospectus supplement. 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8"/>
          </w:tcPr>
          <w:p>
            <w:pPr>
              <w:jc w:val="center"/>
              <w:ind w:right="630"/>
              <w:spacing w:after="0"/>
              <w:rPr>
                <w:sz w:val="20"/>
                <w:szCs w:val="20"/>
                <w:color w:val="auto"/>
              </w:rPr>
            </w:pPr>
            <w:r>
              <w:rPr>
                <w:rFonts w:ascii="Arial" w:cs="Arial" w:eastAsia="Arial" w:hAnsi="Arial"/>
                <w:sz w:val="14"/>
                <w:szCs w:val="14"/>
                <w:b w:val="1"/>
                <w:bCs w:val="1"/>
                <w:color w:val="auto"/>
                <w:w w:val="96"/>
              </w:rPr>
              <w:t>March 31, 2016</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Actual</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As</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3"/>
              </w:rPr>
              <w:t>Adjusted</w:t>
            </w:r>
          </w:p>
        </w:tc>
        <w:tc>
          <w:tcPr>
            <w:tcW w:w="26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gridSpan w:val="9"/>
          </w:tcPr>
          <w:p>
            <w:pPr>
              <w:jc w:val="center"/>
              <w:ind w:right="250"/>
              <w:spacing w:after="0" w:line="119" w:lineRule="exact"/>
              <w:rPr>
                <w:sz w:val="20"/>
                <w:szCs w:val="20"/>
                <w:color w:val="auto"/>
              </w:rPr>
            </w:pPr>
            <w:r>
              <w:rPr>
                <w:rFonts w:ascii="Arial" w:cs="Arial" w:eastAsia="Arial" w:hAnsi="Arial"/>
                <w:sz w:val="13"/>
                <w:szCs w:val="13"/>
                <w:b w:val="1"/>
                <w:bCs w:val="1"/>
                <w:color w:val="auto"/>
              </w:rPr>
              <w:t>(Unaudited, Dollars in</w:t>
            </w: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millions)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6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(d)</w:t>
            </w:r>
          </w:p>
        </w:tc>
      </w:tr>
      <w:tr>
        <w:trPr>
          <w:trHeight w:val="223"/>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Debt:</w:t>
            </w:r>
          </w:p>
        </w:tc>
        <w:tc>
          <w:tcPr>
            <w:tcW w:w="6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$2.25 billion revolving credit facility (weighted average interest rate of 1.4% at March 31, 2016) (a)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458</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458</w:t>
            </w:r>
          </w:p>
        </w:tc>
      </w:tr>
      <w:tr>
        <w:trPr>
          <w:trHeight w:val="216"/>
        </w:trPr>
        <w:tc>
          <w:tcPr>
            <w:tcW w:w="20" w:type="dxa"/>
            <w:vAlign w:val="bottom"/>
          </w:tcPr>
          <w:p>
            <w:pPr>
              <w:spacing w:after="0"/>
              <w:rPr>
                <w:sz w:val="18"/>
                <w:szCs w:val="18"/>
                <w:color w:val="auto"/>
              </w:rPr>
            </w:pPr>
          </w:p>
        </w:tc>
        <w:tc>
          <w:tcPr>
            <w:tcW w:w="2600" w:type="dxa"/>
            <w:vAlign w:val="bottom"/>
            <w:gridSpan w:val="2"/>
          </w:tcPr>
          <w:p>
            <w:pPr>
              <w:ind w:left="340"/>
              <w:spacing w:after="0"/>
              <w:rPr>
                <w:sz w:val="20"/>
                <w:szCs w:val="20"/>
                <w:color w:val="auto"/>
              </w:rPr>
            </w:pPr>
            <w:r>
              <w:rPr>
                <w:rFonts w:ascii="Arial" w:cs="Arial" w:eastAsia="Arial" w:hAnsi="Arial"/>
                <w:sz w:val="18"/>
                <w:szCs w:val="18"/>
                <w:color w:val="auto"/>
              </w:rPr>
              <w:t>Letter of credit facilities (a)</w:t>
            </w:r>
          </w:p>
        </w:tc>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8"/>
              </w:rPr>
              <w:t>Canadian credit facility and term loan (weighted average effective interest rate of 2.0% at March 31, 2016) (b)</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353</w:t>
            </w:r>
          </w:p>
        </w:tc>
      </w:tr>
      <w:tr>
        <w:trPr>
          <w:trHeight w:val="202"/>
        </w:trPr>
        <w:tc>
          <w:tcPr>
            <w:tcW w:w="20" w:type="dxa"/>
            <w:vAlign w:val="bottom"/>
          </w:tcPr>
          <w:p>
            <w:pPr>
              <w:spacing w:after="0"/>
              <w:rPr>
                <w:sz w:val="17"/>
                <w:szCs w:val="17"/>
                <w:color w:val="auto"/>
              </w:rPr>
            </w:pPr>
          </w:p>
        </w:tc>
        <w:tc>
          <w:tcPr>
            <w:tcW w:w="892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3"/>
              </w:rPr>
              <w:t>Senior notes maturing through 2045, interest rates ranging from 2.60% to 7.75% (weighted average interest rate of</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00" w:type="dxa"/>
            <w:vAlign w:val="bottom"/>
            <w:gridSpan w:val="2"/>
          </w:tcPr>
          <w:p>
            <w:pPr>
              <w:ind w:left="520"/>
              <w:spacing w:after="0"/>
              <w:rPr>
                <w:sz w:val="20"/>
                <w:szCs w:val="20"/>
                <w:color w:val="auto"/>
              </w:rPr>
            </w:pPr>
            <w:r>
              <w:rPr>
                <w:rFonts w:ascii="Arial" w:cs="Arial" w:eastAsia="Arial" w:hAnsi="Arial"/>
                <w:sz w:val="18"/>
                <w:szCs w:val="18"/>
                <w:color w:val="auto"/>
              </w:rPr>
              <w:t>4.7% at March 31, 2016)</w:t>
            </w:r>
          </w:p>
        </w:tc>
        <w:tc>
          <w:tcPr>
            <w:tcW w:w="6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6,039</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8"/>
                <w:szCs w:val="18"/>
                <w:color w:val="auto"/>
              </w:rPr>
              <w:t>5,539</w:t>
            </w: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 Senior Notes due</w:t>
            </w:r>
          </w:p>
        </w:tc>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offered hereby (including unamortized discount)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500</w:t>
            </w:r>
          </w:p>
        </w:tc>
      </w:tr>
      <w:tr>
        <w:trPr>
          <w:trHeight w:val="202"/>
        </w:trPr>
        <w:tc>
          <w:tcPr>
            <w:tcW w:w="20" w:type="dxa"/>
            <w:vAlign w:val="bottom"/>
          </w:tcPr>
          <w:p>
            <w:pPr>
              <w:spacing w:after="0"/>
              <w:rPr>
                <w:sz w:val="17"/>
                <w:szCs w:val="17"/>
                <w:color w:val="auto"/>
              </w:rPr>
            </w:pPr>
          </w:p>
        </w:tc>
        <w:tc>
          <w:tcPr>
            <w:tcW w:w="892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5"/>
              </w:rPr>
              <w:t>Tax-exempt bonds maturing through 2045, fixed and variable interest rates ranging from 0.4% to 5.7% (weighted</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20" w:type="dxa"/>
            <w:vAlign w:val="bottom"/>
            <w:gridSpan w:val="3"/>
          </w:tcPr>
          <w:p>
            <w:pPr>
              <w:ind w:left="520"/>
              <w:spacing w:after="0"/>
              <w:rPr>
                <w:sz w:val="20"/>
                <w:szCs w:val="20"/>
                <w:color w:val="auto"/>
              </w:rPr>
            </w:pPr>
            <w:r>
              <w:rPr>
                <w:rFonts w:ascii="Arial" w:cs="Arial" w:eastAsia="Arial" w:hAnsi="Arial"/>
                <w:sz w:val="18"/>
                <w:szCs w:val="18"/>
                <w:color w:val="auto"/>
              </w:rPr>
              <w:t>average interest rate of 2.0% at March 31, 2016) (c)</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2,418</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8"/>
                <w:szCs w:val="18"/>
                <w:color w:val="auto"/>
              </w:rPr>
              <w:t>2,418</w:t>
            </w:r>
          </w:p>
        </w:tc>
      </w:tr>
      <w:tr>
        <w:trPr>
          <w:trHeight w:val="216"/>
        </w:trPr>
        <w:tc>
          <w:tcPr>
            <w:tcW w:w="20" w:type="dxa"/>
            <w:vAlign w:val="bottom"/>
          </w:tcPr>
          <w:p>
            <w:pPr>
              <w:spacing w:after="0"/>
              <w:rPr>
                <w:sz w:val="18"/>
                <w:szCs w:val="18"/>
                <w:color w:val="auto"/>
              </w:rPr>
            </w:pPr>
          </w:p>
        </w:tc>
        <w:tc>
          <w:tcPr>
            <w:tcW w:w="8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328</w:t>
            </w:r>
          </w:p>
        </w:tc>
      </w:tr>
      <w:tr>
        <w:trPr>
          <w:trHeight w:val="230"/>
        </w:trPr>
        <w:tc>
          <w:tcPr>
            <w:tcW w:w="20" w:type="dxa"/>
            <w:vAlign w:val="bottom"/>
          </w:tcPr>
          <w:p>
            <w:pPr>
              <w:spacing w:after="0"/>
              <w:rPr>
                <w:sz w:val="20"/>
                <w:szCs w:val="20"/>
                <w:color w:val="auto"/>
              </w:rPr>
            </w:pPr>
          </w:p>
        </w:tc>
        <w:tc>
          <w:tcPr>
            <w:tcW w:w="260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6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9,596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9,596</w:t>
            </w: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tcPr>
          <w:p>
            <w:pPr>
              <w:spacing w:after="0"/>
              <w:rPr>
                <w:sz w:val="20"/>
                <w:szCs w:val="20"/>
                <w:color w:val="auto"/>
              </w:rPr>
            </w:pPr>
            <w:r>
              <w:rPr>
                <w:rFonts w:ascii="Arial" w:cs="Arial" w:eastAsia="Arial" w:hAnsi="Arial"/>
                <w:sz w:val="18"/>
                <w:szCs w:val="18"/>
                <w:color w:val="auto"/>
              </w:rPr>
              <w:t>Waste Management, Inc. Stockholders’ Equity:</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6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4,795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8"/>
                <w:szCs w:val="18"/>
                <w:color w:val="auto"/>
              </w:rPr>
              <w:t>4,795</w:t>
            </w: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7,012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7,012</w:t>
            </w:r>
          </w:p>
        </w:tc>
      </w:tr>
      <w:tr>
        <w:trPr>
          <w:trHeight w:val="216"/>
        </w:trPr>
        <w:tc>
          <w:tcPr>
            <w:tcW w:w="20" w:type="dxa"/>
            <w:vAlign w:val="bottom"/>
          </w:tcPr>
          <w:p>
            <w:pPr>
              <w:spacing w:after="0"/>
              <w:rPr>
                <w:sz w:val="18"/>
                <w:szCs w:val="18"/>
                <w:color w:val="auto"/>
              </w:rPr>
            </w:pPr>
          </w:p>
        </w:tc>
        <w:tc>
          <w:tcPr>
            <w:tcW w:w="892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1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8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Treasury stock at cost, 185,558,853 shares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4"/>
              </w:rPr>
              <w:t>(6,465)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(6,465)</w:t>
            </w:r>
          </w:p>
        </w:tc>
      </w:tr>
      <w:tr>
        <w:trPr>
          <w:trHeight w:val="223"/>
        </w:trPr>
        <w:tc>
          <w:tcPr>
            <w:tcW w:w="20" w:type="dxa"/>
            <w:vAlign w:val="bottom"/>
          </w:tcPr>
          <w:p>
            <w:pPr>
              <w:spacing w:after="0"/>
              <w:rPr>
                <w:sz w:val="19"/>
                <w:szCs w:val="19"/>
                <w:color w:val="auto"/>
              </w:rPr>
            </w:pPr>
          </w:p>
        </w:tc>
        <w:tc>
          <w:tcPr>
            <w:tcW w:w="8920" w:type="dxa"/>
            <w:vAlign w:val="bottom"/>
            <w:gridSpan w:val="3"/>
          </w:tcPr>
          <w:p>
            <w:pPr>
              <w:ind w:left="340"/>
              <w:spacing w:after="0"/>
              <w:rPr>
                <w:sz w:val="20"/>
                <w:szCs w:val="20"/>
                <w:color w:val="auto"/>
              </w:rPr>
            </w:pPr>
            <w:r>
              <w:rPr>
                <w:rFonts w:ascii="Arial" w:cs="Arial" w:eastAsia="Arial" w:hAnsi="Arial"/>
                <w:sz w:val="18"/>
                <w:szCs w:val="18"/>
                <w:color w:val="auto"/>
              </w:rPr>
              <w:t>Total Waste Management, Inc. stockholders’ equity</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5,290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5,290</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20"/>
                <w:szCs w:val="20"/>
                <w:color w:val="auto"/>
              </w:rPr>
            </w:pPr>
          </w:p>
        </w:tc>
        <w:tc>
          <w:tcPr>
            <w:tcW w:w="2600" w:type="dxa"/>
            <w:vAlign w:val="bottom"/>
            <w:gridSpan w:val="2"/>
          </w:tcPr>
          <w:p>
            <w:pPr>
              <w:ind w:left="340"/>
              <w:spacing w:after="0"/>
              <w:rPr>
                <w:sz w:val="20"/>
                <w:szCs w:val="20"/>
                <w:color w:val="auto"/>
              </w:rPr>
            </w:pPr>
            <w:r>
              <w:rPr>
                <w:rFonts w:ascii="Arial" w:cs="Arial" w:eastAsia="Arial" w:hAnsi="Arial"/>
                <w:sz w:val="18"/>
                <w:szCs w:val="18"/>
                <w:color w:val="auto"/>
              </w:rPr>
              <w:t>Total equity</w:t>
            </w:r>
          </w:p>
        </w:tc>
        <w:tc>
          <w:tcPr>
            <w:tcW w:w="6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5,310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5,310</w:t>
            </w: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debt and equity</w:t>
            </w:r>
          </w:p>
        </w:tc>
        <w:tc>
          <w:tcPr>
            <w:tcW w:w="6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7"/>
              </w:rPr>
              <w:t>14,906</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14,906</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6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r>
    </w:tbl>
    <w:p>
      <w:pPr>
        <w:spacing w:after="0" w:line="26" w:lineRule="exact"/>
        <w:rPr>
          <w:sz w:val="20"/>
          <w:szCs w:val="20"/>
          <w:color w:val="auto"/>
        </w:rPr>
      </w:pPr>
    </w:p>
    <w:p>
      <w:pPr>
        <w:ind w:left="460" w:right="40" w:hanging="452"/>
        <w:spacing w:after="0" w:line="293"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March 31, 2016, we had an aggregate committed capacity of $2.4 billion for letters of credit under various U.S. credit facilities. Our $2.25 billion revolving credit facility expires in July 2020 and is our primary source of letter of credit capacity. Our remaining committed letter of credit capacity is provided under facilities with terms extending through December 2018. As of March 31, 2016, we had an aggregate of $965 million of letters of credit outstanding under various credit facilities. As of March 31, 2016, we had $458 million of outstanding borrowings under our $2.25 billion revolving credit facility and $815 million of letters of credit issued and supported by the facility, leaving $977 million of unused and available capacity. We supplement the letter of credit capacity we have through these committed facilities with stand-alone letters of credit with various banking partners.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Waste Management of Canada Corporation and WM Quebec Inc., wholly owned subsidiaries of Waste Management, Inc., are borrowers under a Canadian credit agreement that was amended and restated in March 2016 and matures in March 2019. The amended and restated credit agreement provides (i) C$50 million of revolving credit capacity, which can be used for borrowings or letters of credit and (ii) C$460 million of non-revolving term credit that was fully drawn at closing and is prepayable without penalty. Waste Management, Inc. and WM Holdings guarantee all subsidiary obligations outstanding under the credit agreement. As of March 31, 2016, we had no revolving borrowings or letters of credit outstanding under the facility.</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Does not reflect payment of accrued interest of $6.5 million upon repayment of our 2.6% Senior Notes when they mature in September 2016.</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800"/>
        <w:spacing w:after="0"/>
        <w:tabs>
          <w:tab w:leader="none" w:pos="3620" w:val="left"/>
          <w:tab w:leader="none" w:pos="5980" w:val="left"/>
          <w:tab w:leader="none" w:pos="6480" w:val="left"/>
        </w:tabs>
        <w:rPr>
          <w:sz w:val="20"/>
          <w:szCs w:val="20"/>
          <w:color w:val="auto"/>
        </w:rPr>
      </w:pPr>
      <w:r>
        <w:rPr>
          <w:rFonts w:ascii="Arial" w:cs="Arial" w:eastAsia="Arial" w:hAnsi="Arial"/>
          <w:sz w:val="18"/>
          <w:szCs w:val="18"/>
          <w:color w:val="auto"/>
        </w:rPr>
        <w:t>We are offering $500 million of our</w:t>
        <w:tab/>
        <w:t>% senior notes due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The notes will be issued under and pursuant to an Indenture dated</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10, 1997, between us and The Bank of New York Mellon Trust Company, N.A. (the current successor to the initial trustee, Texas Commerce Bank National Association), as Trustee. We will issue the notes pursuant to a resolution of our Board of Directors and accompanying officers’ certificate setting forth the specific terms applicable to the notes.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The Notes</w:t>
      </w:r>
      <w:r>
        <w:rPr>
          <w:rFonts w:ascii="Arial" w:cs="Arial" w:eastAsia="Arial" w:hAnsi="Arial"/>
          <w:sz w:val="18"/>
          <w:szCs w:val="18"/>
          <w:color w:val="auto"/>
        </w:rPr>
        <w:t>. The notes will:</w:t>
      </w:r>
    </w:p>
    <w:p>
      <w:pPr>
        <w:spacing w:after="0" w:line="252" w:lineRule="exact"/>
        <w:rPr>
          <w:sz w:val="20"/>
          <w:szCs w:val="20"/>
          <w:color w:val="auto"/>
        </w:rPr>
      </w:pPr>
    </w:p>
    <w:p>
      <w:pPr>
        <w:ind w:left="1240" w:hanging="32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252" w:lineRule="exact"/>
        <w:rPr>
          <w:rFonts w:ascii="Arial" w:cs="Arial" w:eastAsia="Arial" w:hAnsi="Arial"/>
          <w:sz w:val="18"/>
          <w:szCs w:val="18"/>
          <w:color w:val="auto"/>
        </w:rPr>
      </w:pPr>
    </w:p>
    <w:p>
      <w:pPr>
        <w:ind w:left="1240" w:right="520" w:hanging="327"/>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constitute a new and separate series of debt securities issued under the Indenture and will be initially limited to an aggregate principal amount of $500 million;</w:t>
      </w:r>
    </w:p>
    <w:p>
      <w:pPr>
        <w:spacing w:after="0" w:line="197" w:lineRule="exact"/>
        <w:rPr>
          <w:sz w:val="20"/>
          <w:szCs w:val="20"/>
          <w:color w:val="auto"/>
        </w:rPr>
      </w:pPr>
    </w:p>
    <w:p>
      <w:pPr>
        <w:ind w:left="920"/>
        <w:spacing w:after="0"/>
        <w:tabs>
          <w:tab w:leader="none" w:pos="1220" w:val="left"/>
          <w:tab w:leader="none" w:pos="2940" w:val="left"/>
          <w:tab w:leader="none" w:pos="3420" w:val="left"/>
        </w:tabs>
        <w:rPr>
          <w:sz w:val="20"/>
          <w:szCs w:val="20"/>
          <w:color w:val="auto"/>
        </w:rPr>
      </w:pPr>
      <w:r>
        <w:rPr>
          <w:rFonts w:ascii="Arial" w:cs="Arial" w:eastAsia="Arial" w:hAnsi="Arial"/>
          <w:sz w:val="18"/>
          <w:szCs w:val="18"/>
          <w:color w:val="auto"/>
        </w:rPr>
        <w:t>•</w:t>
        <w:tab/>
        <w:t>mature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1240" w:hanging="327"/>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252" w:lineRule="exact"/>
        <w:rPr>
          <w:rFonts w:ascii="Arial" w:cs="Arial" w:eastAsia="Arial" w:hAnsi="Arial"/>
          <w:sz w:val="18"/>
          <w:szCs w:val="18"/>
          <w:color w:val="auto"/>
        </w:rPr>
      </w:pPr>
    </w:p>
    <w:p>
      <w:pPr>
        <w:ind w:left="1240" w:hanging="327"/>
        <w:spacing w:after="0" w:line="264"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Interest will:</w:t>
      </w:r>
    </w:p>
    <w:p>
      <w:pPr>
        <w:sectPr>
          <w:pgSz w:w="11900" w:h="16838" w:orient="portrait"/>
          <w:cols w:equalWidth="0" w:num="1">
            <w:col w:w="11380"/>
          </w:cols>
          <w:pgMar w:left="240" w:top="459" w:right="279" w:bottom="1440" w:gutter="0" w:footer="0" w:header="0"/>
        </w:sectPr>
      </w:pPr>
    </w:p>
    <w:p>
      <w:pPr>
        <w:spacing w:after="0" w:line="2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accrue on the notes at the rate of</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per annum;</w:t>
      </w:r>
    </w:p>
    <w:p>
      <w:pPr>
        <w:spacing w:after="0" w:line="211" w:lineRule="exact"/>
        <w:rPr>
          <w:sz w:val="20"/>
          <w:szCs w:val="20"/>
          <w:color w:val="auto"/>
        </w:rPr>
      </w:pPr>
    </w:p>
    <w:p>
      <w:pPr>
        <w:sectPr>
          <w:pgSz w:w="11900" w:h="16838" w:orient="portrait"/>
          <w:cols w:equalWidth="0" w:num="3">
            <w:col w:w="980" w:space="260"/>
            <w:col w:w="2340" w:space="260"/>
            <w:col w:w="7540"/>
          </w:cols>
          <w:pgMar w:left="240" w:top="459" w:right="279" w:bottom="1440" w:gutter="0" w:footer="0" w:header="0"/>
          <w:type w:val="continuous"/>
        </w:sectPr>
      </w:pPr>
    </w:p>
    <w:p>
      <w:pPr>
        <w:spacing w:after="0" w:line="6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accrue from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2016 or the most recent interest payment date;</w:t>
      </w:r>
    </w:p>
    <w:p>
      <w:pPr>
        <w:spacing w:after="0" w:line="211" w:lineRule="exact"/>
        <w:rPr>
          <w:sz w:val="20"/>
          <w:szCs w:val="20"/>
          <w:color w:val="auto"/>
        </w:rPr>
      </w:pPr>
    </w:p>
    <w:p>
      <w:pPr>
        <w:sectPr>
          <w:pgSz w:w="11900" w:h="16838" w:orient="portrait"/>
          <w:cols w:equalWidth="0" w:num="3">
            <w:col w:w="980" w:space="260"/>
            <w:col w:w="1140" w:space="720"/>
            <w:col w:w="8280"/>
          </w:cols>
          <w:pgMar w:left="240" w:top="459" w:right="279" w:bottom="1440" w:gutter="0" w:footer="0" w:header="0"/>
          <w:type w:val="continuous"/>
        </w:sectPr>
      </w:pPr>
    </w:p>
    <w:p>
      <w:pPr>
        <w:spacing w:after="0" w:line="6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 payable in cash semi-annually in arrears on</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each year, beginning on</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2016;</w:t>
      </w:r>
    </w:p>
    <w:p>
      <w:pPr>
        <w:spacing w:after="0" w:line="211" w:lineRule="exact"/>
        <w:rPr>
          <w:sz w:val="20"/>
          <w:szCs w:val="20"/>
          <w:color w:val="auto"/>
        </w:rPr>
      </w:pPr>
    </w:p>
    <w:p>
      <w:pPr>
        <w:sectPr>
          <w:pgSz w:w="11900" w:h="16838" w:orient="portrait"/>
          <w:cols w:equalWidth="0" w:num="5">
            <w:col w:w="980" w:space="260"/>
            <w:col w:w="3340" w:space="440"/>
            <w:col w:w="260" w:space="460"/>
            <w:col w:w="2160" w:space="720"/>
            <w:col w:w="2760"/>
          </w:cols>
          <w:pgMar w:left="240" w:top="459" w:right="279" w:bottom="1440" w:gutter="0" w:footer="0" w:header="0"/>
          <w:type w:val="continuous"/>
        </w:sectPr>
      </w:pPr>
    </w:p>
    <w:p>
      <w:pPr>
        <w:spacing w:after="0" w:line="6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 payable to holders of record on the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immediately preceding the related interest payment dates; and</w:t>
      </w:r>
    </w:p>
    <w:p>
      <w:pPr>
        <w:spacing w:after="0" w:line="211" w:lineRule="exact"/>
        <w:rPr>
          <w:sz w:val="20"/>
          <w:szCs w:val="20"/>
          <w:color w:val="auto"/>
        </w:rPr>
      </w:pPr>
    </w:p>
    <w:p>
      <w:pPr>
        <w:sectPr>
          <w:pgSz w:w="11900" w:h="16838" w:orient="portrait"/>
          <w:cols w:equalWidth="0" w:num="4">
            <w:col w:w="980" w:space="260"/>
            <w:col w:w="2720" w:space="460"/>
            <w:col w:w="260" w:space="440"/>
            <w:col w:w="6260"/>
          </w:cols>
          <w:pgMar w:left="240" w:top="459" w:right="279" w:bottom="1440" w:gutter="0" w:footer="0" w:header="0"/>
          <w:type w:val="continuous"/>
        </w:sectPr>
      </w:pPr>
    </w:p>
    <w:p>
      <w:pPr>
        <w:spacing w:after="0" w:line="64" w:lineRule="exact"/>
        <w:rPr>
          <w:sz w:val="20"/>
          <w:szCs w:val="20"/>
          <w:color w:val="auto"/>
        </w:rPr>
      </w:pPr>
    </w:p>
    <w:p>
      <w:pPr>
        <w:ind w:left="5540" w:right="4360" w:hanging="4627"/>
        <w:spacing w:after="0" w:line="449" w:lineRule="auto"/>
        <w:tabs>
          <w:tab w:leader="none" w:pos="1233"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 S-12</w:t>
      </w:r>
    </w:p>
    <w:p>
      <w:pPr>
        <w:sectPr>
          <w:pgSz w:w="11900" w:h="16838" w:orient="portrait"/>
          <w:cols w:equalWidth="0" w:num="1">
            <w:col w:w="11380"/>
          </w:cols>
          <w:pgMar w:left="240" w:top="459"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 and Transfer</w:t>
      </w:r>
    </w:p>
    <w:p>
      <w:pPr>
        <w:spacing w:after="0" w:line="229"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187" w:lineRule="exact"/>
        <w:rPr>
          <w:sz w:val="20"/>
          <w:szCs w:val="20"/>
          <w:color w:val="auto"/>
        </w:rPr>
      </w:pPr>
    </w:p>
    <w:p>
      <w:pPr>
        <w:ind w:right="80" w:firstLine="799"/>
        <w:spacing w:after="0" w:line="302"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54" w:lineRule="exact"/>
        <w:rPr>
          <w:sz w:val="20"/>
          <w:szCs w:val="20"/>
          <w:color w:val="auto"/>
        </w:rPr>
      </w:pPr>
    </w:p>
    <w:p>
      <w:pPr>
        <w:jc w:val="both"/>
        <w:ind w:right="80" w:firstLine="799"/>
        <w:spacing w:after="0" w:line="286" w:lineRule="auto"/>
        <w:rPr>
          <w:sz w:val="20"/>
          <w:szCs w:val="20"/>
          <w:color w:val="auto"/>
        </w:rPr>
      </w:pPr>
      <w:r>
        <w:rPr>
          <w:rFonts w:ascii="Arial" w:cs="Arial" w:eastAsia="Arial" w:hAnsi="Arial"/>
          <w:sz w:val="17"/>
          <w:szCs w:val="17"/>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260" w:firstLine="799"/>
        <w:spacing w:after="0" w:line="277" w:lineRule="auto"/>
        <w:rPr>
          <w:sz w:val="20"/>
          <w:szCs w:val="20"/>
          <w:color w:val="auto"/>
        </w:rPr>
      </w:pPr>
      <w:r>
        <w:rPr>
          <w:rFonts w:ascii="Arial" w:cs="Arial" w:eastAsia="Arial" w:hAnsi="Arial"/>
          <w:sz w:val="18"/>
          <w:szCs w:val="18"/>
          <w:color w:val="auto"/>
        </w:rPr>
        <w:t>Before the Par Call Date, the notes will be redeemable and repayable, at our option, at any time in whole, or from time to time in part, at a price equal to the greater of:</w:t>
      </w:r>
    </w:p>
    <w:p>
      <w:pPr>
        <w:spacing w:after="0" w:line="197" w:lineRule="exact"/>
        <w:rPr>
          <w:sz w:val="20"/>
          <w:szCs w:val="20"/>
          <w:color w:val="auto"/>
        </w:rPr>
      </w:pPr>
    </w:p>
    <w:p>
      <w:pPr>
        <w:ind w:left="1240" w:hanging="327"/>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52" w:lineRule="exact"/>
        <w:rPr>
          <w:rFonts w:ascii="Arial" w:cs="Arial" w:eastAsia="Arial" w:hAnsi="Arial"/>
          <w:sz w:val="18"/>
          <w:szCs w:val="18"/>
          <w:color w:val="auto"/>
        </w:rPr>
      </w:pPr>
    </w:p>
    <w:p>
      <w:pPr>
        <w:ind w:left="1240" w:right="40" w:hanging="327"/>
        <w:spacing w:after="0" w:line="288"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as calculated by us, of the present values of the remaining scheduled payments of principal and interest on the notes to be redeemed that would be due if such notes matured on the Par Call Date (exclusive of interest accrued to the date of redemption) discounted to the date of redemption on a semi-annual basis (assuming a 360-day year consisting of twelve 30-day months) at the applicable Treasury Yield plus</w:t>
      </w:r>
    </w:p>
    <w:p>
      <w:pPr>
        <w:ind w:left="1640"/>
        <w:spacing w:after="0"/>
        <w:rPr>
          <w:rFonts w:ascii="Arial" w:cs="Arial" w:eastAsia="Arial" w:hAnsi="Arial"/>
          <w:sz w:val="16"/>
          <w:szCs w:val="16"/>
          <w:color w:val="auto"/>
        </w:rPr>
      </w:pPr>
      <w:r>
        <w:rPr>
          <w:rFonts w:ascii="Arial" w:cs="Arial" w:eastAsia="Arial" w:hAnsi="Arial"/>
          <w:sz w:val="18"/>
          <w:szCs w:val="18"/>
          <w:color w:val="auto"/>
        </w:rPr>
        <w:t>basis points;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225" w:lineRule="exact"/>
        <w:rPr>
          <w:sz w:val="20"/>
          <w:szCs w:val="20"/>
          <w:color w:val="auto"/>
        </w:rPr>
      </w:pPr>
    </w:p>
    <w:p>
      <w:pPr>
        <w:ind w:right="380" w:firstLine="799"/>
        <w:spacing w:after="0" w:line="342" w:lineRule="auto"/>
        <w:rPr>
          <w:sz w:val="20"/>
          <w:szCs w:val="20"/>
          <w:color w:val="auto"/>
        </w:rPr>
      </w:pPr>
      <w:r>
        <w:rPr>
          <w:rFonts w:ascii="Arial" w:cs="Arial" w:eastAsia="Arial" w:hAnsi="Arial"/>
          <w:sz w:val="16"/>
          <w:szCs w:val="16"/>
          <w:color w:val="auto"/>
        </w:rPr>
        <w:t>On or after the Par Call Date, the notes will be redeemable and repayable, at our option, at any time in whole, or from time to time in part, at a price equal to 100% of the principal amount of the notes to be redeemed plus accrued interest on the notes to be redeemed to the date of redemption.</w:t>
      </w:r>
    </w:p>
    <w:p>
      <w:pPr>
        <w:spacing w:after="0" w:line="124" w:lineRule="exact"/>
        <w:rPr>
          <w:sz w:val="20"/>
          <w:szCs w:val="20"/>
          <w:color w:val="auto"/>
        </w:rPr>
      </w:pPr>
    </w:p>
    <w:p>
      <w:pPr>
        <w:ind w:right="100" w:firstLine="799"/>
        <w:spacing w:after="0" w:line="291"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799"/>
        <w:spacing w:after="0" w:line="302" w:lineRule="auto"/>
        <w:rPr>
          <w:sz w:val="20"/>
          <w:szCs w:val="20"/>
          <w:color w:val="auto"/>
        </w:rPr>
      </w:pPr>
      <w:r>
        <w:rPr>
          <w:rFonts w:ascii="Arial" w:cs="Arial" w:eastAsia="Arial" w:hAnsi="Arial"/>
          <w:sz w:val="16"/>
          <w:szCs w:val="16"/>
          <w:color w:val="auto"/>
        </w:rPr>
        <w:t>The factors that we generally consider in determining whether to redeem the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We are currently unaware of any circumstances under which we would redeem the notes.</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For purposes of the optional redemption, the following definitions are applicable:</w:t>
      </w:r>
    </w:p>
    <w:p>
      <w:pPr>
        <w:spacing w:after="0" w:line="225" w:lineRule="exact"/>
        <w:rPr>
          <w:sz w:val="20"/>
          <w:szCs w:val="20"/>
          <w:color w:val="auto"/>
        </w:rPr>
      </w:pPr>
    </w:p>
    <w:p>
      <w:pPr>
        <w:ind w:left="800" w:right="20" w:firstLine="74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Yield</w:t>
      </w:r>
      <w:r>
        <w:rPr>
          <w:rFonts w:ascii="Arial" w:cs="Arial" w:eastAsia="Arial" w:hAnsi="Arial"/>
          <w:sz w:val="18"/>
          <w:szCs w:val="18"/>
          <w:color w:val="auto"/>
        </w:rPr>
        <w:t>”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87" w:lineRule="exact"/>
        <w:rPr>
          <w:sz w:val="20"/>
          <w:szCs w:val="20"/>
          <w:color w:val="auto"/>
        </w:rPr>
      </w:pPr>
    </w:p>
    <w:p>
      <w:pPr>
        <w:ind w:left="800" w:right="40" w:firstLine="74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an Independent Investment Banker as having a maturity comparable to the remaining term of the notes to be redeemed,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87" w:lineRule="exact"/>
        <w:rPr>
          <w:sz w:val="20"/>
          <w:szCs w:val="20"/>
          <w:color w:val="auto"/>
        </w:rPr>
      </w:pPr>
    </w:p>
    <w:p>
      <w:pPr>
        <w:ind w:left="800" w:right="20" w:firstLine="74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Independent Investment Banker</w:t>
      </w:r>
      <w:r>
        <w:rPr>
          <w:rFonts w:ascii="Arial" w:cs="Arial" w:eastAsia="Arial" w:hAnsi="Arial"/>
          <w:sz w:val="17"/>
          <w:szCs w:val="17"/>
          <w:color w:val="auto"/>
        </w:rPr>
        <w:t>” means any of Citigroup Global Markets Inc., Merrill Lynch, Pierce, Fenner &amp; Smith Incorporated and Mizuho Securities USA Inc. (and their respective successors), or, if all of such firms are unwilling or unable to select the applicable Comparable Treasury Issue, an independent investment banking institution of national standing appointed by us.</w:t>
      </w:r>
    </w:p>
    <w:p>
      <w:pPr>
        <w:spacing w:after="0" w:line="166" w:lineRule="exact"/>
        <w:rPr>
          <w:sz w:val="20"/>
          <w:szCs w:val="20"/>
          <w:color w:val="auto"/>
        </w:rPr>
      </w:pPr>
    </w:p>
    <w:p>
      <w:pPr>
        <w:ind w:left="800" w:right="100" w:firstLine="74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(i) the average of the Reference Treasury Dealer Quotations obtained by the Trustee for the redemption date, after excluding the highest and lowest of all Reference Treasury Dealer Quotations obtained, or</w:t>
      </w:r>
    </w:p>
    <w:p>
      <w:pPr>
        <w:ind w:left="800" w:right="320" w:firstLine="7"/>
        <w:spacing w:after="0" w:line="261" w:lineRule="auto"/>
        <w:tabs>
          <w:tab w:leader="none" w:pos="10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Trustee obtains fewer than four such Reference Treasury Dealer Quotations, the average of all Reference Treasury Dealer Quotations obtained by the Trustee.</w:t>
      </w:r>
    </w:p>
    <w:p>
      <w:pPr>
        <w:spacing w:after="0" w:line="184" w:lineRule="exact"/>
        <w:rPr>
          <w:sz w:val="20"/>
          <w:szCs w:val="20"/>
          <w:color w:val="auto"/>
        </w:rPr>
      </w:pPr>
    </w:p>
    <w:p>
      <w:pPr>
        <w:ind w:left="1540"/>
        <w:spacing w:after="0"/>
        <w:tabs>
          <w:tab w:leader="none" w:pos="3620" w:val="left"/>
          <w:tab w:leader="none" w:pos="4120" w:val="left"/>
          <w:tab w:leader="none" w:pos="4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months prior to the maturity date).</w:t>
      </w:r>
    </w:p>
    <w:p>
      <w:pPr>
        <w:spacing w:after="0" w:line="225" w:lineRule="exact"/>
        <w:rPr>
          <w:sz w:val="20"/>
          <w:szCs w:val="20"/>
          <w:color w:val="auto"/>
        </w:rPr>
      </w:pPr>
    </w:p>
    <w:p>
      <w:pPr>
        <w:ind w:left="800" w:right="40" w:firstLine="74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Citigroup Global Markets Inc., Merrill Lynch, Pierce, Fenner &amp; Smith Incorporated and Mizuho Securities USA Inc.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187" w:lineRule="exact"/>
        <w:rPr>
          <w:sz w:val="20"/>
          <w:szCs w:val="20"/>
          <w:color w:val="auto"/>
        </w:rPr>
      </w:pPr>
    </w:p>
    <w:p>
      <w:pPr>
        <w:ind w:left="800" w:firstLine="74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187" w:lineRule="exact"/>
        <w:rPr>
          <w:sz w:val="20"/>
          <w:szCs w:val="20"/>
          <w:color w:val="auto"/>
        </w:rPr>
      </w:pPr>
    </w:p>
    <w:p>
      <w:pPr>
        <w:jc w:val="center"/>
        <w:ind w:left="540" w:right="500"/>
        <w:spacing w:after="0" w:line="449"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 S-14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ind w:right="520" w:firstLine="799"/>
        <w:spacing w:after="0" w:line="277"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the Debt Securities—Provisions Applicable to Each Indenture—Defeasance” in the accompanying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340" w:firstLine="799"/>
        <w:spacing w:after="0" w:line="308" w:lineRule="auto"/>
        <w:rPr>
          <w:sz w:val="20"/>
          <w:szCs w:val="20"/>
          <w:color w:val="auto"/>
        </w:rPr>
      </w:pPr>
      <w:r>
        <w:rPr>
          <w:rFonts w:ascii="Arial" w:cs="Arial" w:eastAsia="Arial" w:hAnsi="Arial"/>
          <w:sz w:val="17"/>
          <w:szCs w:val="17"/>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 either:</w:t>
      </w:r>
    </w:p>
    <w:p>
      <w:pPr>
        <w:spacing w:after="0" w:line="225" w:lineRule="exact"/>
        <w:rPr>
          <w:sz w:val="20"/>
          <w:szCs w:val="20"/>
          <w:color w:val="auto"/>
        </w:rPr>
      </w:pPr>
    </w:p>
    <w:p>
      <w:pPr>
        <w:ind w:left="800" w:right="340" w:firstLine="750"/>
        <w:spacing w:after="0" w:line="264" w:lineRule="auto"/>
        <w:tabs>
          <w:tab w:leader="none" w:pos="17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81" w:lineRule="exact"/>
        <w:rPr>
          <w:rFonts w:ascii="Arial" w:cs="Arial" w:eastAsia="Arial" w:hAnsi="Arial"/>
          <w:sz w:val="18"/>
          <w:szCs w:val="18"/>
          <w:color w:val="auto"/>
        </w:rPr>
      </w:pPr>
    </w:p>
    <w:p>
      <w:pPr>
        <w:ind w:left="800" w:right="100" w:firstLine="750"/>
        <w:spacing w:after="0" w:line="255" w:lineRule="auto"/>
        <w:tabs>
          <w:tab w:leader="none" w:pos="17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193" w:lineRule="exact"/>
        <w:rPr>
          <w:rFonts w:ascii="Arial" w:cs="Arial" w:eastAsia="Arial" w:hAnsi="Arial"/>
          <w:sz w:val="18"/>
          <w:szCs w:val="18"/>
          <w:color w:val="auto"/>
        </w:rPr>
      </w:pPr>
    </w:p>
    <w:p>
      <w:pPr>
        <w:ind w:left="1060" w:hanging="25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and</w:t>
      </w:r>
    </w:p>
    <w:p>
      <w:pPr>
        <w:spacing w:after="0" w:line="225" w:lineRule="exact"/>
        <w:rPr>
          <w:rFonts w:ascii="Arial" w:cs="Arial" w:eastAsia="Arial" w:hAnsi="Arial"/>
          <w:sz w:val="18"/>
          <w:szCs w:val="18"/>
          <w:color w:val="auto"/>
        </w:rPr>
      </w:pPr>
    </w:p>
    <w:p>
      <w:pPr>
        <w:ind w:right="400" w:firstLine="807"/>
        <w:spacing w:after="0" w:line="277" w:lineRule="auto"/>
        <w:tabs>
          <w:tab w:leader="none" w:pos="10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17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87" w:lineRule="exact"/>
        <w:rPr>
          <w:sz w:val="20"/>
          <w:szCs w:val="20"/>
          <w:color w:val="auto"/>
        </w:rPr>
      </w:pPr>
    </w:p>
    <w:p>
      <w:pPr>
        <w:ind w:right="80" w:firstLine="799"/>
        <w:spacing w:after="0" w:line="273" w:lineRule="auto"/>
        <w:rPr>
          <w:sz w:val="20"/>
          <w:szCs w:val="20"/>
          <w:color w:val="auto"/>
        </w:rPr>
      </w:pPr>
      <w:r>
        <w:rPr>
          <w:rFonts w:ascii="Arial" w:cs="Arial" w:eastAsia="Arial" w:hAnsi="Arial"/>
          <w:sz w:val="17"/>
          <w:szCs w:val="17"/>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Securities—Provisions Applicable Solely to Senior Debt Securities” in the accompanying prospectus.</w:t>
      </w:r>
    </w:p>
    <w:p>
      <w:pPr>
        <w:spacing w:after="0" w:line="188" w:lineRule="exact"/>
        <w:rPr>
          <w:sz w:val="20"/>
          <w:szCs w:val="20"/>
          <w:color w:val="auto"/>
        </w:rPr>
      </w:pPr>
    </w:p>
    <w:p>
      <w:pPr>
        <w:ind w:right="720" w:firstLine="799"/>
        <w:spacing w:after="0" w:line="277" w:lineRule="auto"/>
        <w:rPr>
          <w:sz w:val="20"/>
          <w:szCs w:val="20"/>
          <w:color w:val="auto"/>
        </w:rPr>
      </w:pPr>
      <w:r>
        <w:rPr>
          <w:rFonts w:ascii="Arial" w:cs="Arial" w:eastAsia="Arial" w:hAnsi="Arial"/>
          <w:sz w:val="18"/>
          <w:szCs w:val="18"/>
          <w:color w:val="auto"/>
        </w:rPr>
        <w:t>As of March 31, 2016, our operating subsidiaries had $3.024 billion of indebtedness and WM Holdings had $304 million of indebtedness (excluding guarantees of $5.7 billion of our senior debt), in each case excluding intercompany loans.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187"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197" w:lineRule="exact"/>
        <w:rPr>
          <w:sz w:val="20"/>
          <w:szCs w:val="20"/>
          <w:color w:val="auto"/>
        </w:rPr>
      </w:pPr>
    </w:p>
    <w:p>
      <w:pPr>
        <w:ind w:left="1240" w:hanging="32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252" w:lineRule="exact"/>
        <w:rPr>
          <w:rFonts w:ascii="Arial" w:cs="Arial" w:eastAsia="Arial" w:hAnsi="Arial"/>
          <w:sz w:val="18"/>
          <w:szCs w:val="18"/>
          <w:color w:val="auto"/>
        </w:rPr>
      </w:pPr>
    </w:p>
    <w:p>
      <w:pPr>
        <w:ind w:left="1240" w:right="120" w:hanging="327"/>
        <w:spacing w:after="0" w:line="264"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of Control Offer</w:t>
      </w:r>
    </w:p>
    <w:p>
      <w:pPr>
        <w:spacing w:after="0" w:line="229"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58"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252" w:lineRule="exact"/>
        <w:rPr>
          <w:sz w:val="20"/>
          <w:szCs w:val="20"/>
          <w:color w:val="auto"/>
        </w:rPr>
      </w:pPr>
    </w:p>
    <w:p>
      <w:pPr>
        <w:ind w:left="1240" w:hanging="32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252" w:lineRule="exact"/>
        <w:rPr>
          <w:rFonts w:ascii="Arial" w:cs="Arial" w:eastAsia="Arial" w:hAnsi="Arial"/>
          <w:sz w:val="18"/>
          <w:szCs w:val="18"/>
          <w:color w:val="auto"/>
        </w:rPr>
      </w:pPr>
    </w:p>
    <w:p>
      <w:pPr>
        <w:ind w:left="1240" w:hanging="327"/>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97" w:lineRule="exact"/>
        <w:rPr>
          <w:rFonts w:ascii="Arial" w:cs="Arial" w:eastAsia="Arial" w:hAnsi="Arial"/>
          <w:sz w:val="18"/>
          <w:szCs w:val="18"/>
          <w:color w:val="auto"/>
        </w:rPr>
      </w:pPr>
    </w:p>
    <w:p>
      <w:pPr>
        <w:ind w:left="1240" w:right="40" w:hanging="327"/>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sz w:val="20"/>
          <w:szCs w:val="20"/>
          <w:color w:val="auto"/>
        </w:rPr>
      </w:pPr>
    </w:p>
    <w:p>
      <w:pPr>
        <w:ind w:right="180" w:firstLine="799"/>
        <w:spacing w:after="0" w:line="257"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180"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8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ind w:left="800" w:right="260" w:firstLine="74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our Board of Directors who (1) was a member 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18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225" w:lineRule="exact"/>
        <w:rPr>
          <w:sz w:val="20"/>
          <w:szCs w:val="20"/>
          <w:color w:val="auto"/>
        </w:rPr>
      </w:pPr>
    </w:p>
    <w:p>
      <w:pPr>
        <w:ind w:left="800" w:right="320" w:firstLine="74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18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800" w:firstLine="74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87" w:lineRule="exact"/>
        <w:rPr>
          <w:sz w:val="20"/>
          <w:szCs w:val="20"/>
          <w:color w:val="auto"/>
        </w:rPr>
      </w:pPr>
    </w:p>
    <w:p>
      <w:pPr>
        <w:ind w:left="800" w:right="160" w:firstLine="74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is lowered by at least two of the three rating agencies and the notes are rated 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8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McGraw-Hill Companies, Inc., and its successors.</w:t>
      </w:r>
    </w:p>
    <w:p>
      <w:pPr>
        <w:spacing w:after="0" w:line="225" w:lineRule="exact"/>
        <w:rPr>
          <w:sz w:val="20"/>
          <w:szCs w:val="20"/>
          <w:color w:val="auto"/>
        </w:rPr>
      </w:pPr>
    </w:p>
    <w:p>
      <w:pPr>
        <w:ind w:left="800" w:right="340" w:firstLine="74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voting stock</w:t>
      </w:r>
      <w:r>
        <w:rPr>
          <w:rFonts w:ascii="Arial" w:cs="Arial" w:eastAsia="Arial" w:hAnsi="Arial"/>
          <w:sz w:val="16"/>
          <w:szCs w:val="16"/>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252" w:lineRule="exact"/>
        <w:rPr>
          <w:sz w:val="20"/>
          <w:szCs w:val="20"/>
          <w:color w:val="auto"/>
        </w:rPr>
      </w:pPr>
    </w:p>
    <w:p>
      <w:pPr>
        <w:ind w:left="1240" w:hanging="32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252" w:lineRule="exact"/>
        <w:rPr>
          <w:rFonts w:ascii="Arial" w:cs="Arial" w:eastAsia="Arial" w:hAnsi="Arial"/>
          <w:sz w:val="18"/>
          <w:szCs w:val="18"/>
          <w:color w:val="auto"/>
        </w:rPr>
      </w:pPr>
    </w:p>
    <w:p>
      <w:pPr>
        <w:ind w:left="5540" w:right="5440" w:hanging="4627"/>
        <w:spacing w:after="0" w:line="536" w:lineRule="auto"/>
        <w:tabs>
          <w:tab w:leader="none" w:pos="12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 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799"/>
        <w:spacing w:after="0" w:line="308" w:lineRule="auto"/>
        <w:rPr>
          <w:sz w:val="20"/>
          <w:szCs w:val="20"/>
          <w:color w:val="auto"/>
        </w:rPr>
      </w:pPr>
      <w:r>
        <w:rPr>
          <w:rFonts w:ascii="Arial" w:cs="Arial" w:eastAsia="Arial" w:hAnsi="Arial"/>
          <w:sz w:val="17"/>
          <w:szCs w:val="17"/>
          <w:color w:val="auto"/>
        </w:rPr>
        <w:t>For a description of these covenants, see “Description of the Debt Securities—Provisions Applicable to Each Indenture—Consolidation, Merger and Sale of Assets” and “—Provisions Applicable Solely to Senior Debt Securities—Restrictive Covenants” in the accompanying prospectus.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Further Issuances</w:t>
      </w:r>
    </w:p>
    <w:p>
      <w:pPr>
        <w:spacing w:after="0" w:line="229" w:lineRule="exact"/>
        <w:rPr>
          <w:sz w:val="20"/>
          <w:szCs w:val="20"/>
          <w:color w:val="auto"/>
        </w:rPr>
      </w:pPr>
    </w:p>
    <w:p>
      <w:pPr>
        <w:jc w:val="both"/>
        <w:ind w:firstLine="799"/>
        <w:spacing w:after="0" w:line="302" w:lineRule="auto"/>
        <w:rPr>
          <w:sz w:val="20"/>
          <w:szCs w:val="20"/>
          <w:color w:val="auto"/>
        </w:rPr>
      </w:pPr>
      <w:r>
        <w:rPr>
          <w:rFonts w:ascii="Arial" w:cs="Arial" w:eastAsia="Arial" w:hAnsi="Arial"/>
          <w:sz w:val="16"/>
          <w:szCs w:val="16"/>
          <w:color w:val="auto"/>
        </w:rPr>
        <w:t>We may from time to time, without notice or the consent of the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Book-Entry Systems</w:t>
      </w:r>
    </w:p>
    <w:p>
      <w:pPr>
        <w:spacing w:after="0" w:line="229" w:lineRule="exact"/>
        <w:rPr>
          <w:sz w:val="20"/>
          <w:szCs w:val="20"/>
          <w:color w:val="auto"/>
        </w:rPr>
      </w:pPr>
    </w:p>
    <w:p>
      <w:pPr>
        <w:ind w:right="60" w:firstLine="799"/>
        <w:spacing w:after="0" w:line="279" w:lineRule="auto"/>
        <w:rPr>
          <w:sz w:val="20"/>
          <w:szCs w:val="20"/>
          <w:color w:val="auto"/>
        </w:rPr>
      </w:pPr>
      <w:r>
        <w:rPr>
          <w:rFonts w:ascii="Arial" w:cs="Arial" w:eastAsia="Arial" w:hAnsi="Arial"/>
          <w:sz w:val="17"/>
          <w:szCs w:val="17"/>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71"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81"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88" w:lineRule="exact"/>
        <w:rPr>
          <w:sz w:val="20"/>
          <w:szCs w:val="20"/>
          <w:color w:val="auto"/>
        </w:rPr>
      </w:pPr>
    </w:p>
    <w:p>
      <w:pPr>
        <w:ind w:right="380" w:firstLine="799"/>
        <w:spacing w:after="0" w:line="277"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DTC</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DTC has advised us and the underwriters as follows:</w:t>
      </w:r>
    </w:p>
    <w:p>
      <w:pPr>
        <w:spacing w:after="0" w:line="252" w:lineRule="exact"/>
        <w:rPr>
          <w:sz w:val="20"/>
          <w:szCs w:val="20"/>
          <w:color w:val="auto"/>
        </w:rPr>
      </w:pPr>
    </w:p>
    <w:p>
      <w:pPr>
        <w:jc w:val="both"/>
        <w:ind w:left="1240" w:right="220" w:hanging="327"/>
        <w:spacing w:after="0" w:line="28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192" w:lineRule="exact"/>
        <w:rPr>
          <w:rFonts w:ascii="Arial" w:cs="Arial" w:eastAsia="Arial" w:hAnsi="Arial"/>
          <w:sz w:val="17"/>
          <w:szCs w:val="17"/>
          <w:color w:val="auto"/>
        </w:rPr>
      </w:pPr>
    </w:p>
    <w:p>
      <w:pPr>
        <w:ind w:left="1240" w:hanging="327"/>
        <w:spacing w:after="0" w:line="28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right="300" w:hanging="327"/>
        <w:spacing w:after="0" w:line="259"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213" w:lineRule="exact"/>
        <w:rPr>
          <w:rFonts w:ascii="Arial" w:cs="Arial" w:eastAsia="Arial" w:hAnsi="Arial"/>
          <w:sz w:val="18"/>
          <w:szCs w:val="18"/>
          <w:color w:val="auto"/>
        </w:rPr>
      </w:pPr>
    </w:p>
    <w:p>
      <w:pPr>
        <w:ind w:left="1240" w:hanging="327"/>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225" w:lineRule="exact"/>
        <w:rPr>
          <w:sz w:val="20"/>
          <w:szCs w:val="20"/>
          <w:color w:val="auto"/>
        </w:rPr>
      </w:pPr>
    </w:p>
    <w:p>
      <w:pPr>
        <w:ind w:right="120" w:firstLine="799"/>
        <w:spacing w:after="0" w:line="272"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78"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58"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Consequently, those persons may be prohibited from purchasing beneficial interests in the global notes from any beneficial owner or otherwise.</w:t>
      </w:r>
    </w:p>
    <w:p>
      <w:pPr>
        <w:spacing w:after="0" w:line="211"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87" w:lineRule="exact"/>
        <w:rPr>
          <w:sz w:val="20"/>
          <w:szCs w:val="20"/>
          <w:color w:val="auto"/>
        </w:rPr>
      </w:pPr>
    </w:p>
    <w:p>
      <w:pPr>
        <w:jc w:val="both"/>
        <w:ind w:right="100" w:firstLine="799"/>
        <w:spacing w:after="0" w:line="286" w:lineRule="auto"/>
        <w:rPr>
          <w:sz w:val="20"/>
          <w:szCs w:val="20"/>
          <w:color w:val="auto"/>
        </w:rPr>
      </w:pPr>
      <w:r>
        <w:rPr>
          <w:rFonts w:ascii="Arial" w:cs="Arial" w:eastAsia="Arial" w:hAnsi="Arial"/>
          <w:sz w:val="17"/>
          <w:szCs w:val="17"/>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66" w:lineRule="exact"/>
        <w:rPr>
          <w:sz w:val="20"/>
          <w:szCs w:val="20"/>
          <w:color w:val="auto"/>
        </w:rPr>
      </w:pPr>
    </w:p>
    <w:p>
      <w:pPr>
        <w:ind w:right="20" w:firstLine="799"/>
        <w:spacing w:after="0" w:line="286" w:lineRule="auto"/>
        <w:rPr>
          <w:sz w:val="20"/>
          <w:szCs w:val="20"/>
          <w:color w:val="auto"/>
        </w:rPr>
      </w:pPr>
      <w:r>
        <w:rPr>
          <w:rFonts w:ascii="Arial" w:cs="Arial" w:eastAsia="Arial" w:hAnsi="Arial"/>
          <w:sz w:val="17"/>
          <w:szCs w:val="17"/>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58"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87" w:lineRule="exact"/>
        <w:rPr>
          <w:sz w:val="20"/>
          <w:szCs w:val="20"/>
          <w:color w:val="auto"/>
        </w:rPr>
      </w:pPr>
    </w:p>
    <w:p>
      <w:pPr>
        <w:jc w:val="both"/>
        <w:ind w:right="80" w:firstLine="799"/>
        <w:spacing w:after="0" w:line="264"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81"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Euroclear</w:t>
      </w:r>
    </w:p>
    <w:p>
      <w:pPr>
        <w:spacing w:after="0" w:line="229" w:lineRule="exact"/>
        <w:rPr>
          <w:sz w:val="20"/>
          <w:szCs w:val="20"/>
          <w:color w:val="auto"/>
        </w:rPr>
      </w:pPr>
    </w:p>
    <w:p>
      <w:pPr>
        <w:ind w:right="160" w:firstLine="799"/>
        <w:spacing w:after="0" w:line="279" w:lineRule="auto"/>
        <w:rPr>
          <w:sz w:val="20"/>
          <w:szCs w:val="20"/>
          <w:color w:val="auto"/>
        </w:rPr>
      </w:pPr>
      <w:r>
        <w:rPr>
          <w:rFonts w:ascii="Arial" w:cs="Arial" w:eastAsia="Arial" w:hAnsi="Arial"/>
          <w:sz w:val="17"/>
          <w:szCs w:val="17"/>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71"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Euroclear Operator is a Belgian bank, which is regulated and examined by the Belgian Banking Commission and the National Bank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11" w:lineRule="exact"/>
        <w:rPr>
          <w:sz w:val="20"/>
          <w:szCs w:val="20"/>
          <w:color w:val="auto"/>
        </w:rPr>
      </w:pPr>
    </w:p>
    <w:p>
      <w:pPr>
        <w:ind w:right="140" w:firstLine="799"/>
        <w:spacing w:after="0" w:line="286" w:lineRule="auto"/>
        <w:rPr>
          <w:sz w:val="20"/>
          <w:szCs w:val="20"/>
          <w:color w:val="auto"/>
        </w:rPr>
      </w:pPr>
      <w:r>
        <w:rPr>
          <w:rFonts w:ascii="Arial" w:cs="Arial" w:eastAsia="Arial" w:hAnsi="Arial"/>
          <w:sz w:val="17"/>
          <w:szCs w:val="17"/>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66" w:lineRule="exact"/>
        <w:rPr>
          <w:sz w:val="20"/>
          <w:szCs w:val="20"/>
          <w:color w:val="auto"/>
        </w:rPr>
      </w:pPr>
    </w:p>
    <w:p>
      <w:pPr>
        <w:jc w:val="both"/>
        <w:ind w:right="320" w:firstLine="799"/>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799"/>
        <w:spacing w:after="0" w:line="277"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70" w:lineRule="exact"/>
        <w:rPr>
          <w:sz w:val="20"/>
          <w:szCs w:val="20"/>
          <w:color w:val="auto"/>
        </w:rPr>
      </w:pPr>
    </w:p>
    <w:p>
      <w:pPr>
        <w:ind w:right="40" w:firstLine="799"/>
        <w:spacing w:after="0" w:line="276"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73"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87"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58"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Clearstream</w:t>
      </w:r>
    </w:p>
    <w:p>
      <w:pPr>
        <w:spacing w:after="0" w:line="229" w:lineRule="exact"/>
        <w:rPr>
          <w:sz w:val="20"/>
          <w:szCs w:val="20"/>
          <w:color w:val="auto"/>
        </w:rPr>
      </w:pPr>
    </w:p>
    <w:p>
      <w:pPr>
        <w:ind w:right="240" w:firstLine="799"/>
        <w:spacing w:after="0" w:line="272"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78"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799"/>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70"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58"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87" w:lineRule="exact"/>
        <w:rPr>
          <w:sz w:val="20"/>
          <w:szCs w:val="20"/>
          <w:color w:val="auto"/>
        </w:rPr>
      </w:pPr>
    </w:p>
    <w:p>
      <w:pPr>
        <w:ind w:right="140" w:firstLine="799"/>
        <w:spacing w:after="0" w:line="297" w:lineRule="auto"/>
        <w:rPr>
          <w:sz w:val="20"/>
          <w:szCs w:val="20"/>
          <w:color w:val="auto"/>
        </w:rPr>
      </w:pPr>
      <w:r>
        <w:rPr>
          <w:rFonts w:ascii="Arial" w:cs="Arial" w:eastAsia="Arial" w:hAnsi="Arial"/>
          <w:sz w:val="16"/>
          <w:szCs w:val="16"/>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58"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TAX CONSIDERATIONS FOR NON-U.S. 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Discussion</w:t>
      </w:r>
    </w:p>
    <w:p>
      <w:pPr>
        <w:spacing w:after="0" w:line="229" w:lineRule="exact"/>
        <w:rPr>
          <w:sz w:val="20"/>
          <w:szCs w:val="20"/>
          <w:color w:val="auto"/>
        </w:rPr>
      </w:pPr>
    </w:p>
    <w:p>
      <w:pPr>
        <w:ind w:right="220" w:firstLine="799"/>
        <w:spacing w:after="0" w:line="291" w:lineRule="auto"/>
        <w:rPr>
          <w:sz w:val="20"/>
          <w:szCs w:val="20"/>
          <w:color w:val="auto"/>
        </w:rPr>
      </w:pPr>
      <w:r>
        <w:rPr>
          <w:rFonts w:ascii="Arial" w:cs="Arial" w:eastAsia="Arial" w:hAnsi="Arial"/>
          <w:sz w:val="16"/>
          <w:szCs w:val="16"/>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non-U.S. holders who purchase the notes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67" w:lineRule="exact"/>
        <w:rPr>
          <w:sz w:val="20"/>
          <w:szCs w:val="20"/>
          <w:color w:val="auto"/>
        </w:rPr>
      </w:pPr>
    </w:p>
    <w:p>
      <w:pPr>
        <w:ind w:right="100" w:firstLine="799"/>
        <w:spacing w:after="0" w:line="255" w:lineRule="auto"/>
        <w:rPr>
          <w:sz w:val="20"/>
          <w:szCs w:val="20"/>
          <w:color w:val="auto"/>
        </w:rPr>
      </w:pPr>
      <w:r>
        <w:rPr>
          <w:rFonts w:ascii="Arial" w:cs="Arial" w:eastAsia="Arial" w:hAnsi="Arial"/>
          <w:sz w:val="18"/>
          <w:szCs w:val="18"/>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In addition, this discussion does not address any aspect of non-income taxation (such as estate and gift tax considerations) or state, local or foreign taxation.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193" w:lineRule="exact"/>
        <w:rPr>
          <w:sz w:val="20"/>
          <w:szCs w:val="20"/>
          <w:color w:val="auto"/>
        </w:rPr>
      </w:pPr>
    </w:p>
    <w:p>
      <w:pPr>
        <w:jc w:val="both"/>
        <w:ind w:right="100" w:firstLine="799"/>
        <w:spacing w:after="0" w:line="264" w:lineRule="auto"/>
        <w:rPr>
          <w:sz w:val="20"/>
          <w:szCs w:val="20"/>
          <w:color w:val="auto"/>
        </w:rPr>
      </w:pPr>
      <w:r>
        <w:rPr>
          <w:rFonts w:ascii="Arial" w:cs="Arial" w:eastAsia="Arial" w:hAnsi="Arial"/>
          <w:sz w:val="18"/>
          <w:szCs w:val="18"/>
          <w:color w:val="auto"/>
        </w:rPr>
        <w:t>If an entity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w:t>
      </w:r>
    </w:p>
    <w:p>
      <w:pPr>
        <w:spacing w:after="0" w:line="181"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87" w:lineRule="exact"/>
        <w:rPr>
          <w:sz w:val="20"/>
          <w:szCs w:val="20"/>
          <w:color w:val="auto"/>
        </w:rPr>
      </w:pPr>
    </w:p>
    <w:p>
      <w:pPr>
        <w:ind w:right="640" w:firstLine="799"/>
        <w:spacing w:after="0" w:line="277" w:lineRule="auto"/>
        <w:rPr>
          <w:sz w:val="20"/>
          <w:szCs w:val="20"/>
          <w:color w:val="auto"/>
        </w:rPr>
      </w:pPr>
      <w:r>
        <w:rPr>
          <w:rFonts w:ascii="Arial" w:cs="Arial" w:eastAsia="Arial" w:hAnsi="Arial"/>
          <w:sz w:val="18"/>
          <w:szCs w:val="18"/>
          <w:color w:val="auto"/>
        </w:rPr>
        <w:t>You are a “non-U.S. holder” for purposes of this discussion if you are a beneficial owner of a note (other than a partnership, or other entity classified as a partnership for U.S. federal income tax purposes) and you are not:</w:t>
      </w:r>
    </w:p>
    <w:p>
      <w:pPr>
        <w:spacing w:after="0" w:line="197" w:lineRule="exact"/>
        <w:rPr>
          <w:sz w:val="20"/>
          <w:szCs w:val="20"/>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U.S. citizen or U.S. resident alien;</w:t>
      </w:r>
    </w:p>
    <w:p>
      <w:pPr>
        <w:spacing w:after="0" w:line="252" w:lineRule="exact"/>
        <w:rPr>
          <w:rFonts w:ascii="Arial" w:cs="Arial" w:eastAsia="Arial" w:hAnsi="Arial"/>
          <w:sz w:val="18"/>
          <w:szCs w:val="18"/>
          <w:color w:val="auto"/>
        </w:rPr>
      </w:pPr>
    </w:p>
    <w:p>
      <w:pPr>
        <w:ind w:left="1240" w:hanging="327"/>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52" w:lineRule="exact"/>
        <w:rPr>
          <w:rFonts w:ascii="Arial" w:cs="Arial" w:eastAsia="Arial" w:hAnsi="Arial"/>
          <w:sz w:val="18"/>
          <w:szCs w:val="18"/>
          <w:color w:val="auto"/>
        </w:rPr>
      </w:pPr>
    </w:p>
    <w:p>
      <w:pPr>
        <w:ind w:left="1240" w:right="20" w:hanging="327"/>
        <w:spacing w:after="0" w:line="264"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Payments of Additional Amounts</w:t>
      </w:r>
    </w:p>
    <w:p>
      <w:pPr>
        <w:spacing w:after="0" w:line="229" w:lineRule="exact"/>
        <w:rPr>
          <w:sz w:val="20"/>
          <w:szCs w:val="20"/>
          <w:color w:val="auto"/>
        </w:rPr>
      </w:pPr>
    </w:p>
    <w:p>
      <w:pPr>
        <w:ind w:right="60" w:firstLine="799"/>
        <w:spacing w:after="0" w:line="254" w:lineRule="auto"/>
        <w:rPr>
          <w:sz w:val="20"/>
          <w:szCs w:val="20"/>
          <w:color w:val="auto"/>
        </w:rPr>
      </w:pPr>
      <w:r>
        <w:rPr>
          <w:rFonts w:ascii="Arial" w:cs="Arial" w:eastAsia="Arial" w:hAnsi="Arial"/>
          <w:sz w:val="18"/>
          <w:szCs w:val="18"/>
          <w:color w:val="auto"/>
        </w:rPr>
        <w:t>We may be required to make payments of additional amounts to holders of the notes under certain circumstances, including those described under “Description of Notes—Optional Redemption” or “Description of Notes—Change of Control Offer” above. We intend to take the position that the possibility of any such payment does not result in the notes being treated as “contingent payment debt instruments” under the applicable Treasury regulations. Our position is binding on you unless you disclose your contrary position in the manner required by applicable Treasury regulations. It is possible that the IRS may take a different position, in which case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Interest on the Notes</w:t>
      </w:r>
    </w:p>
    <w:p>
      <w:pPr>
        <w:spacing w:after="0" w:line="229"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Subject to the discussion of backup withholding and FATCA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208" w:lineRule="exact"/>
        <w:rPr>
          <w:sz w:val="20"/>
          <w:szCs w:val="20"/>
          <w:color w:val="auto"/>
        </w:rPr>
      </w:pPr>
    </w:p>
    <w:p>
      <w:pPr>
        <w:ind w:left="1240" w:hanging="32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paid on the notes is not effectively connected with your conduct of a trade or business in the United States;</w:t>
      </w:r>
    </w:p>
    <w:p>
      <w:pPr>
        <w:spacing w:after="0" w:line="252" w:lineRule="exact"/>
        <w:rPr>
          <w:rFonts w:ascii="Arial" w:cs="Arial" w:eastAsia="Arial" w:hAnsi="Arial"/>
          <w:sz w:val="18"/>
          <w:szCs w:val="18"/>
          <w:color w:val="auto"/>
        </w:rPr>
      </w:pPr>
    </w:p>
    <w:p>
      <w:pPr>
        <w:ind w:left="1240" w:right="400" w:hanging="327"/>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do not own, actually or constructively, 10% or more of the total combined voting power of all classes of our stock entitled to vote; and</w:t>
      </w:r>
    </w:p>
    <w:p>
      <w:pPr>
        <w:spacing w:after="0" w:line="275" w:lineRule="exact"/>
        <w:rPr>
          <w:rFonts w:ascii="Arial" w:cs="Arial" w:eastAsia="Arial" w:hAnsi="Arial"/>
          <w:sz w:val="16"/>
          <w:szCs w:val="16"/>
          <w:color w:val="auto"/>
        </w:rPr>
      </w:pPr>
    </w:p>
    <w:p>
      <w:pPr>
        <w:ind w:left="1240" w:hanging="32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us within the meaning of the Code.</w:t>
      </w:r>
    </w:p>
    <w:p>
      <w:pPr>
        <w:spacing w:after="0" w:line="225" w:lineRule="exact"/>
        <w:rPr>
          <w:sz w:val="20"/>
          <w:szCs w:val="20"/>
          <w:color w:val="auto"/>
        </w:rPr>
      </w:pPr>
    </w:p>
    <w:p>
      <w:pPr>
        <w:ind w:right="80" w:firstLine="799"/>
        <w:spacing w:after="0" w:line="271" w:lineRule="auto"/>
        <w:rPr>
          <w:sz w:val="20"/>
          <w:szCs w:val="20"/>
          <w:color w:val="auto"/>
        </w:rPr>
      </w:pPr>
      <w:r>
        <w:rPr>
          <w:rFonts w:ascii="Arial" w:cs="Arial" w:eastAsia="Arial" w:hAnsi="Arial"/>
          <w:sz w:val="17"/>
          <w:szCs w:val="17"/>
          <w:color w:val="auto"/>
        </w:rPr>
        <w:t>The portfolio interest exemption and several of the special rules for non-U.S. holders described below generally apply only if you appropriately certify as to your foreign status. You can generally meet this certification requirement by providing a properly executed IRS Form W-8BEN, IRS Form W-8BEN-E or applicable successor form to the applicable withholding agent.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“—Income or Gain Effectively Connected with a U.S. Trade or Business.”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Disposition of Notes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Subject to the discussion of backup withholding and FATCA withholding requirements discussed below, you generally will not be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on the sale, redemption, exchange, retirement or other taxable disposition of a note unless:</w:t>
      </w:r>
    </w:p>
    <w:p>
      <w:pPr>
        <w:spacing w:after="0" w:line="238" w:lineRule="exact"/>
        <w:rPr>
          <w:sz w:val="20"/>
          <w:szCs w:val="20"/>
          <w:color w:val="auto"/>
        </w:rPr>
      </w:pPr>
    </w:p>
    <w:p>
      <w:pPr>
        <w:ind w:left="1240" w:right="140" w:hanging="327"/>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197" w:lineRule="exact"/>
        <w:rPr>
          <w:rFonts w:ascii="Arial" w:cs="Arial" w:eastAsia="Arial" w:hAnsi="Arial"/>
          <w:sz w:val="18"/>
          <w:szCs w:val="18"/>
          <w:color w:val="auto"/>
        </w:rPr>
      </w:pPr>
    </w:p>
    <w:p>
      <w:pPr>
        <w:ind w:left="1240" w:right="380" w:hanging="327"/>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If you are described in the first bullet point above, you will be subject to the treatment described below in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87" w:lineRule="exact"/>
        <w:rPr>
          <w:sz w:val="20"/>
          <w:szCs w:val="20"/>
          <w:color w:val="auto"/>
        </w:rPr>
      </w:pPr>
    </w:p>
    <w:p>
      <w:pPr>
        <w:jc w:val="both"/>
        <w:ind w:right="560" w:firstLine="799"/>
        <w:spacing w:after="0" w:line="342" w:lineRule="auto"/>
        <w:rPr>
          <w:sz w:val="20"/>
          <w:szCs w:val="20"/>
          <w:color w:val="auto"/>
        </w:rPr>
      </w:pPr>
      <w:r>
        <w:rPr>
          <w:rFonts w:ascii="Arial" w:cs="Arial" w:eastAsia="Arial" w:hAnsi="Arial"/>
          <w:sz w:val="16"/>
          <w:szCs w:val="16"/>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“—Interest on the Notes.”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Income or Gain Effectively Connected with a U.S. Trade or Business</w:t>
      </w:r>
    </w:p>
    <w:p>
      <w:pPr>
        <w:spacing w:after="0" w:line="229" w:lineRule="exact"/>
        <w:rPr>
          <w:sz w:val="20"/>
          <w:szCs w:val="20"/>
          <w:color w:val="auto"/>
        </w:rPr>
      </w:pPr>
    </w:p>
    <w:p>
      <w:pPr>
        <w:ind w:right="100" w:firstLine="799"/>
        <w:spacing w:after="0" w:line="270" w:lineRule="auto"/>
        <w:rPr>
          <w:sz w:val="20"/>
          <w:szCs w:val="20"/>
          <w:color w:val="auto"/>
        </w:rPr>
      </w:pPr>
      <w:r>
        <w:rPr>
          <w:rFonts w:ascii="Arial" w:cs="Arial" w:eastAsia="Arial" w:hAnsi="Arial"/>
          <w:sz w:val="17"/>
          <w:szCs w:val="17"/>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Payments to you of interest on a note, and amounts withheld from such payments, if any, generally will be required to be reported to the IRS and to you. Copies of the information returns reporting such interest payments and any withholding may also be made available to the tax authorities in the country in which you reside under the provisions of an applicable income tax treaty.</w:t>
      </w:r>
    </w:p>
    <w:p>
      <w:pPr>
        <w:spacing w:after="0" w:line="181" w:lineRule="exact"/>
        <w:rPr>
          <w:sz w:val="20"/>
          <w:szCs w:val="20"/>
          <w:color w:val="auto"/>
        </w:rPr>
      </w:pPr>
    </w:p>
    <w:p>
      <w:pPr>
        <w:jc w:val="both"/>
        <w:ind w:right="200" w:firstLine="799"/>
        <w:spacing w:after="0" w:line="264" w:lineRule="auto"/>
        <w:rPr>
          <w:sz w:val="20"/>
          <w:szCs w:val="20"/>
          <w:color w:val="auto"/>
        </w:rPr>
      </w:pPr>
      <w:r>
        <w:rPr>
          <w:rFonts w:ascii="Arial" w:cs="Arial" w:eastAsia="Arial" w:hAnsi="Arial"/>
          <w:sz w:val="18"/>
          <w:szCs w:val="18"/>
          <w:color w:val="auto"/>
        </w:rPr>
        <w:t>Backup withholding generally will not apply to payments of interest on a note to you if the certification described in “—Interest on the Notes” is duly provided by you or you otherwise establish an exemption, provided that the applicable withholding agent does not have actual knowledge or reason to know that you are a United States person or are otherwise not exempt.</w:t>
      </w:r>
    </w:p>
    <w:p>
      <w:pPr>
        <w:spacing w:after="0" w:line="181"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color w:val="auto"/>
        </w:rPr>
        <w:t>Payment of the proceeds of a sale, redemption, exchange, retirement or other taxable disposition of a note effected by the U.S. office of a U.S. or foreign broker will be subject to information reporting requirements and backup withholding, unless you properly certify under penalties of perjury as to your foreign status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194" w:lineRule="exact"/>
        <w:rPr>
          <w:sz w:val="20"/>
          <w:szCs w:val="20"/>
          <w:color w:val="auto"/>
        </w:rPr>
      </w:pPr>
    </w:p>
    <w:p>
      <w:pPr>
        <w:ind w:left="1240" w:hanging="32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252" w:lineRule="exact"/>
        <w:rPr>
          <w:rFonts w:ascii="Arial" w:cs="Arial" w:eastAsia="Arial" w:hAnsi="Arial"/>
          <w:sz w:val="18"/>
          <w:szCs w:val="18"/>
          <w:color w:val="auto"/>
        </w:rPr>
      </w:pPr>
    </w:p>
    <w:p>
      <w:pPr>
        <w:jc w:val="center"/>
        <w:ind w:left="5540" w:right="1540" w:hanging="4627"/>
        <w:spacing w:after="0" w:line="449" w:lineRule="auto"/>
        <w:tabs>
          <w:tab w:leader="none" w:pos="12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derives 50% or more of its gross income for certain periods from the conduct of a trade or business in the United States; S-26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327"/>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252" w:lineRule="exact"/>
        <w:rPr>
          <w:rFonts w:ascii="Arial" w:cs="Arial" w:eastAsia="Arial" w:hAnsi="Arial"/>
          <w:sz w:val="18"/>
          <w:szCs w:val="18"/>
          <w:color w:val="auto"/>
        </w:rPr>
      </w:pPr>
    </w:p>
    <w:p>
      <w:pPr>
        <w:ind w:left="1240" w:right="60" w:hanging="327"/>
        <w:spacing w:after="0" w:line="277"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70"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Withholding Requirements</w:t>
      </w:r>
    </w:p>
    <w:p>
      <w:pPr>
        <w:spacing w:after="0" w:line="229" w:lineRule="exact"/>
        <w:rPr>
          <w:sz w:val="20"/>
          <w:szCs w:val="20"/>
          <w:color w:val="auto"/>
        </w:rPr>
      </w:pPr>
    </w:p>
    <w:p>
      <w:pPr>
        <w:ind w:firstLine="799"/>
        <w:spacing w:after="0" w:line="285" w:lineRule="auto"/>
        <w:rPr>
          <w:sz w:val="20"/>
          <w:szCs w:val="20"/>
          <w:color w:val="auto"/>
        </w:rPr>
      </w:pPr>
      <w:r>
        <w:rPr>
          <w:rFonts w:ascii="Arial" w:cs="Arial" w:eastAsia="Arial" w:hAnsi="Arial"/>
          <w:sz w:val="16"/>
          <w:szCs w:val="16"/>
          <w:color w:val="auto"/>
        </w:rPr>
        <w:t>Sections 1471 through 1474 of the Code (commonly referred to as the Foreign Account Tax Compliance Act, or “FATCA”) and regulations thereunder, generally impose a 30% U.S. withholding tax on interest payments on the notes and on the gross proceeds from a disposition of the notes occurring after December 31, 2018, in each case if paid to a “foreign financial institution” or a “non-financial foreign entity” (each as defined in the Code), unless (i) in the case of a foreign financial institution, such institution enters into an agreement with the Treasury Department to withhold on certain payments and to collect and provide substantial information regarding U.S. account holders, including certain account holders that are foreign entities with U.S. owners,</w:t>
      </w:r>
    </w:p>
    <w:p>
      <w:pPr>
        <w:spacing w:after="0" w:line="2" w:lineRule="exact"/>
        <w:rPr>
          <w:sz w:val="20"/>
          <w:szCs w:val="20"/>
          <w:color w:val="auto"/>
        </w:rPr>
      </w:pPr>
    </w:p>
    <w:p>
      <w:pPr>
        <w:ind w:right="240" w:firstLine="8"/>
        <w:spacing w:after="0" w:line="271" w:lineRule="auto"/>
        <w:tabs>
          <w:tab w:leader="none" w:pos="26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case of a non-financial foreign entity, such entity provides the withholding agent with a certification that it does not have any “substantial United States owners” (as defined in the Code) or a certification identifying its direct or indirect substantial United States owners, or (iii) 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You should consult with your tax advisor regarding these rules.</w:t>
      </w:r>
    </w:p>
    <w:p>
      <w:pPr>
        <w:spacing w:after="0" w:line="175" w:lineRule="exact"/>
        <w:rPr>
          <w:sz w:val="20"/>
          <w:szCs w:val="20"/>
          <w:color w:val="auto"/>
        </w:rPr>
      </w:pPr>
    </w:p>
    <w:p>
      <w:pPr>
        <w:jc w:val="both"/>
        <w:ind w:right="360" w:firstLine="799"/>
        <w:spacing w:after="0" w:line="314" w:lineRule="auto"/>
        <w:rPr>
          <w:sz w:val="20"/>
          <w:szCs w:val="20"/>
          <w:color w:val="auto"/>
        </w:rPr>
      </w:pPr>
      <w:r>
        <w:rPr>
          <w:rFonts w:ascii="Arial" w:cs="Arial" w:eastAsia="Arial" w:hAnsi="Arial"/>
          <w:sz w:val="16"/>
          <w:szCs w:val="16"/>
          <w:b w:val="1"/>
          <w:bCs w:val="1"/>
          <w:color w:val="auto"/>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consequences of any proposed change in applicable laws.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400" w:firstLine="799"/>
        <w:spacing w:after="0" w:line="277" w:lineRule="auto"/>
        <w:rPr>
          <w:sz w:val="20"/>
          <w:szCs w:val="20"/>
          <w:color w:val="auto"/>
        </w:rPr>
      </w:pPr>
      <w:r>
        <w:rPr>
          <w:rFonts w:ascii="Arial" w:cs="Arial" w:eastAsia="Arial" w:hAnsi="Arial"/>
          <w:sz w:val="18"/>
          <w:szCs w:val="18"/>
          <w:color w:val="auto"/>
        </w:rPr>
        <w:t>Citigroup Global Markets Inc., Merrill Lynch, Pierce, Fenner &amp; Smith Incorporated and Mizuho Securities USA Inc. are acting as joint book-running managers of the offering and as representatives of the underwriters named below.</w:t>
      </w:r>
    </w:p>
    <w:p>
      <w:pPr>
        <w:spacing w:after="0" w:line="170" w:lineRule="exact"/>
        <w:rPr>
          <w:sz w:val="20"/>
          <w:szCs w:val="20"/>
          <w:color w:val="auto"/>
        </w:rPr>
      </w:pPr>
    </w:p>
    <w:p>
      <w:pPr>
        <w:ind w:right="360" w:firstLine="799"/>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97"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w w:val="97"/>
              </w:rPr>
              <w:t>Principal Amount of Notes</w:t>
            </w:r>
          </w:p>
        </w:tc>
      </w:tr>
      <w:tr>
        <w:trPr>
          <w:trHeight w:val="20"/>
        </w:trPr>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1720" w:type="dxa"/>
            <w:vAlign w:val="bottom"/>
            <w:gridSpan w:val="2"/>
          </w:tcPr>
          <w:p>
            <w:pPr>
              <w:spacing w:after="0" w:line="203" w:lineRule="exact"/>
              <w:rPr>
                <w:sz w:val="20"/>
                <w:szCs w:val="20"/>
                <w:color w:val="auto"/>
              </w:rPr>
            </w:pPr>
            <w:r>
              <w:rPr>
                <w:rFonts w:ascii="Arial" w:cs="Arial" w:eastAsia="Arial" w:hAnsi="Arial"/>
                <w:sz w:val="18"/>
                <w:szCs w:val="18"/>
                <w:color w:val="auto"/>
                <w:w w:val="85"/>
              </w:rPr>
              <w:t>Citigroup Global Markets</w:t>
            </w:r>
          </w:p>
        </w:tc>
        <w:tc>
          <w:tcPr>
            <w:tcW w:w="6280" w:type="dxa"/>
            <w:vAlign w:val="bottom"/>
          </w:tcPr>
          <w:p>
            <w:pPr>
              <w:ind w:left="180"/>
              <w:spacing w:after="0" w:line="203" w:lineRule="exact"/>
              <w:rPr>
                <w:sz w:val="20"/>
                <w:szCs w:val="20"/>
                <w:color w:val="auto"/>
              </w:rPr>
            </w:pPr>
            <w:r>
              <w:rPr>
                <w:rFonts w:ascii="Arial" w:cs="Arial" w:eastAsia="Arial" w:hAnsi="Arial"/>
                <w:sz w:val="18"/>
                <w:szCs w:val="18"/>
                <w:color w:val="auto"/>
              </w:rPr>
              <w:t>Inc.</w:t>
            </w:r>
          </w:p>
        </w:tc>
        <w:tc>
          <w:tcPr>
            <w:tcW w:w="20" w:type="dxa"/>
            <w:vAlign w:val="bottom"/>
          </w:tcPr>
          <w:p>
            <w:pPr>
              <w:spacing w:after="0"/>
              <w:rPr>
                <w:sz w:val="17"/>
                <w:szCs w:val="17"/>
                <w:color w:val="auto"/>
              </w:rPr>
            </w:pPr>
          </w:p>
        </w:tc>
        <w:tc>
          <w:tcPr>
            <w:tcW w:w="400" w:type="dxa"/>
            <w:vAlign w:val="bottom"/>
            <w:gridSpan w:val="2"/>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Incorporated</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00" w:type="dxa"/>
            <w:vAlign w:val="bottom"/>
          </w:tcPr>
          <w:p>
            <w:pPr>
              <w:spacing w:after="0"/>
              <w:rPr>
                <w:sz w:val="19"/>
                <w:szCs w:val="19"/>
                <w:color w:val="auto"/>
              </w:rPr>
            </w:pPr>
          </w:p>
        </w:tc>
        <w:tc>
          <w:tcPr>
            <w:tcW w:w="7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500,000,000</w:t>
            </w:r>
          </w:p>
        </w:tc>
        <w:tc>
          <w:tcPr>
            <w:tcW w:w="10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799"/>
        <w:spacing w:after="0" w:line="308" w:lineRule="auto"/>
        <w:rPr>
          <w:sz w:val="20"/>
          <w:szCs w:val="20"/>
          <w:color w:val="auto"/>
        </w:rPr>
      </w:pPr>
      <w:r>
        <w:rPr>
          <w:rFonts w:ascii="Arial" w:cs="Arial" w:eastAsia="Arial" w:hAnsi="Arial"/>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47" w:lineRule="exact"/>
        <w:rPr>
          <w:sz w:val="20"/>
          <w:szCs w:val="20"/>
          <w:color w:val="auto"/>
        </w:rPr>
      </w:pPr>
    </w:p>
    <w:p>
      <w:pPr>
        <w:ind w:right="300" w:firstLine="799"/>
        <w:spacing w:after="0" w:line="302" w:lineRule="auto"/>
        <w:rPr>
          <w:sz w:val="20"/>
          <w:szCs w:val="20"/>
          <w:color w:val="auto"/>
        </w:rPr>
      </w:pPr>
      <w:r>
        <w:rPr>
          <w:rFonts w:ascii="Arial" w:cs="Arial" w:eastAsia="Arial" w:hAnsi="Arial"/>
          <w:sz w:val="16"/>
          <w:szCs w:val="16"/>
          <w:color w:val="auto"/>
        </w:rPr>
        <w:t>The underwriters propose to offer the notes directly to the public at the public offering price set forth on the cover page of this prospectus supplement and may offer the notes to dealers at the public offering price less a concession not to exceed % of the principal amount of the notes. The underwriters may allow, and dealers may reallow, a concession not to exceed % of the principal amount of the notes on sales to other dealers. After the initial offering of the notes to the public, the representatives may change the public offering price and other selling terms applicable to the notes.</w:t>
      </w:r>
    </w:p>
    <w:p>
      <w:pPr>
        <w:spacing w:after="0" w:line="154"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93" w:lineRule="exact"/>
        <w:rPr>
          <w:sz w:val="20"/>
          <w:szCs w:val="20"/>
          <w:color w:val="auto"/>
        </w:rPr>
      </w:pPr>
    </w:p>
    <w:p>
      <w:pPr>
        <w:jc w:val="both"/>
        <w:ind w:right="240" w:firstLine="799"/>
        <w:spacing w:after="0" w:line="342"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jc w:val="both"/>
        <w:ind w:right="200" w:firstLine="799"/>
        <w:spacing w:after="0" w:line="31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$800,000.</w:t>
      </w:r>
    </w:p>
    <w:p>
      <w:pPr>
        <w:spacing w:after="0" w:line="225" w:lineRule="exact"/>
        <w:rPr>
          <w:sz w:val="20"/>
          <w:szCs w:val="20"/>
          <w:color w:val="auto"/>
        </w:rPr>
      </w:pPr>
    </w:p>
    <w:p>
      <w:pPr>
        <w:ind w:right="120" w:firstLine="799"/>
        <w:spacing w:after="0" w:line="277"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799"/>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70"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We expect delivery of the notes will be made against payment therefor on or about , 2016, which is the fifth business day following the date of pricing of the notes (such settlement being referred to as “T+5”). Under Rule 15c6-1 of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Relationships</w:t>
      </w:r>
    </w:p>
    <w:p>
      <w:pPr>
        <w:spacing w:after="0" w:line="229" w:lineRule="exact"/>
        <w:rPr>
          <w:sz w:val="20"/>
          <w:szCs w:val="20"/>
          <w:color w:val="auto"/>
        </w:rPr>
      </w:pPr>
    </w:p>
    <w:p>
      <w:pPr>
        <w:ind w:right="120" w:firstLine="799"/>
        <w:spacing w:after="0" w:line="286" w:lineRule="auto"/>
        <w:rPr>
          <w:sz w:val="20"/>
          <w:szCs w:val="20"/>
          <w:color w:val="auto"/>
        </w:rPr>
      </w:pPr>
      <w:r>
        <w:rPr>
          <w:rFonts w:ascii="Arial" w:cs="Arial" w:eastAsia="Arial" w:hAnsi="Arial"/>
          <w:sz w:val="17"/>
          <w:szCs w:val="17"/>
          <w:color w:val="auto"/>
        </w:rPr>
        <w:t>Each of the underwriters or one of their respective affiliates is a lender to us under our $2.25 billion revolving credit facility. Additionally, 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66" w:lineRule="exact"/>
        <w:rPr>
          <w:sz w:val="20"/>
          <w:szCs w:val="20"/>
          <w:color w:val="auto"/>
        </w:rPr>
      </w:pPr>
    </w:p>
    <w:p>
      <w:pPr>
        <w:ind w:right="100" w:firstLine="799"/>
        <w:spacing w:after="0" w:line="270"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or publish or express independent research views in respect of such securities or financial instruments and may hold, or recommend to clients that they acquire, long and/or short positions in such securities and instruments.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color w:val="auto"/>
        </w:rPr>
        <w:t>Certain affiliates of Citigroup Global Markets Inc., Merrill Lynch, Pierce, Fenner &amp; Smith Incorporated and Mizuho Securities USA Inc. are lenders to us under our $2.25 billion revolving credit facility and may receive 5% or more of the net proceeds of this offering by reason of the repayment of amounts outstanding under such credit facility, pending application of the net proceeds as described in the initial paragraph under “Use of Proceeds” in this prospectus supplement. Accordingly, such underwriters are deemed to have a “conflict of interest” within the meaning of Rule 5121, and this offering will be conducted in accordance with Rule 5121. No underwriter with a “conflict of interest” will confirm sales to any account over which it exercises discretion without the specific written approval of the account holder.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right="80" w:firstLine="799"/>
        <w:spacing w:after="0" w:line="308" w:lineRule="auto"/>
        <w:rPr>
          <w:sz w:val="20"/>
          <w:szCs w:val="20"/>
          <w:color w:val="auto"/>
        </w:rPr>
      </w:pPr>
      <w:r>
        <w:rPr>
          <w:rFonts w:ascii="Arial" w:cs="Arial" w:eastAsia="Arial" w:hAnsi="Arial"/>
          <w:sz w:val="17"/>
          <w:szCs w:val="17"/>
          <w:color w:val="auto"/>
        </w:rPr>
        <w:t>In relation to each member state of the European Economic Area (each, a “Member State”), no offer of notes which are the subject of the offering has been, or will be made to the public in that Member State, other than under the following exemptions under the Prospectus Directive:</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to any legal entity which is a qualified investor as defined in the Prospectus Directive;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799"/>
        <w:spacing w:after="0" w:line="277" w:lineRule="auto"/>
        <w:rPr>
          <w:sz w:val="20"/>
          <w:szCs w:val="20"/>
          <w:color w:val="auto"/>
        </w:rPr>
      </w:pPr>
      <w:r>
        <w:rPr>
          <w:rFonts w:ascii="Arial" w:cs="Arial" w:eastAsia="Arial" w:hAnsi="Arial"/>
          <w:sz w:val="18"/>
          <w:szCs w:val="18"/>
          <w:color w:val="auto"/>
        </w:rPr>
        <w:t>B. to fewer than 150 natural or legal persons (other than qualified investors as defined in the Prospectus Directive), subject to obtaining the prior consent of the representatives for any such offer; or</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 in any other circumstances falling within Article 3(2) of the Prospectus Directive,</w:t>
      </w:r>
    </w:p>
    <w:p>
      <w:pPr>
        <w:spacing w:after="0" w:line="225" w:lineRule="exact"/>
        <w:rPr>
          <w:sz w:val="20"/>
          <w:szCs w:val="20"/>
          <w:color w:val="auto"/>
        </w:rPr>
      </w:pPr>
    </w:p>
    <w:p>
      <w:pPr>
        <w:ind w:right="300" w:firstLine="799"/>
        <w:spacing w:after="0" w:line="342" w:lineRule="auto"/>
        <w:rPr>
          <w:sz w:val="20"/>
          <w:szCs w:val="20"/>
          <w:color w:val="auto"/>
        </w:rPr>
      </w:pPr>
      <w:r>
        <w:rPr>
          <w:rFonts w:ascii="Arial" w:cs="Arial" w:eastAsia="Arial" w:hAnsi="Arial"/>
          <w:sz w:val="16"/>
          <w:szCs w:val="16"/>
          <w:color w:val="auto"/>
        </w:rPr>
        <w:t>provided that no such offer of notes referred to in (a) to (c) above shall result in a requirement for Waste Management or any representatives to publish a prospectus pursuant to Article 3 of the Prospectus Directive or supplement a prospectus pursuant to Article 16 of the Prospectus Directive.</w:t>
      </w:r>
    </w:p>
    <w:p>
      <w:pPr>
        <w:spacing w:after="0" w:line="124"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This prospectus has been prepared on the basis that any offer of notes in any Member State will be made pursuant to an exemption under the Prospectus Directive from the requirement to publish a prospectus for offers of notes. Accordingly any person making or intending to make an offer in that Member State of notes which are the subject of the offering contemplated in this prospectus may only do so in circumstances in which no obligation arises for Waste Management or any of the representatives to publish a prospectus pursuant to Article 3 of the Prospectus Directive in relation to such offer. Neither Waste Management nor the representatives have authorized, nor do they authorize, the making of any offer of notes in circumstances in which an obligation arises for Waste Management or the representatives to publish a prospectus for such offer.</w:t>
      </w:r>
    </w:p>
    <w:p>
      <w:pPr>
        <w:spacing w:after="0" w:line="178" w:lineRule="exact"/>
        <w:rPr>
          <w:sz w:val="20"/>
          <w:szCs w:val="20"/>
          <w:color w:val="auto"/>
        </w:rPr>
      </w:pPr>
    </w:p>
    <w:p>
      <w:pPr>
        <w:ind w:right="140" w:firstLine="799"/>
        <w:spacing w:after="0" w:line="257" w:lineRule="auto"/>
        <w:rPr>
          <w:sz w:val="20"/>
          <w:szCs w:val="20"/>
          <w:color w:val="auto"/>
        </w:rPr>
      </w:pPr>
      <w:r>
        <w:rPr>
          <w:rFonts w:ascii="Arial" w:cs="Arial" w:eastAsia="Arial" w:hAnsi="Arial"/>
          <w:sz w:val="18"/>
          <w:szCs w:val="18"/>
          <w:color w:val="auto"/>
        </w:rPr>
        <w:t>For the purpose of this provision, the expression an “offer of notes to the public” in relation to any notes in any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and the expression “Prospectus Directive” means Directive 2003/71/EC (as amended) and includes any relevant implementing measure in the each Member State.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right="60" w:firstLine="799"/>
        <w:spacing w:after="0" w:line="288"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w:t>
      </w:r>
    </w:p>
    <w:p>
      <w:pPr>
        <w:ind w:firstLine="8"/>
        <w:spacing w:after="0" w:line="254"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right="40" w:firstLine="799"/>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00" w:firstLine="799"/>
        <w:spacing w:after="0" w:line="342" w:lineRule="auto"/>
        <w:rPr>
          <w:sz w:val="20"/>
          <w:szCs w:val="20"/>
          <w:color w:val="auto"/>
        </w:rPr>
      </w:pPr>
      <w:r>
        <w:rPr>
          <w:rFonts w:ascii="Arial" w:cs="Arial" w:eastAsia="Arial" w:hAnsi="Arial"/>
          <w:sz w:val="16"/>
          <w:szCs w:val="16"/>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2015, including the schedule appearing therein, and the effectiveness of Waste Management, Inc.’s internal control over financial reporting as of December 31, 2015,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5" w:lineRule="exact"/>
        <w:rPr>
          <w:sz w:val="20"/>
          <w:szCs w:val="20"/>
          <w:color w:val="auto"/>
        </w:rPr>
      </w:pPr>
    </w:p>
    <w:p>
      <w:pPr>
        <w:ind w:firstLine="799"/>
        <w:spacing w:after="0" w:line="266"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80" w:lineRule="exact"/>
        <w:rPr>
          <w:sz w:val="20"/>
          <w:szCs w:val="20"/>
          <w:color w:val="auto"/>
        </w:rPr>
      </w:pPr>
    </w:p>
    <w:p>
      <w:pPr>
        <w:ind w:right="60" w:firstLine="799"/>
        <w:spacing w:after="0" w:line="276" w:lineRule="auto"/>
        <w:rPr>
          <w:sz w:val="20"/>
          <w:szCs w:val="20"/>
          <w:color w:val="auto"/>
        </w:rPr>
      </w:pPr>
      <w:r>
        <w:rPr>
          <w:rFonts w:ascii="Arial" w:cs="Arial" w:eastAsia="Arial" w:hAnsi="Arial"/>
          <w:sz w:val="17"/>
          <w:szCs w:val="17"/>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20"/>
                <w:szCs w:val="20"/>
                <w:color w:val="auto"/>
              </w:rPr>
            </w:pPr>
            <w:r>
              <w:rPr>
                <w:rFonts w:ascii="Arial" w:cs="Arial" w:eastAsia="Arial" w:hAnsi="Arial"/>
                <w:sz w:val="14"/>
                <w:szCs w:val="14"/>
                <w:b w:val="1"/>
                <w:bCs w:val="1"/>
                <w:color w:val="auto"/>
                <w:w w:val="95"/>
              </w:rPr>
              <w:t>SEC Filing (Our SEC File Number is 1-12154)</w:t>
            </w:r>
          </w:p>
        </w:tc>
        <w:tc>
          <w:tcPr>
            <w:tcW w:w="6720" w:type="dxa"/>
            <w:vAlign w:val="bottom"/>
          </w:tcPr>
          <w:p>
            <w:pPr>
              <w:spacing w:after="0"/>
              <w:rPr>
                <w:sz w:val="14"/>
                <w:szCs w:val="14"/>
                <w:color w:val="auto"/>
              </w:rPr>
            </w:pPr>
          </w:p>
        </w:tc>
        <w:tc>
          <w:tcPr>
            <w:tcW w:w="1580" w:type="dxa"/>
            <w:vAlign w:val="bottom"/>
            <w:gridSpan w:val="3"/>
          </w:tcPr>
          <w:p>
            <w:pPr>
              <w:jc w:val="center"/>
              <w:ind w:left="173"/>
              <w:spacing w:after="0"/>
              <w:rPr>
                <w:sz w:val="20"/>
                <w:szCs w:val="20"/>
                <w:color w:val="auto"/>
              </w:rPr>
            </w:pPr>
            <w:r>
              <w:rPr>
                <w:rFonts w:ascii="Arial" w:cs="Arial" w:eastAsia="Arial" w:hAnsi="Arial"/>
                <w:sz w:val="14"/>
                <w:szCs w:val="14"/>
                <w:b w:val="1"/>
                <w:bCs w:val="1"/>
                <w:color w:val="auto"/>
                <w:w w:val="95"/>
              </w:rPr>
              <w:t>Date Filed</w:t>
            </w:r>
          </w:p>
        </w:tc>
        <w:tc>
          <w:tcPr>
            <w:tcW w:w="0" w:type="dxa"/>
            <w:vAlign w:val="bottom"/>
          </w:tcPr>
          <w:p>
            <w:pPr>
              <w:spacing w:after="0"/>
              <w:rPr>
                <w:sz w:val="1"/>
                <w:szCs w:val="1"/>
                <w:color w:val="auto"/>
              </w:rPr>
            </w:pPr>
          </w:p>
        </w:tc>
      </w:tr>
      <w:tr>
        <w:trPr>
          <w:trHeight w:val="20"/>
        </w:trPr>
        <w:tc>
          <w:tcPr>
            <w:tcW w:w="286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79"/>
              </w:rPr>
              <w:t>2016</w:t>
            </w:r>
          </w:p>
        </w:tc>
        <w:tc>
          <w:tcPr>
            <w:tcW w:w="0" w:type="dxa"/>
            <w:vAlign w:val="bottom"/>
          </w:tcPr>
          <w:p>
            <w:pPr>
              <w:spacing w:after="0" w:line="20" w:lineRule="exact"/>
              <w:rPr>
                <w:sz w:val="1"/>
                <w:szCs w:val="1"/>
                <w:color w:val="auto"/>
              </w:rPr>
            </w:pPr>
          </w:p>
        </w:tc>
      </w:tr>
      <w:tr>
        <w:trPr>
          <w:trHeight w:val="195"/>
        </w:trPr>
        <w:tc>
          <w:tcPr>
            <w:tcW w:w="9580" w:type="dxa"/>
            <w:vAlign w:val="bottom"/>
            <w:gridSpan w:val="2"/>
          </w:tcPr>
          <w:p>
            <w:pPr>
              <w:spacing w:after="0" w:line="195" w:lineRule="exact"/>
              <w:rPr>
                <w:sz w:val="20"/>
                <w:szCs w:val="20"/>
                <w:color w:val="auto"/>
              </w:rPr>
            </w:pPr>
            <w:r>
              <w:rPr>
                <w:rFonts w:ascii="Arial" w:cs="Arial" w:eastAsia="Arial" w:hAnsi="Arial"/>
                <w:sz w:val="18"/>
                <w:szCs w:val="18"/>
                <w:color w:val="auto"/>
              </w:rPr>
              <w:t>Annual Report on Form 10-K for the year ended December 31, 2015</w:t>
            </w:r>
          </w:p>
        </w:tc>
        <w:tc>
          <w:tcPr>
            <w:tcW w:w="1240" w:type="dxa"/>
            <w:vAlign w:val="bottom"/>
            <w:gridSpan w:val="2"/>
          </w:tcPr>
          <w:p>
            <w:pPr>
              <w:ind w:left="260"/>
              <w:spacing w:after="0" w:line="195" w:lineRule="exact"/>
              <w:rPr>
                <w:sz w:val="20"/>
                <w:szCs w:val="20"/>
                <w:color w:val="auto"/>
              </w:rPr>
            </w:pPr>
            <w:r>
              <w:rPr>
                <w:rFonts w:ascii="Arial" w:cs="Arial" w:eastAsia="Arial" w:hAnsi="Arial"/>
                <w:sz w:val="18"/>
                <w:szCs w:val="18"/>
                <w:color w:val="auto"/>
                <w:w w:val="94"/>
              </w:rPr>
              <w:t>February 18,</w:t>
            </w: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580" w:type="dxa"/>
            <w:vAlign w:val="bottom"/>
            <w:gridSpan w:val="3"/>
          </w:tcPr>
          <w:p>
            <w:pPr>
              <w:jc w:val="center"/>
              <w:ind w:left="153"/>
              <w:spacing w:after="0"/>
              <w:rPr>
                <w:sz w:val="20"/>
                <w:szCs w:val="20"/>
                <w:color w:val="auto"/>
              </w:rPr>
            </w:pPr>
            <w:r>
              <w:rPr>
                <w:rFonts w:ascii="Arial" w:cs="Arial" w:eastAsia="Arial" w:hAnsi="Arial"/>
                <w:sz w:val="18"/>
                <w:szCs w:val="18"/>
                <w:color w:val="auto"/>
                <w:w w:val="92"/>
              </w:rPr>
              <w:t>March 2, 2016</w:t>
            </w: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580" w:type="dxa"/>
            <w:vAlign w:val="bottom"/>
            <w:gridSpan w:val="3"/>
          </w:tcPr>
          <w:p>
            <w:pPr>
              <w:jc w:val="center"/>
              <w:ind w:left="153"/>
              <w:spacing w:after="0"/>
              <w:rPr>
                <w:sz w:val="20"/>
                <w:szCs w:val="20"/>
                <w:color w:val="auto"/>
              </w:rPr>
            </w:pPr>
            <w:r>
              <w:rPr>
                <w:rFonts w:ascii="Arial" w:cs="Arial" w:eastAsia="Arial" w:hAnsi="Arial"/>
                <w:sz w:val="18"/>
                <w:szCs w:val="18"/>
                <w:color w:val="auto"/>
                <w:w w:val="91"/>
              </w:rPr>
              <w:t>March 29, 2016</w:t>
            </w: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period ended March 31, 2016</w:t>
            </w:r>
          </w:p>
        </w:tc>
        <w:tc>
          <w:tcPr>
            <w:tcW w:w="1580" w:type="dxa"/>
            <w:vAlign w:val="bottom"/>
            <w:gridSpan w:val="3"/>
          </w:tcPr>
          <w:p>
            <w:pPr>
              <w:jc w:val="center"/>
              <w:ind w:left="153"/>
              <w:spacing w:after="0"/>
              <w:rPr>
                <w:sz w:val="20"/>
                <w:szCs w:val="20"/>
                <w:color w:val="auto"/>
              </w:rPr>
            </w:pPr>
            <w:r>
              <w:rPr>
                <w:rFonts w:ascii="Arial" w:cs="Arial" w:eastAsia="Arial" w:hAnsi="Arial"/>
                <w:sz w:val="18"/>
                <w:szCs w:val="18"/>
                <w:color w:val="auto"/>
                <w:w w:val="95"/>
              </w:rPr>
              <w:t>April 28, 2016</w:t>
            </w: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w w:val="93"/>
              </w:rPr>
              <w:t>The portions of our proxy statement for our 2016 annual meeting of stockholders incorporated by reference in our Annual Report</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80" w:type="dxa"/>
            <w:vAlign w:val="bottom"/>
            <w:gridSpan w:val="2"/>
          </w:tcPr>
          <w:p>
            <w:pPr>
              <w:ind w:left="180"/>
              <w:spacing w:after="0"/>
              <w:rPr>
                <w:sz w:val="20"/>
                <w:szCs w:val="20"/>
                <w:color w:val="auto"/>
              </w:rPr>
            </w:pPr>
            <w:r>
              <w:rPr>
                <w:rFonts w:ascii="Arial" w:cs="Arial" w:eastAsia="Arial" w:hAnsi="Arial"/>
                <w:sz w:val="18"/>
                <w:szCs w:val="18"/>
                <w:color w:val="auto"/>
              </w:rPr>
              <w:t>on Form 10-K for the year ended December 31, 2015</w:t>
            </w:r>
          </w:p>
        </w:tc>
        <w:tc>
          <w:tcPr>
            <w:tcW w:w="1580" w:type="dxa"/>
            <w:vAlign w:val="bottom"/>
            <w:gridSpan w:val="3"/>
          </w:tcPr>
          <w:p>
            <w:pPr>
              <w:jc w:val="center"/>
              <w:ind w:left="153"/>
              <w:spacing w:after="0"/>
              <w:rPr>
                <w:sz w:val="20"/>
                <w:szCs w:val="20"/>
                <w:color w:val="auto"/>
              </w:rPr>
            </w:pPr>
            <w:r>
              <w:rPr>
                <w:rFonts w:ascii="Arial" w:cs="Arial" w:eastAsia="Arial" w:hAnsi="Arial"/>
                <w:sz w:val="18"/>
                <w:szCs w:val="18"/>
                <w:color w:val="auto"/>
                <w:w w:val="91"/>
              </w:rPr>
              <w:t>March 25, 2016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799"/>
        <w:spacing w:after="0" w:line="257"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88" w:lineRule="exact"/>
        <w:rPr>
          <w:sz w:val="20"/>
          <w:szCs w:val="20"/>
          <w:color w:val="auto"/>
        </w:rPr>
      </w:pPr>
    </w:p>
    <w:p>
      <w:pPr>
        <w:ind w:right="220" w:firstLine="799"/>
        <w:spacing w:after="0" w:line="312" w:lineRule="auto"/>
        <w:rPr>
          <w:sz w:val="20"/>
          <w:szCs w:val="20"/>
          <w:color w:val="auto"/>
        </w:rPr>
      </w:pPr>
      <w:r>
        <w:rPr>
          <w:rFonts w:ascii="Arial" w:cs="Arial" w:eastAsia="Arial" w:hAnsi="Arial"/>
          <w:sz w:val="16"/>
          <w:szCs w:val="16"/>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www.wm.com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172085</wp:posOffset>
            </wp:positionV>
            <wp:extent cx="1414780" cy="480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17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21" w:lineRule="exact"/>
        <w:rPr>
          <w:sz w:val="20"/>
          <w:szCs w:val="20"/>
          <w:color w:val="auto"/>
        </w:rPr>
      </w:pPr>
    </w:p>
    <w:p>
      <w:pPr>
        <w:ind w:right="20" w:firstLine="45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4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6 of this prospectus, the risk factors included in our periodic reports that we file with the Securities and Exchange Commission and incorporated by reference herein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This prospectus is dated October 27, 2015</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4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418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Forward-Looking Statements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2060" w:type="dxa"/>
            <w:vAlign w:val="bottom"/>
            <w:gridSpan w:val="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Where You Can Find More Information</w:t>
              </w:r>
            </w:hyperlink>
          </w:p>
        </w:tc>
        <w:tc>
          <w:tcPr>
            <w:tcW w:w="7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The Company</w:t>
              </w:r>
            </w:hyperlink>
          </w:p>
        </w:tc>
        <w:tc>
          <w:tcPr>
            <w:tcW w:w="3140" w:type="dxa"/>
            <w:vAlign w:val="bottom"/>
            <w:gridSpan w:val="1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Risk Factors</w:t>
              </w:r>
            </w:hyperlink>
          </w:p>
        </w:tc>
        <w:tc>
          <w:tcPr>
            <w:tcW w:w="3260" w:type="dxa"/>
            <w:vAlign w:val="bottom"/>
            <w:gridSpan w:val="1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Ratio of Earnings to Fixed Charges</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9"/>
          </w:tcPr>
          <w:p>
            <w:pPr>
              <w:spacing w:after="0"/>
              <w:rPr>
                <w:sz w:val="17"/>
                <w:szCs w:val="17"/>
                <w:color w:val="auto"/>
              </w:rPr>
            </w:pPr>
          </w:p>
        </w:tc>
        <w:tc>
          <w:tcPr>
            <w:tcW w:w="1640" w:type="dxa"/>
            <w:vAlign w:val="bottom"/>
            <w:gridSpan w:val="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4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Description of the Debt Securities</w:t>
              </w:r>
            </w:hyperlink>
          </w:p>
        </w:tc>
        <w:tc>
          <w:tcPr>
            <w:tcW w:w="1720" w:type="dxa"/>
            <w:vAlign w:val="bottom"/>
            <w:gridSpan w:val="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9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Description of Guarantees</w:t>
              </w:r>
            </w:hyperlink>
          </w:p>
        </w:tc>
        <w:tc>
          <w:tcPr>
            <w:tcW w:w="2280" w:type="dxa"/>
            <w:vAlign w:val="bottom"/>
            <w:gridSpan w:val="8"/>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Capital Stock</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Description of Other Securities</w:t>
              </w:r>
            </w:hyperlink>
          </w:p>
        </w:tc>
        <w:tc>
          <w:tcPr>
            <w:tcW w:w="1920" w:type="dxa"/>
            <w:vAlign w:val="bottom"/>
            <w:gridSpan w:val="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Plan of Distribution</w:t>
              </w:r>
            </w:hyperlink>
          </w:p>
        </w:tc>
        <w:tc>
          <w:tcPr>
            <w:tcW w:w="2740" w:type="dxa"/>
            <w:vAlign w:val="bottom"/>
            <w:gridSpan w:val="11"/>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Selling Securityholders</w:t>
              </w:r>
            </w:hyperlink>
          </w:p>
        </w:tc>
        <w:tc>
          <w:tcPr>
            <w:tcW w:w="2480" w:type="dxa"/>
            <w:vAlign w:val="bottom"/>
            <w:gridSpan w:val="9"/>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Legal Matters</w:t>
              </w:r>
            </w:hyperlink>
          </w:p>
        </w:tc>
        <w:tc>
          <w:tcPr>
            <w:tcW w:w="3160" w:type="dxa"/>
            <w:vAlign w:val="bottom"/>
            <w:gridSpan w:val="1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Experts</w:t>
              </w:r>
            </w:hyperlink>
          </w:p>
        </w:tc>
        <w:tc>
          <w:tcPr>
            <w:tcW w:w="3620" w:type="dxa"/>
            <w:vAlign w:val="bottom"/>
            <w:gridSpan w:val="1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2014.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84" w:lineRule="exact"/>
        <w:rPr>
          <w:sz w:val="20"/>
          <w:szCs w:val="20"/>
          <w:color w:val="auto"/>
        </w:rPr>
      </w:pPr>
    </w:p>
    <w:p>
      <w:pPr>
        <w:ind w:left="900" w:hanging="44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29"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fail in implementing our cost saving, optimization and growth initiatives and overall business strategy, which could adversely impact our financial performance and growth, and implementation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0"/>
        <w:spacing w:after="0" w:line="277" w:lineRule="auto"/>
        <w:rPr>
          <w:sz w:val="20"/>
          <w:szCs w:val="20"/>
          <w:color w:val="auto"/>
        </w:rPr>
      </w:pPr>
      <w:r>
        <w:rPr>
          <w:rFonts w:ascii="Arial" w:cs="Arial" w:eastAsia="Arial" w:hAnsi="Arial"/>
          <w:sz w:val="18"/>
          <w:szCs w:val="18"/>
          <w:color w:val="auto"/>
        </w:rPr>
        <w:t>our initiatives and strategy may have associated negative consequences, such as fragmentation of efforts, increased indebtedness, asset impairments, business disruption, employee distraction, and regulatory issues;</w:t>
      </w:r>
    </w:p>
    <w:p>
      <w:pPr>
        <w:spacing w:after="0" w:line="76" w:lineRule="exact"/>
        <w:rPr>
          <w:sz w:val="20"/>
          <w:szCs w:val="20"/>
          <w:color w:val="auto"/>
        </w:rPr>
      </w:pPr>
    </w:p>
    <w:p>
      <w:pPr>
        <w:ind w:left="900" w:right="6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and other energy-related products marketed and sold by our landfill gas recovery operations; fluctuations in commodity prices may have negative effects on our operating results;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oil and gas prices and drilling activity, and changes in applicable regulations, could adversely affect our Energy Services business;</w:t>
      </w:r>
    </w:p>
    <w:p>
      <w:pPr>
        <w:spacing w:after="0" w:line="153" w:lineRule="exact"/>
        <w:rPr>
          <w:rFonts w:ascii="Arial" w:cs="Arial" w:eastAsia="Arial" w:hAnsi="Arial"/>
          <w:sz w:val="16"/>
          <w:szCs w:val="16"/>
          <w:color w:val="auto"/>
        </w:rPr>
      </w:pPr>
    </w:p>
    <w:p>
      <w:pPr>
        <w:ind w:left="900" w:right="26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75"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1"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such emerging technologies may not perform as intended or may experience other difficulties or delays that prevent us from realizing a return on our investment;</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75" w:lineRule="exact"/>
        <w:rPr>
          <w:rFonts w:ascii="Arial" w:cs="Arial" w:eastAsia="Arial" w:hAnsi="Arial"/>
          <w:sz w:val="18"/>
          <w:szCs w:val="18"/>
          <w:color w:val="auto"/>
        </w:rPr>
      </w:pPr>
    </w:p>
    <w:p>
      <w:pPr>
        <w:ind w:left="900" w:right="62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compressed natural gas (“CNG”) and CNG fueling infrastructure and vulnerable to CNG prices; difficulty obtaining CNG and increases in CNG prices could increase our operating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29" w:lineRule="exact"/>
        <w:rPr>
          <w:rFonts w:ascii="Arial" w:cs="Arial" w:eastAsia="Arial" w:hAnsi="Arial"/>
          <w:sz w:val="16"/>
          <w:szCs w:val="16"/>
          <w:color w:val="auto"/>
        </w:rPr>
      </w:pPr>
    </w:p>
    <w:p>
      <w:pPr>
        <w:ind w:left="900" w:right="7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13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7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prospectus. This prospectus incorporates by reference the documents set forth below that have been previously filed with the SEC. These documents contain important information about us and our financial condition.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Date Filed</w:t>
            </w:r>
          </w:p>
        </w:tc>
      </w:tr>
      <w:tr>
        <w:trPr>
          <w:trHeight w:val="210"/>
        </w:trPr>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Annual Report on Form 10-K for the year ended December 31, 2014</w:t>
            </w:r>
          </w:p>
        </w:tc>
        <w:tc>
          <w:tcPr>
            <w:tcW w:w="2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17,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2015</w:t>
            </w:r>
          </w:p>
        </w:tc>
        <w:tc>
          <w:tcPr>
            <w:tcW w:w="1860" w:type="dxa"/>
            <w:vAlign w:val="bottom"/>
          </w:tcPr>
          <w:p>
            <w:pPr>
              <w:jc w:val="center"/>
              <w:spacing w:after="0"/>
              <w:rPr>
                <w:sz w:val="20"/>
                <w:szCs w:val="20"/>
                <w:color w:val="auto"/>
              </w:rPr>
            </w:pPr>
            <w:r>
              <w:rPr>
                <w:rFonts w:ascii="Arial" w:cs="Arial" w:eastAsia="Arial" w:hAnsi="Arial"/>
                <w:sz w:val="18"/>
                <w:szCs w:val="18"/>
                <w:color w:val="auto"/>
                <w:w w:val="95"/>
              </w:rPr>
              <w:t>April 29,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2015</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23,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September 30, 2015</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October 27,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2,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February 18,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24,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March 3,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15,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July 14,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September 2,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1, 2015</w:t>
            </w: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 as we may update that description from time to time</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July 13, 1995</w:t>
            </w:r>
          </w:p>
        </w:tc>
      </w:tr>
    </w:tbl>
    <w:p>
      <w:pPr>
        <w:spacing w:after="0" w:line="18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58"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 xml:space="preserve">You may obtain copies of any of these filings through Waste Management, the SEC or the SEC’s Internet site as described below. Documents incorporated by reference are available without charge by requesting them in writing or by telephone using the contact information below and may be accessed through the Investor Relations section of </w:t>
      </w:r>
      <w:r>
        <w:rPr>
          <w:rFonts w:ascii="Arial" w:cs="Arial" w:eastAsia="Arial" w:hAnsi="Arial"/>
          <w:sz w:val="18"/>
          <w:szCs w:val="18"/>
          <w:i w:val="1"/>
          <w:iCs w:val="1"/>
          <w:color w:val="auto"/>
        </w:rPr>
        <w:t>www.wm.com.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1001 Fannin Street, Houston, Texas 77002 and our telephone number is (713) 512-6200.</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purposes of computing these ratios, we have divided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The following table sets forth our ratio of earnings to fixed charges for each of the periods indicated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9"/>
            <w:vMerge w:val="restart"/>
          </w:tcPr>
          <w:p>
            <w:pPr>
              <w:jc w:val="center"/>
              <w:ind w:right="480"/>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2011</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5"/>
              </w:rPr>
              <w:t>(Unaudited)</w:t>
            </w:r>
          </w:p>
        </w:tc>
        <w:tc>
          <w:tcPr>
            <w:tcW w:w="4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 investments(a)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1,350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1,557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Implicit interest in rents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5540" w:type="dxa"/>
            <w:vAlign w:val="bottom"/>
            <w:gridSpan w:val="2"/>
          </w:tcPr>
          <w:p>
            <w:pPr>
              <w:ind w:left="720"/>
              <w:spacing w:after="0"/>
              <w:rPr>
                <w:sz w:val="20"/>
                <w:szCs w:val="20"/>
                <w:color w:val="auto"/>
              </w:rPr>
            </w:pPr>
            <w:r>
              <w:rPr>
                <w:rFonts w:ascii="Arial" w:cs="Arial" w:eastAsia="Arial" w:hAnsi="Arial"/>
                <w:sz w:val="18"/>
                <w:szCs w:val="18"/>
                <w:color w:val="auto"/>
              </w:rPr>
              <w:t>Earnings available for fixed charges(a)</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2,329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1,897</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2,083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ind w:left="720"/>
              <w:spacing w:after="0"/>
              <w:rPr>
                <w:sz w:val="20"/>
                <w:szCs w:val="20"/>
                <w:color w:val="auto"/>
              </w:rPr>
            </w:pPr>
            <w:r>
              <w:rPr>
                <w:rFonts w:ascii="Arial" w:cs="Arial" w:eastAsia="Arial" w:hAnsi="Arial"/>
                <w:sz w:val="18"/>
                <w:szCs w:val="18"/>
                <w:color w:val="auto"/>
              </w:rPr>
              <w:t>Total fixed charges(a)</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Ratio of earnings to fixed charges</w:t>
            </w: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3.0x</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4.3x</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1.9x</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3.3x</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4.1x</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Adjusted ratio of earnings to fixed charges(b)</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3.1x</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4.2x</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3.7x</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3.6x</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3.9x</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2" w:lineRule="exact"/>
        <w:rPr>
          <w:rFonts w:ascii="Arial" w:cs="Arial" w:eastAsia="Arial" w:hAnsi="Arial"/>
          <w:sz w:val="18"/>
          <w:szCs w:val="18"/>
          <w:color w:val="auto"/>
        </w:rPr>
      </w:pPr>
    </w:p>
    <w:p>
      <w:pPr>
        <w:ind w:left="460" w:right="260" w:hanging="452"/>
        <w:spacing w:after="0" w:line="25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and divestitures. A reconciliation showing the effect of these items on our “Income before income taxes and losses in equity investments” used to calculate our earnings available for fixed charges is as follows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7"/>
            <w:vMerge w:val="restart"/>
          </w:tcPr>
          <w:p>
            <w:pPr>
              <w:jc w:val="center"/>
              <w:ind w:right="380"/>
              <w:spacing w:after="0"/>
              <w:rPr>
                <w:sz w:val="20"/>
                <w:szCs w:val="20"/>
                <w:color w:val="auto"/>
              </w:rPr>
            </w:pPr>
            <w:r>
              <w:rPr>
                <w:rFonts w:ascii="Arial" w:cs="Arial" w:eastAsia="Arial" w:hAnsi="Arial"/>
                <w:sz w:val="14"/>
                <w:szCs w:val="14"/>
                <w:b w:val="1"/>
                <w:bCs w:val="1"/>
                <w:color w:val="auto"/>
                <w:w w:val="91"/>
              </w:rPr>
              <w:t>Years Ended 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Ended September 30,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ind w:left="75"/>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76"/>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(Unaudited)</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As reported income before income taxes and losses in equity investments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w w:val="90"/>
              </w:rPr>
              <w:t>Adjustments to income before income taxes and losses in equity investments:</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costs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Goodwill impairments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impairments (other than goodwill)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(Income) expense from divestitures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Adjusted income before income taxes and losses in equity investments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188"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No shares of our preferred stock are currently issued or outstanding, therefore no dividends accrued on any shares of our preferred stock for any period presented. Accordingly, the ratio of earnings to combined fixed charges and preferred stock dividends is the same at the ratio of earnings to fixed charges.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debt or securities that we may issue. We may issue debt securities under the indentures from time to time in one or more series, each in an amount authorized prior to issuance.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7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153" w:lineRule="exact"/>
        <w:rPr>
          <w:rFonts w:ascii="Arial" w:cs="Arial" w:eastAsia="Arial" w:hAnsi="Arial"/>
          <w:sz w:val="16"/>
          <w:szCs w:val="16"/>
          <w:color w:val="auto"/>
        </w:rPr>
      </w:pPr>
    </w:p>
    <w:p>
      <w:pPr>
        <w:ind w:left="900" w:right="4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76" w:lineRule="exact"/>
        <w:rPr>
          <w:sz w:val="20"/>
          <w:szCs w:val="20"/>
          <w:color w:val="auto"/>
        </w:rPr>
      </w:pPr>
    </w:p>
    <w:p>
      <w:pPr>
        <w:ind w:left="900" w:right="2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7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securities:</w:t>
      </w:r>
    </w:p>
    <w:p>
      <w:pPr>
        <w:spacing w:after="0" w:line="7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30"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87"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30" w:lineRule="exact"/>
        <w:rPr>
          <w:rFonts w:ascii="Arial" w:cs="Arial" w:eastAsia="Arial" w:hAnsi="Arial"/>
          <w:sz w:val="18"/>
          <w:szCs w:val="18"/>
          <w:color w:val="auto"/>
        </w:rPr>
      </w:pPr>
    </w:p>
    <w:p>
      <w:pPr>
        <w:ind w:left="5620" w:right="2760" w:hanging="5166"/>
        <w:spacing w:after="0" w:line="449" w:lineRule="auto"/>
        <w:tabs>
          <w:tab w:leader="none" w:pos="8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 10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170"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6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 xml:space="preserve">Defeasance. </w:t>
      </w:r>
      <w:r>
        <w:rPr>
          <w:rFonts w:ascii="Arial" w:cs="Arial" w:eastAsia="Arial" w:hAnsi="Arial"/>
          <w:sz w:val="17"/>
          <w:szCs w:val="17"/>
          <w:color w:val="auto"/>
        </w:rPr>
        <w:t>When we use the term defeasance, we mean discharge from some or all of our obligations under the indentures. If any combination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71" w:lineRule="exact"/>
        <w:rPr>
          <w:sz w:val="20"/>
          <w:szCs w:val="20"/>
          <w:color w:val="auto"/>
        </w:rPr>
      </w:pPr>
    </w:p>
    <w:p>
      <w:pPr>
        <w:ind w:left="900" w:right="4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75" w:lineRule="exact"/>
        <w:rPr>
          <w:rFonts w:ascii="Arial" w:cs="Arial" w:eastAsia="Arial" w:hAnsi="Arial"/>
          <w:sz w:val="18"/>
          <w:szCs w:val="18"/>
          <w:color w:val="auto"/>
        </w:rPr>
      </w:pPr>
    </w:p>
    <w:p>
      <w:pPr>
        <w:ind w:left="900" w:right="500" w:hanging="446"/>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8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8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4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 xml:space="preserve">Form, Exchange, Registration and Transfer. </w:t>
      </w:r>
      <w:r>
        <w:rPr>
          <w:rFonts w:ascii="Arial" w:cs="Arial" w:eastAsia="Arial" w:hAnsi="Arial"/>
          <w:sz w:val="17"/>
          <w:szCs w:val="17"/>
          <w:color w:val="auto"/>
        </w:rPr>
        <w:t>The debt securities may be issued in registered form, without interest coupons, or in bearer form, with</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87"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900" w:right="16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Book-Entry Debt Securities. </w:t>
      </w:r>
      <w:r>
        <w:rPr>
          <w:rFonts w:ascii="Arial" w:cs="Arial" w:eastAsia="Arial" w:hAnsi="Arial"/>
          <w:sz w:val="18"/>
          <w:szCs w:val="18"/>
          <w:color w:val="auto"/>
        </w:rPr>
        <w:t>The debt securities of a series may be issued in the form of one or more global debt securities that would be deposited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 of the other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73" w:lineRule="exact"/>
        <w:rPr>
          <w:sz w:val="20"/>
          <w:szCs w:val="20"/>
          <w:color w:val="auto"/>
        </w:rPr>
      </w:pPr>
    </w:p>
    <w:p>
      <w:pPr>
        <w:ind w:left="1140" w:hanging="237"/>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liens on the property or assets existing at the time of acquisition which secure obligations assumed by us or our Restricted Subsidiaries;</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w:t>
      </w:r>
      <w:r>
        <w:rPr>
          <w:rFonts w:ascii="Arial" w:cs="Arial" w:eastAsia="Arial" w:hAnsi="Arial"/>
          <w:sz w:val="18"/>
          <w:szCs w:val="18"/>
          <w:i w:val="1"/>
          <w:iCs w:val="1"/>
          <w:color w:val="auto"/>
        </w:rPr>
        <w:t>Provisions Applicable to Each</w:t>
      </w:r>
      <w:r>
        <w:rPr>
          <w:rFonts w:ascii="Arial" w:cs="Arial" w:eastAsia="Arial" w:hAnsi="Arial"/>
          <w:sz w:val="18"/>
          <w:szCs w:val="18"/>
          <w:color w:val="auto"/>
        </w:rPr>
        <w:t xml:space="preserve"> </w:t>
      </w:r>
      <w:r>
        <w:rPr>
          <w:rFonts w:ascii="Arial" w:cs="Arial" w:eastAsia="Arial" w:hAnsi="Arial"/>
          <w:sz w:val="18"/>
          <w:szCs w:val="18"/>
          <w:i w:val="1"/>
          <w:iCs w:val="1"/>
          <w:color w:val="auto"/>
        </w:rPr>
        <w:t>Indenture — Consolidation, Merger and Sale of Assets</w:t>
      </w:r>
      <w:r>
        <w:rPr>
          <w:rFonts w:ascii="Arial" w:cs="Arial" w:eastAsia="Arial" w:hAnsi="Arial"/>
          <w:sz w:val="18"/>
          <w:szCs w:val="18"/>
          <w:color w:val="auto"/>
        </w:rPr>
        <w:t>,” above;</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1" w:lineRule="exact"/>
        <w:rPr>
          <w:sz w:val="20"/>
          <w:szCs w:val="20"/>
          <w:color w:val="auto"/>
        </w:rPr>
      </w:pPr>
    </w:p>
    <w:p>
      <w:pPr>
        <w:ind w:left="1480" w:hanging="446"/>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30" w:lineRule="exact"/>
        <w:rPr>
          <w:rFonts w:ascii="Arial" w:cs="Arial" w:eastAsia="Arial" w:hAnsi="Arial"/>
          <w:sz w:val="18"/>
          <w:szCs w:val="18"/>
          <w:color w:val="auto"/>
        </w:rPr>
      </w:pPr>
    </w:p>
    <w:p>
      <w:pPr>
        <w:ind w:left="1480" w:right="20" w:hanging="446"/>
        <w:spacing w:after="0" w:line="286" w:lineRule="auto"/>
        <w:tabs>
          <w:tab w:leader="none" w:pos="14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57" w:lineRule="exact"/>
        <w:rPr>
          <w:rFonts w:ascii="Arial" w:cs="Arial" w:eastAsia="Arial" w:hAnsi="Arial"/>
          <w:sz w:val="17"/>
          <w:szCs w:val="17"/>
          <w:color w:val="auto"/>
        </w:rPr>
      </w:pPr>
    </w:p>
    <w:p>
      <w:pPr>
        <w:ind w:left="1120" w:hanging="217"/>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liens in connection with legal proceedings so long as the proceeding is being contested in good faith or execution thereon is stayed;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117" w:lineRule="exact"/>
        <w:rPr>
          <w:rFonts w:ascii="Arial" w:cs="Arial" w:eastAsia="Arial" w:hAnsi="Arial"/>
          <w:sz w:val="18"/>
          <w:szCs w:val="18"/>
          <w:color w:val="auto"/>
        </w:rPr>
      </w:pPr>
    </w:p>
    <w:p>
      <w:pPr>
        <w:ind w:left="460" w:firstLine="443"/>
        <w:spacing w:after="0" w:line="277" w:lineRule="auto"/>
        <w:tabs>
          <w:tab w:leader="none" w:pos="12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without securing the senior debt securities as described above, we and our Restricted Subsidiaries may issue, assume or guarantee Indebtedness that this covenant would otherwise restrict in a total principal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62" w:lineRule="exact"/>
        <w:rPr>
          <w:sz w:val="20"/>
          <w:szCs w:val="20"/>
          <w:color w:val="auto"/>
        </w:rPr>
      </w:pPr>
    </w:p>
    <w:p>
      <w:pPr>
        <w:ind w:left="460" w:right="300" w:firstLine="443"/>
        <w:spacing w:after="0" w:line="264" w:lineRule="auto"/>
        <w:tabs>
          <w:tab w:leader="none" w:pos="11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73" w:lineRule="exact"/>
        <w:rPr>
          <w:rFonts w:ascii="Arial" w:cs="Arial" w:eastAsia="Arial" w:hAnsi="Arial"/>
          <w:sz w:val="18"/>
          <w:szCs w:val="18"/>
          <w:color w:val="auto"/>
        </w:rPr>
      </w:pPr>
    </w:p>
    <w:p>
      <w:pPr>
        <w:jc w:val="both"/>
        <w:ind w:left="460" w:right="60" w:firstLine="443"/>
        <w:spacing w:after="0" w:line="259"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debt securities listed under the senior indenture or debt incurred by a Restricted Subsidiary; or</w:t>
      </w:r>
    </w:p>
    <w:p>
      <w:pPr>
        <w:spacing w:after="0" w:line="78" w:lineRule="exact"/>
        <w:rPr>
          <w:rFonts w:ascii="Arial" w:cs="Arial" w:eastAsia="Arial" w:hAnsi="Arial"/>
          <w:sz w:val="18"/>
          <w:szCs w:val="18"/>
          <w:color w:val="auto"/>
        </w:rPr>
      </w:pPr>
    </w:p>
    <w:p>
      <w:pPr>
        <w:ind w:left="460" w:right="220" w:firstLine="443"/>
        <w:spacing w:after="0" w:line="342" w:lineRule="auto"/>
        <w:tabs>
          <w:tab w:leader="none" w:pos="1143"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6"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Glossary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“Attributable Debt” </w:t>
      </w:r>
      <w:r>
        <w:rPr>
          <w:rFonts w:ascii="Arial" w:cs="Arial" w:eastAsia="Arial" w:hAnsi="Arial"/>
          <w:sz w:val="18"/>
          <w:szCs w:val="18"/>
          <w:color w:val="auto"/>
        </w:rPr>
        <w:t>means the present value of the rental payments during the remaining term of the lease included in the Sale/Leaseback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131" w:lineRule="exact"/>
        <w:rPr>
          <w:sz w:val="20"/>
          <w:szCs w:val="20"/>
          <w:color w:val="auto"/>
        </w:rPr>
      </w:pPr>
    </w:p>
    <w:p>
      <w:pPr>
        <w:ind w:left="900" w:right="76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 the balance sheet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46"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principally engaged in, or whose principal assets consist of property used by us or any Restricted Subsidiary in the storage, collection, transfer, interim</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processing or disposal of waste within the United States or Canada or (b) which we designate as a Restricted Subsidiary in an officer’s certificate delivered to the trustee.</w:t>
      </w:r>
    </w:p>
    <w:p>
      <w:pPr>
        <w:spacing w:after="0" w:line="18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or such Restricted Subsidiary has sold or transferred or will sell or transfer to that person. This term excludes the following:</w:t>
      </w:r>
    </w:p>
    <w:p>
      <w:pPr>
        <w:spacing w:after="0" w:line="7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outstanding from time to time.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GUARANTEES</w:t>
      </w:r>
    </w:p>
    <w:p>
      <w:pPr>
        <w:spacing w:after="0" w:line="229"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8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4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8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are authorized to issue 1,500,000,000 shares of common stock, of which 446,495,290 shares were outstanding at October 20, 2015 (excluding treasury shares of 183,787,171). We are also authorized to issue 10,000,000 shares of preferred stock, none of which were outstanding on that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share of common stock is entitled to one vote in the election of directors and in each other matter we may ask stockholders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on. 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Computershare in Jersey City, New Jersey.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a Delaware corporation and are governed by the Delaware General Corporation Law. Section 203 of the Delaware General Corporation law,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87" w:lineRule="exact"/>
        <w:rPr>
          <w:sz w:val="20"/>
          <w:szCs w:val="20"/>
          <w:color w:val="auto"/>
        </w:rPr>
      </w:pPr>
    </w:p>
    <w:p>
      <w:pPr>
        <w:ind w:left="900" w:right="3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OTHER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9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87" w:lineRule="exact"/>
        <w:rPr>
          <w:sz w:val="20"/>
          <w:szCs w:val="20"/>
          <w:color w:val="auto"/>
        </w:rPr>
      </w:pPr>
    </w:p>
    <w:p>
      <w:pPr>
        <w:ind w:right="460" w:firstLine="456"/>
        <w:spacing w:after="0" w:line="257" w:lineRule="auto"/>
        <w:rPr>
          <w:sz w:val="20"/>
          <w:szCs w:val="20"/>
          <w:color w:val="auto"/>
        </w:rPr>
      </w:pPr>
      <w:r>
        <w:rPr>
          <w:rFonts w:ascii="Arial" w:cs="Arial" w:eastAsia="Arial" w:hAnsi="Arial"/>
          <w:sz w:val="18"/>
          <w:szCs w:val="18"/>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2014, including the schedule appearing therein, and the effectiveness of Waste Management, Inc.’s internal control over financial reporting as of December 31, 2014,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238760</wp:posOffset>
            </wp:positionV>
            <wp:extent cx="1414780" cy="4800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780"/>
        <w:spacing w:after="0"/>
        <w:rPr>
          <w:sz w:val="20"/>
          <w:szCs w:val="20"/>
          <w:color w:val="auto"/>
        </w:rPr>
      </w:pPr>
      <w:r>
        <w:rPr>
          <w:rFonts w:ascii="Arial" w:cs="Arial" w:eastAsia="Arial" w:hAnsi="Arial"/>
          <w:sz w:val="24"/>
          <w:szCs w:val="24"/>
          <w:b w:val="1"/>
          <w:bCs w:val="1"/>
          <w:color w:val="auto"/>
        </w:rPr>
        <w:t>% Senior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1417320</wp:posOffset>
            </wp:positionV>
            <wp:extent cx="30441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20"/>
        <w:spacing w:after="0"/>
        <w:tabs>
          <w:tab w:leader="none" w:pos="5760" w:val="left"/>
        </w:tabs>
        <w:rPr>
          <w:sz w:val="20"/>
          <w:szCs w:val="20"/>
          <w:color w:val="auto"/>
        </w:rPr>
      </w:pPr>
      <w:r>
        <w:rPr>
          <w:rFonts w:ascii="Arial" w:cs="Arial" w:eastAsia="Arial" w:hAnsi="Arial"/>
          <w:sz w:val="18"/>
          <w:szCs w:val="18"/>
          <w:b w:val="1"/>
          <w:bCs w:val="1"/>
          <w:color w:val="auto"/>
        </w:rPr>
        <w:t>PROSPECTUS</w:t>
        <w:tab/>
        <w:t>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85725</wp:posOffset>
            </wp:positionV>
            <wp:extent cx="30441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Book-Running Managers</w:t>
      </w:r>
    </w:p>
    <w:p>
      <w:pPr>
        <w:spacing w:after="0" w:line="198" w:lineRule="exact"/>
        <w:rPr>
          <w:sz w:val="20"/>
          <w:szCs w:val="20"/>
          <w:color w:val="auto"/>
        </w:rPr>
      </w:pPr>
    </w:p>
    <w:p>
      <w:pPr>
        <w:jc w:val="center"/>
        <w:ind w:right="-1220"/>
        <w:spacing w:after="0"/>
        <w:rPr>
          <w:sz w:val="20"/>
          <w:szCs w:val="20"/>
          <w:color w:val="auto"/>
        </w:rPr>
      </w:pPr>
      <w:r>
        <w:rPr>
          <w:rFonts w:ascii="Arial" w:cs="Arial" w:eastAsia="Arial" w:hAnsi="Arial"/>
          <w:sz w:val="31"/>
          <w:szCs w:val="31"/>
          <w:b w:val="1"/>
          <w:bCs w:val="1"/>
          <w:color w:val="auto"/>
        </w:rPr>
        <w:t>BofA Merrill Lynch</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Citigroup</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Mizuho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80"/>
        <w:spacing w:after="0"/>
        <w:tabs>
          <w:tab w:leader="none" w:pos="5760" w:val="left"/>
        </w:tabs>
        <w:rPr>
          <w:sz w:val="20"/>
          <w:szCs w:val="20"/>
          <w:color w:val="auto"/>
        </w:rPr>
      </w:pPr>
      <w:r>
        <w:rPr>
          <w:rFonts w:ascii="Arial" w:cs="Arial" w:eastAsia="Arial" w:hAnsi="Arial"/>
          <w:sz w:val="18"/>
          <w:szCs w:val="18"/>
          <w:color w:val="auto"/>
        </w:rPr>
        <w:t>May</w:t>
        <w:tab/>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lowerLetter"/>
      <w:start w:val="1"/>
    </w:lvl>
  </w:abstractNum>
  <w:abstractNum w:abstractNumId="1">
    <w:nsid w:val="54E49EB4"/>
    <w:multiLevelType w:val="hybridMultilevel"/>
    <w:lvl w:ilvl="0">
      <w:lvlJc w:val="left"/>
      <w:lvlText w:val="(%1)"/>
      <w:numFmt w:val="lowerLetter"/>
      <w:start w:val="2"/>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1)"/>
      <w:numFmt w:val="lowerLetter"/>
      <w:start w:val="2"/>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lowerRoman"/>
      <w:start w:val="2"/>
    </w:lvl>
  </w:abstractNum>
  <w:abstractNum w:abstractNumId="11">
    <w:nsid w:val="6CEAF087"/>
    <w:multiLevelType w:val="hybridMultilevel"/>
    <w:lvl w:ilvl="0">
      <w:lvlJc w:val="left"/>
      <w:lvlText w:val="%1"/>
      <w:numFmt w:val="decimal"/>
      <w:start w:val="1"/>
    </w:lvl>
    <w:lvl w:ilvl="1">
      <w:lvlJc w:val="left"/>
      <w:lvlText w:val="(%2)"/>
      <w:numFmt w:val="lowerLetter"/>
      <w:start w:val="1"/>
    </w:lvl>
  </w:abstractNum>
  <w:abstractNum w:abstractNumId="12">
    <w:nsid w:val="22221A70"/>
    <w:multiLevelType w:val="hybridMultilevel"/>
    <w:lvl w:ilvl="0">
      <w:lvlJc w:val="left"/>
      <w:lvlText w:val="(%1)"/>
      <w:numFmt w:val="decimal"/>
      <w:start w:val="2"/>
    </w:lvl>
    <w:lvl w:ilvl="1">
      <w:lvlJc w:val="left"/>
      <w:lvlText w:val="%2"/>
      <w:numFmt w:val="lowerLetter"/>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Roman"/>
      <w:start w:val="2"/>
    </w:lvl>
  </w:abstractNum>
  <w:abstractNum w:abstractNumId="24">
    <w:nsid w:val="2463B9EA"/>
    <w:multiLevelType w:val="hybridMultilevel"/>
    <w:lvl w:ilvl="0">
      <w:lvlJc w:val="left"/>
      <w:lvlText w:val="(%1)"/>
      <w:numFmt w:val="lowerRoman"/>
      <w:start w:val="2"/>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Letter"/>
      <w:start w:val="5"/>
    </w:lvl>
    <w:lvl w:ilvl="1">
      <w:lvlJc w:val="left"/>
      <w:lvlText w:val="•"/>
      <w:numFmt w:val="bullet"/>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2019-12-20T22:41:01Z</dcterms:created>
  <dcterms:modified xsi:type="dcterms:W3CDTF">2019-12-20T22:41:01Z</dcterms:modified>
</cp:coreProperties>
</file>