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229870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February 21,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060" w:type="dxa"/>
            <w:vAlign w:val="bottom"/>
          </w:tcPr>
          <w:p>
            <w:pPr>
              <w:jc w:val="center"/>
              <w:ind w:right="470"/>
              <w:spacing w:after="0"/>
              <w:rPr>
                <w:sz w:val="20"/>
                <w:szCs w:val="20"/>
                <w:color w:val="auto"/>
              </w:rPr>
            </w:pPr>
            <w:r>
              <w:rPr>
                <w:rFonts w:ascii="Arial" w:cs="Arial" w:eastAsia="Arial" w:hAnsi="Arial"/>
                <w:sz w:val="18"/>
                <w:szCs w:val="18"/>
                <w:color w:val="auto"/>
                <w:w w:val="92"/>
              </w:rPr>
              <w:t>Delaware</w:t>
            </w:r>
          </w:p>
        </w:tc>
        <w:tc>
          <w:tcPr>
            <w:tcW w:w="3420" w:type="dxa"/>
            <w:vAlign w:val="bottom"/>
          </w:tcPr>
          <w:p>
            <w:pPr>
              <w:jc w:val="right"/>
              <w:ind w:right="1430"/>
              <w:spacing w:after="0"/>
              <w:rPr>
                <w:sz w:val="20"/>
                <w:szCs w:val="20"/>
                <w:color w:val="auto"/>
              </w:rPr>
            </w:pPr>
            <w:r>
              <w:rPr>
                <w:rFonts w:ascii="Arial" w:cs="Arial" w:eastAsia="Arial" w:hAnsi="Arial"/>
                <w:sz w:val="18"/>
                <w:szCs w:val="18"/>
                <w:color w:val="auto"/>
              </w:rPr>
              <w:t>1-12154</w:t>
            </w:r>
          </w:p>
        </w:tc>
        <w:tc>
          <w:tcPr>
            <w:tcW w:w="3420" w:type="dxa"/>
            <w:vAlign w:val="bottom"/>
          </w:tcPr>
          <w:p>
            <w:pPr>
              <w:jc w:val="right"/>
              <w:ind w:right="790"/>
              <w:spacing w:after="0"/>
              <w:rPr>
                <w:sz w:val="20"/>
                <w:szCs w:val="20"/>
                <w:color w:val="auto"/>
              </w:rPr>
            </w:pPr>
            <w:r>
              <w:rPr>
                <w:rFonts w:ascii="Arial" w:cs="Arial" w:eastAsia="Arial" w:hAnsi="Arial"/>
                <w:sz w:val="18"/>
                <w:szCs w:val="18"/>
                <w:color w:val="auto"/>
              </w:rPr>
              <w:t>73-1309529</w:t>
            </w:r>
          </w:p>
        </w:tc>
      </w:tr>
      <w:tr>
        <w:trPr>
          <w:trHeight w:val="234"/>
        </w:trPr>
        <w:tc>
          <w:tcPr>
            <w:tcW w:w="406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(Commission File Number)</w:t>
            </w:r>
          </w:p>
        </w:tc>
        <w:tc>
          <w:tcPr>
            <w:tcW w:w="3420" w:type="dxa"/>
            <w:vAlign w:val="bottom"/>
          </w:tcPr>
          <w:p>
            <w:pPr>
              <w:jc w:val="center"/>
              <w:ind w:left="7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4060" w:type="dxa"/>
            <w:vAlign w:val="bottom"/>
          </w:tcPr>
          <w:p>
            <w:pPr>
              <w:jc w:val="center"/>
              <w:ind w:right="470"/>
              <w:spacing w:after="0"/>
              <w:rPr>
                <w:sz w:val="20"/>
                <w:szCs w:val="20"/>
                <w:color w:val="auto"/>
              </w:rPr>
            </w:pPr>
            <w:r>
              <w:rPr>
                <w:rFonts w:ascii="Arial" w:cs="Arial" w:eastAsia="Arial" w:hAnsi="Arial"/>
                <w:sz w:val="18"/>
                <w:szCs w:val="18"/>
                <w:color w:val="auto"/>
                <w:w w:val="89"/>
              </w:rPr>
              <w:t>1001 Fannin, Suite 4000 Houston, Texas</w:t>
            </w:r>
          </w:p>
        </w:tc>
        <w:tc>
          <w:tcPr>
            <w:tcW w:w="3420" w:type="dxa"/>
            <w:vAlign w:val="bottom"/>
          </w:tcPr>
          <w:p>
            <w:pPr>
              <w:spacing w:after="0"/>
              <w:rPr>
                <w:sz w:val="24"/>
                <w:szCs w:val="24"/>
                <w:color w:val="auto"/>
              </w:rPr>
            </w:pPr>
          </w:p>
        </w:tc>
        <w:tc>
          <w:tcPr>
            <w:tcW w:w="3420" w:type="dxa"/>
            <w:vAlign w:val="bottom"/>
          </w:tcPr>
          <w:p>
            <w:pPr>
              <w:jc w:val="right"/>
              <w:ind w:right="1010"/>
              <w:spacing w:after="0"/>
              <w:rPr>
                <w:sz w:val="20"/>
                <w:szCs w:val="20"/>
                <w:color w:val="auto"/>
              </w:rPr>
            </w:pPr>
            <w:r>
              <w:rPr>
                <w:rFonts w:ascii="Arial" w:cs="Arial" w:eastAsia="Arial" w:hAnsi="Arial"/>
                <w:sz w:val="18"/>
                <w:szCs w:val="18"/>
                <w:color w:val="auto"/>
              </w:rPr>
              <w:t>77002</w:t>
            </w:r>
          </w:p>
        </w:tc>
      </w:tr>
      <w:tr>
        <w:trPr>
          <w:trHeight w:val="234"/>
        </w:trPr>
        <w:tc>
          <w:tcPr>
            <w:tcW w:w="406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3420" w:type="dxa"/>
            <w:vAlign w:val="bottom"/>
          </w:tcPr>
          <w:p>
            <w:pPr>
              <w:spacing w:after="0"/>
              <w:rPr>
                <w:sz w:val="20"/>
                <w:szCs w:val="20"/>
                <w:color w:val="auto"/>
              </w:rPr>
            </w:pPr>
          </w:p>
        </w:tc>
        <w:tc>
          <w:tcPr>
            <w:tcW w:w="3420" w:type="dxa"/>
            <w:vAlign w:val="bottom"/>
          </w:tcPr>
          <w:p>
            <w:pPr>
              <w:jc w:val="center"/>
              <w:ind w:left="690"/>
              <w:spacing w:after="0"/>
              <w:rPr>
                <w:sz w:val="20"/>
                <w:szCs w:val="20"/>
                <w:color w:val="auto"/>
              </w:rPr>
            </w:pPr>
            <w:r>
              <w:rPr>
                <w:rFonts w:ascii="Arial" w:cs="Arial" w:eastAsia="Arial" w:hAnsi="Arial"/>
                <w:sz w:val="18"/>
                <w:szCs w:val="18"/>
                <w:b w:val="1"/>
                <w:bCs w:val="1"/>
                <w:color w:val="auto"/>
                <w:w w:val="94"/>
              </w:rPr>
              <w:t>(Zip Code)</w:t>
            </w:r>
          </w:p>
        </w:tc>
      </w:tr>
    </w:tbl>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-127635</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jc w:val="both"/>
        <w:ind w:right="280" w:firstLine="225"/>
        <w:spacing w:after="0" w:line="312" w:lineRule="auto"/>
        <w:rPr>
          <w:sz w:val="20"/>
          <w:szCs w:val="20"/>
          <w:color w:val="auto"/>
        </w:rPr>
      </w:pPr>
      <w:r>
        <w:rPr>
          <w:rFonts w:ascii="Arial" w:cs="Arial" w:eastAsia="Arial" w:hAnsi="Arial"/>
          <w:sz w:val="16"/>
          <w:szCs w:val="16"/>
          <w:color w:val="auto"/>
        </w:rPr>
        <w:t>On February 21, 2006, Waste Management, Inc. (the “Company”) filed a prospectus supplement pursuant to Rule 424 of the Securities Act of 1933, as amended, to its registration statement on Form S-3 (No. 333-97697) (the “Registration Statement”), to register the issuance of 7,500 shares of its common stock, par value $0.01 per share (the “Common Stock”), upon exercise of an outstanding warrant to purchase shares of Common Stock of the Company.</w:t>
      </w:r>
    </w:p>
    <w:p>
      <w:pPr>
        <w:spacing w:after="0" w:line="3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to be incorporated by reference into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21, 2006</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224"/>
        </w:trPr>
        <w:tc>
          <w:tcPr>
            <w:tcW w:w="35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Rick L Wittenbraker, </w:t>
            </w:r>
            <w:r>
              <w:rPr>
                <w:rFonts w:ascii="Arial" w:cs="Arial" w:eastAsia="Arial" w:hAnsi="Arial"/>
                <w:sz w:val="18"/>
                <w:szCs w:val="18"/>
                <w:i w:val="1"/>
                <w:iCs w:val="1"/>
                <w:color w:val="auto"/>
              </w:rPr>
              <w:t>Senior Vice President</w:t>
            </w:r>
          </w:p>
        </w:tc>
        <w:tc>
          <w:tcPr>
            <w:tcW w:w="1680" w:type="dxa"/>
            <w:vAlign w:val="bottom"/>
          </w:tcPr>
          <w:p>
            <w:pPr>
              <w:spacing w:after="0"/>
              <w:rPr>
                <w:sz w:val="19"/>
                <w:szCs w:val="19"/>
                <w:color w:val="auto"/>
              </w:rPr>
            </w:pPr>
          </w:p>
        </w:tc>
      </w:tr>
      <w:tr>
        <w:trPr>
          <w:trHeight w:val="833"/>
        </w:trPr>
        <w:tc>
          <w:tcPr>
            <w:tcW w:w="35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line="32"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15093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18" w:lineRule="exact"/>
        <w:rPr>
          <w:sz w:val="20"/>
          <w:szCs w:val="20"/>
          <w:color w:val="auto"/>
        </w:rPr>
      </w:pPr>
    </w:p>
    <w:p>
      <w:pPr>
        <w:ind w:left="200"/>
        <w:spacing w:after="0"/>
        <w:tabs>
          <w:tab w:leader="none" w:pos="12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ectPr>
          <w:pgSz w:w="11900" w:h="16838" w:orient="portrait"/>
          <w:cols w:equalWidth="0" w:num="1">
            <w:col w:w="10119"/>
          </w:cols>
          <w:pgMar w:left="340" w:top="144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LETTERHEAD]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21,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I am Vice President and Assistant General Counsel — Corporate &amp; Securities of Waste Management, Inc., a Delaware corporation (the “Company”), and have acted in such capacity in connection with the sale of 7,500 shares of the Company’s common stock, par value $0.01 per share (the “Common Stock”), pursuant to the exercise of a warrant dated May 7, 1996 (the “Warrant”). The 7,500 shares of Common Stock are being issued under a registration statement on Form S-3 (No. 333-97697) filed under the Securities Act of 1933, as amended.</w:t>
      </w:r>
    </w:p>
    <w:p>
      <w:pPr>
        <w:spacing w:after="0" w:line="79"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8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John S. Tsai</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S. Tsai</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&amp; Assistant General Counsel —</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Corporate &amp; Securities</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2019-12-11T21:30:29Z</dcterms:created>
  <dcterms:modified xsi:type="dcterms:W3CDTF">2019-12-11T21:30:29Z</dcterms:modified>
</cp:coreProperties>
</file>