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0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4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619"/>
        <w:spacing w:after="0"/>
        <w:rPr>
          <w:sz w:val="20"/>
          <w:szCs w:val="20"/>
          <w:color w:val="auto"/>
        </w:rPr>
      </w:pPr>
      <w:r>
        <w:rPr>
          <w:rFonts w:ascii="Arial" w:cs="Arial" w:eastAsia="Arial" w:hAnsi="Arial"/>
          <w:sz w:val="36"/>
          <w:szCs w:val="36"/>
          <w:b w:val="1"/>
          <w:bCs w:val="1"/>
          <w:color w:val="auto"/>
        </w:rPr>
        <w:t>WASTE MANAGEMENT RETIREMENT SAVINGS PLAN</w:t>
      </w:r>
    </w:p>
    <w:p>
      <w:pPr>
        <w:spacing w:after="0" w:line="24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00" w:type="dxa"/>
            <w:vAlign w:val="bottom"/>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20" w:type="dxa"/>
            <w:vAlign w:val="bottom"/>
          </w:tcPr>
          <w:p>
            <w:pPr>
              <w:spacing w:after="0"/>
              <w:rPr>
                <w:sz w:val="17"/>
                <w:szCs w:val="17"/>
                <w:color w:val="auto"/>
              </w:rPr>
            </w:pPr>
          </w:p>
        </w:tc>
      </w:tr>
      <w:tr>
        <w:trPr>
          <w:trHeight w:val="493"/>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7"/>
              </w:rPr>
              <w:t>WASTE MANAGEMENT RETIREMENT SAVINGS PLAN</w:t>
            </w:r>
          </w:p>
        </w:tc>
        <w:tc>
          <w:tcPr>
            <w:tcW w:w="196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7"/>
              </w:rPr>
              <w:t>INDEX TO FINANCIAL STATEMENTS AND SUPPLEMENTAL SCHEDULE</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9"/>
        </w:trPr>
        <w:tc>
          <w:tcPr>
            <w:tcW w:w="99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Reports of Independent Registered Public Accounting Firms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5"/>
        </w:trPr>
        <w:tc>
          <w:tcPr>
            <w:tcW w:w="43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Audited Financial Statements</w:t>
            </w:r>
          </w:p>
        </w:tc>
        <w:tc>
          <w:tcPr>
            <w:tcW w:w="554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2013 and 2012</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4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2013</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7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2460" w:type="dxa"/>
            <w:vAlign w:val="bottom"/>
            <w:gridSpan w:val="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45"/>
        </w:trPr>
        <w:tc>
          <w:tcPr>
            <w:tcW w:w="9900" w:type="dxa"/>
            <w:vAlign w:val="bottom"/>
            <w:gridSpan w:val="12"/>
          </w:tcPr>
          <w:p>
            <w:pPr>
              <w:spacing w:after="0"/>
              <w:rPr>
                <w:sz w:val="20"/>
                <w:szCs w:val="20"/>
                <w:color w:val="auto"/>
              </w:rPr>
            </w:pPr>
            <w:r>
              <w:rPr>
                <w:rFonts w:ascii="Arial" w:cs="Arial" w:eastAsia="Arial" w:hAnsi="Arial"/>
                <w:sz w:val="18"/>
                <w:szCs w:val="18"/>
                <w:color w:val="auto"/>
              </w:rPr>
              <w:t>Supplemental Schedule</w:t>
            </w:r>
          </w:p>
        </w:tc>
        <w:tc>
          <w:tcPr>
            <w:tcW w:w="142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47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Schedule H, Line 4(i) - Schedule of Assets (Held At End of Year)</w:t>
              </w:r>
            </w:hyperlink>
          </w:p>
        </w:tc>
        <w:tc>
          <w:tcPr>
            <w:tcW w:w="4800" w:type="dxa"/>
            <w:vAlign w:val="bottom"/>
            <w:gridSpan w:val="5"/>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bl>
    <w:p>
      <w:pPr>
        <w:jc w:val="right"/>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audited the accompanying statements of net assets available for benefits of the Waste Management Retirement Savings Plan (the Plan) as of December 31, 2013, and the related statement of changes in net assets available for benefits for the year ended December 31, 2013. These financial statements are the responsibility of Plan management. Our responsibility is to express an opinion on these financial statements based on our audits.</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2013, and the changes in net assets available for benefits for the year ended December 31, 2013, in conformity with accounting principles generally accepted in the United States of America.</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end of year) as of December 31, 2013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Plan management. The supplemental schedule has been subjected to the auditing procedures applied in the audit of the basic financial statements and, in our opinion, is fairly stated in all material respects in relation to the basic financial statements taken as a whole.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Weaver &amp; Tidwell,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audited the accompanying statement of net assets available for benefits of the Waste Management Retirement Savings Plan (the Plan) as of December 31, 2012. This financial statement is the responsibility of Plan management. Our responsibility is to express an opinion on the financial statement based on our audit.</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our opinion, the financial statement referred to above presents fairly, in all material respects, the net assets available for benefits of the Plan as of December 31, 2012,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2013</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 and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interest in the Master Trust (Note 3)</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1,879,605,637</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1,612,941,957</w:t>
            </w:r>
          </w:p>
        </w:tc>
      </w:tr>
      <w:tr>
        <w:trPr>
          <w:trHeight w:val="230"/>
        </w:trPr>
        <w:tc>
          <w:tcPr>
            <w:tcW w:w="20" w:type="dxa"/>
            <w:vAlign w:val="bottom"/>
          </w:tcPr>
          <w:p>
            <w:pPr>
              <w:spacing w:after="0"/>
              <w:rPr>
                <w:sz w:val="20"/>
                <w:szCs w:val="20"/>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Total investments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1,879,605,637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1,612,941,957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Employee contributions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822,284</w:t>
            </w:r>
          </w:p>
        </w:tc>
        <w:tc>
          <w:tcPr>
            <w:tcW w:w="16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802,080</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Employer contributions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567,417</w:t>
            </w: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559,420</w:t>
            </w: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Notes receivable from participants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67,640,023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66,131,034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receivables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69,029,724</w:t>
            </w: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67,492,534</w:t>
            </w: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1,948,635,361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1,680,434,491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(4,524,041)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(15,711,713)</w:t>
            </w: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1,944,111,320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1,664,722,778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2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840" w:type="dxa"/>
            <w:vAlign w:val="bottom"/>
          </w:tcPr>
          <w:p>
            <w:pPr>
              <w:jc w:val="center"/>
              <w:ind w:right="30"/>
              <w:spacing w:after="0"/>
              <w:rPr>
                <w:sz w:val="20"/>
                <w:szCs w:val="20"/>
                <w:color w:val="auto"/>
              </w:rPr>
            </w:pPr>
            <w:r>
              <w:rPr>
                <w:rFonts w:ascii="Arial" w:cs="Arial" w:eastAsia="Arial" w:hAnsi="Arial"/>
                <w:sz w:val="18"/>
                <w:szCs w:val="18"/>
                <w:color w:val="auto"/>
                <w:w w:val="88"/>
              </w:rPr>
              <w:t>Waste Management Retirement Savings Plan</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40" w:type="dxa"/>
            <w:vAlign w:val="bottom"/>
          </w:tcPr>
          <w:p>
            <w:pPr>
              <w:jc w:val="center"/>
              <w:ind w:right="5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40" w:type="dxa"/>
            <w:vAlign w:val="bottom"/>
          </w:tcPr>
          <w:p>
            <w:pPr>
              <w:jc w:val="center"/>
              <w:ind w:right="50"/>
              <w:spacing w:after="0"/>
              <w:rPr>
                <w:sz w:val="20"/>
                <w:szCs w:val="20"/>
                <w:color w:val="auto"/>
              </w:rPr>
            </w:pPr>
            <w:r>
              <w:rPr>
                <w:rFonts w:ascii="Arial" w:cs="Arial" w:eastAsia="Arial" w:hAnsi="Arial"/>
                <w:sz w:val="18"/>
                <w:szCs w:val="18"/>
                <w:color w:val="auto"/>
                <w:w w:val="89"/>
              </w:rPr>
              <w:t>Year Ended December 31, 2013</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ind w:left="340"/>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Employee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87,307,365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ind w:left="700"/>
              <w:spacing w:after="0"/>
              <w:rPr>
                <w:sz w:val="20"/>
                <w:szCs w:val="20"/>
                <w:color w:val="auto"/>
              </w:rPr>
            </w:pPr>
            <w:r>
              <w:rPr>
                <w:rFonts w:ascii="Arial" w:cs="Arial" w:eastAsia="Arial" w:hAnsi="Arial"/>
                <w:sz w:val="18"/>
                <w:szCs w:val="18"/>
                <w:color w:val="auto"/>
              </w:rPr>
              <w:t>Employer</w:t>
            </w: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52,826,078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Rollover</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8,523,757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148,657,200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investment gain from the Master Trust (Note 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296,359,050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gridSpan w:val="2"/>
          </w:tcPr>
          <w:p>
            <w:pPr>
              <w:ind w:left="340"/>
              <w:spacing w:after="0"/>
              <w:rPr>
                <w:sz w:val="20"/>
                <w:szCs w:val="20"/>
                <w:color w:val="auto"/>
              </w:rPr>
            </w:pPr>
            <w:r>
              <w:rPr>
                <w:rFonts w:ascii="Arial" w:cs="Arial" w:eastAsia="Arial" w:hAnsi="Arial"/>
                <w:sz w:val="18"/>
                <w:szCs w:val="18"/>
                <w:color w:val="auto"/>
              </w:rPr>
              <w:t>Interest income on notes receivable from participants</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2,857,703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additions</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447,873,953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0" w:type="dxa"/>
            <w:vAlign w:val="bottom"/>
            <w:gridSpan w:val="3"/>
          </w:tcPr>
          <w:p>
            <w:pPr>
              <w:spacing w:after="0"/>
              <w:rPr>
                <w:sz w:val="20"/>
                <w:szCs w:val="20"/>
                <w:color w:val="auto"/>
              </w:rPr>
            </w:pPr>
            <w:r>
              <w:rPr>
                <w:rFonts w:ascii="Arial" w:cs="Arial" w:eastAsia="Arial" w:hAnsi="Arial"/>
                <w:sz w:val="18"/>
                <w:szCs w:val="18"/>
                <w:color w:val="auto"/>
              </w:rPr>
              <w:t>DEDUCTIONS FROM NET ASSETS AVAILABLE FOR BENEFITS:</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Benefits paid to participants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168,485,411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80" w:type="dxa"/>
            <w:vAlign w:val="bottom"/>
            <w:gridSpan w:val="2"/>
          </w:tcPr>
          <w:p>
            <w:pPr>
              <w:ind w:left="1060"/>
              <w:spacing w:after="0"/>
              <w:rPr>
                <w:sz w:val="20"/>
                <w:szCs w:val="20"/>
                <w:color w:val="auto"/>
              </w:rPr>
            </w:pPr>
            <w:r>
              <w:rPr>
                <w:rFonts w:ascii="Arial" w:cs="Arial" w:eastAsia="Arial" w:hAnsi="Arial"/>
                <w:sz w:val="18"/>
                <w:szCs w:val="18"/>
                <w:color w:val="auto"/>
              </w:rPr>
              <w:t>Total deductions</w:t>
            </w: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168,485,411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279,388,542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1,664,722,778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gridSpan w:val="2"/>
          </w:tcPr>
          <w:p>
            <w:pPr>
              <w:ind w:left="340"/>
              <w:spacing w:after="0"/>
              <w:rPr>
                <w:sz w:val="20"/>
                <w:szCs w:val="20"/>
                <w:color w:val="auto"/>
              </w:rPr>
            </w:pPr>
            <w:r>
              <w:rPr>
                <w:rFonts w:ascii="Arial" w:cs="Arial" w:eastAsia="Arial" w:hAnsi="Arial"/>
                <w:sz w:val="18"/>
                <w:szCs w:val="18"/>
                <w:color w:val="auto"/>
              </w:rPr>
              <w:t>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1,944,111,320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6"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Inc. (the “Company” or “WM”), and subsidiaries (collectively “Waste Management”). The Plan is subject to the provisions of the Employee Retirement Income Security Act of 1974, as amended (“ERISA”).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ING Institutional Plan Services, LLC serves as recordkeeper.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Employees (as defined by the Plan) are eligible to participate in the Plan following completion of a 90-day period of service (as defined by the Plan).</w:t>
      </w:r>
    </w:p>
    <w:p>
      <w:pPr>
        <w:spacing w:after="0" w:line="23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 (c) individuals providing services to the Company as independent contractors; (d) employees performing services on a seasonal or temporary basis;</w:t>
      </w:r>
    </w:p>
    <w:p>
      <w:pPr>
        <w:ind w:right="480" w:firstLine="8"/>
        <w:spacing w:after="0" w:line="277"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certain nonresident aliens who have no earned income from sources within the United States of America;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Participants may contribute from one percent to 25 percent of their pre-tax compensation, as defined by the Plan, not to exceed certain limits as described in the plan document (“Employee Contribution”). In addition, participants that are age 50 or older are eligible to make pre-tax catch-up contributions not to exceed certain limits described in the Plan document. After-tax contributions are not permitted by the Plan. Participants may also contribute amounts representing distributions from other qualified plans (“Rollover Contributions”). Waste Management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(“Employer Contribution”).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Plan, through its investments in the Master Trust, offers participants diversified investment options. During 2013, the Plan offered the following: (a) 13 common collective trust funds (including 11 target retirement-date funds); (b) five mutual funds; (c) a Company common stock fund (which is an Employee Stock Ownership Plan); (d) a stable value fund, which includes direct investments and investments in common collective trust funds, managed by Galliard Capital Management (“Galliard”); and (e) a self-managed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 participant invests in the Company common stock fund, the participant can elect to receive in cash any dividends paid on the common stock in the participant’s account. If a participant does not make such an election, dividends will automatically be reinvested in the Company common stock fund. Each participant who has invested in the Company common stock fund has the right to vote the shares of stock in his or her account with respect to any matter that comes before the shareholders for a vote.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respect to the self-managed account, several restrictions apply and a minimum balance is required to participate. Additionally, if a participant invests in the self-managed account, the participant has the right to vote the shares of securities held in the participant’s account.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a participant’s account based upon a participant’s proportionate share of the funds within the Master Trust.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Company common stock may be taken in whole shares of common stock or cash.</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2013 and 2012.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2013, Waste Management elected to pay certain audit and legal fees of the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6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56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Plan’s management to make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materially from the estimates and assumptions used in the preparation of the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Waste Management. The Master Trust’s assets are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Corporate stocks, mutual funds and publicly-traded partnership interests held by the Master Trust are stated at fair value based on quoted market prices as of the financial statement date. The fair values of the common collective trust funds held by the Master Trust are generally based on net asset values established by the issuer of the common collective trust funds based on fair values of the underlying assets. The investment options available within the Plan include a stable value fund that invests in fully benefit-responsive guaranteed investment contracts (“GICs”) and synthetic investment contracts (“Synthetic GICs”).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5. Short-term investments (included in amounts reported as common collective trust funds herein) are stated at cost, which approximates fair value.</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Plan investments are held in the Master Trust along with the Waste Management Retirement Savings Plan for Bargaining Unit Employees (the “Union Plan”). As of December 31, 2013 and 2012, the Plan’s beneficial interest in the net assets of the Master Trust was 98.95% and 99.05%, respectively.</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Neither the Plan nor the 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400" w:type="dxa"/>
            <w:vAlign w:val="bottom"/>
          </w:tcPr>
          <w:p>
            <w:pPr>
              <w:spacing w:after="0"/>
              <w:rPr>
                <w:sz w:val="14"/>
                <w:szCs w:val="14"/>
                <w:color w:val="auto"/>
              </w:rPr>
            </w:pPr>
          </w:p>
        </w:tc>
        <w:tc>
          <w:tcPr>
            <w:tcW w:w="2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Plan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Master Trust</w:t>
            </w:r>
          </w:p>
        </w:tc>
        <w:tc>
          <w:tcPr>
            <w:tcW w:w="8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Plan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Master Trust</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Interest %</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Interest %</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Investments, at fair value: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Common collective trust funds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98.4%</w:t>
            </w:r>
          </w:p>
        </w:tc>
        <w:tc>
          <w:tcPr>
            <w:tcW w:w="3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711,493,257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w:t>
            </w:r>
          </w:p>
        </w:tc>
        <w:tc>
          <w:tcPr>
            <w:tcW w:w="3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587,915,255</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Stable value fund</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339,126,374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370,384,053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WM common stock</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119,504,017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98,044,955</w:t>
            </w:r>
          </w:p>
        </w:tc>
        <w:tc>
          <w:tcPr>
            <w:tcW w:w="0" w:type="dxa"/>
            <w:vAlign w:val="bottom"/>
          </w:tcPr>
          <w:p>
            <w:pPr>
              <w:spacing w:after="0"/>
              <w:rPr>
                <w:sz w:val="1"/>
                <w:szCs w:val="1"/>
                <w:color w:val="auto"/>
              </w:rPr>
            </w:pP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Corporate stocks – other than WM common stock</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22,870,460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19,063,086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Mutual funds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706,220,160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551,799,069</w:t>
            </w:r>
          </w:p>
        </w:tc>
        <w:tc>
          <w:tcPr>
            <w:tcW w:w="0" w:type="dxa"/>
            <w:vAlign w:val="bottom"/>
          </w:tcPr>
          <w:p>
            <w:pPr>
              <w:spacing w:after="0"/>
              <w:rPr>
                <w:sz w:val="1"/>
                <w:szCs w:val="1"/>
                <w:color w:val="auto"/>
              </w:rPr>
            </w:pPr>
          </w:p>
        </w:tc>
      </w:tr>
      <w:tr>
        <w:trPr>
          <w:trHeight w:val="223"/>
        </w:trPr>
        <w:tc>
          <w:tcPr>
            <w:tcW w:w="5620" w:type="dxa"/>
            <w:vAlign w:val="bottom"/>
          </w:tcPr>
          <w:p>
            <w:pPr>
              <w:ind w:left="720"/>
              <w:spacing w:after="0"/>
              <w:rPr>
                <w:sz w:val="20"/>
                <w:szCs w:val="20"/>
                <w:color w:val="auto"/>
              </w:rPr>
            </w:pPr>
            <w:r>
              <w:rPr>
                <w:rFonts w:ascii="Arial" w:cs="Arial" w:eastAsia="Arial" w:hAnsi="Arial"/>
                <w:sz w:val="18"/>
                <w:szCs w:val="18"/>
                <w:color w:val="auto"/>
              </w:rPr>
              <w:t>Publicly-traded partnership interests and other</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964,187</w:t>
            </w:r>
          </w:p>
        </w:tc>
        <w:tc>
          <w:tcPr>
            <w:tcW w:w="4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1,900,178,455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1,628,400,365</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226,396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204,333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non-interest bearing</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143,935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Securities sold receivable, net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1,900,548,786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1,628,799,757</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Liabilities: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purchased payable, net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652,689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Administrative fees payable</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420,692</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1,073,381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381,142</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assets reflecting investments at fair value</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1,899,475,405</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1,628,418,615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responsive investment contracts</w:t>
            </w: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(4,570,317)</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(15,844,799)</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w w:val="95"/>
              </w:rPr>
              <w:t>Net assets, fully benefit-responsive investment contracts at contract value</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1,894,905,088</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1,612,573,816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520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Plan and the Union Plan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4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 reflecting investments at fair value: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Plan interest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$1,879,605,637</w:t>
            </w:r>
          </w:p>
        </w:tc>
        <w:tc>
          <w:tcPr>
            <w:tcW w:w="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$1,612,941,957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Union Plan interest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19,869,768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15,476,658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1,899,475,405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1,628,418,615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5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Adjustment from fair value to contract value for fully benefit-responsive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contracts: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Plan interest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(4,524,041)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(15,711,713)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Union Plan interest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(46,276)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(133,086)</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ind w:left="10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(4,570,317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(15,844,799</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assets, fully benefit-responsive investment contracts at contract value: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Plan interest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$1,875,081,596</w:t>
            </w:r>
          </w:p>
        </w:tc>
        <w:tc>
          <w:tcPr>
            <w:tcW w:w="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$1,597,230,244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Union Plan interest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19,823,492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15,343,572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0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1,894,905,088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1,612,573,816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w w:val="97"/>
              </w:rPr>
              <w:t>The Master Trust’s investments that represented 5% or more of net assets are as follows:</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WM Common Stock</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$119,504,017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$ 98,044,955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Stable Value Fund (at contract value) (a)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334,556,057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354,539,254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American Funds EuroPacific Growth R6(b)</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108,660,536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63,616,281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Vanguard S&amp;P Small Cap 600 Fund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122,231,647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85,023,042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317,231,916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236,975,969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Vanguard Total Bond Market Index Institutional Plus Fund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98,025,550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100,390,107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168,530,063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156,592,456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205,986,669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174,388,687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Master Trust’s investment in the Stable Value Fund was $339,126,374 and $370,384,053 at December 31, 2013 and 2012,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amount represents less than 5% of the Master Trust’s net assets at December 31, 2012.</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40"/>
          </w:cols>
          <w:pgMar w:left="240" w:top="459" w:right="9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2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640" w:type="dxa"/>
            <w:vAlign w:val="bottom"/>
            <w:gridSpan w:val="3"/>
          </w:tcPr>
          <w:p>
            <w:pPr>
              <w:spacing w:after="0"/>
              <w:rPr>
                <w:sz w:val="20"/>
                <w:szCs w:val="20"/>
                <w:color w:val="auto"/>
              </w:rPr>
            </w:pPr>
            <w:r>
              <w:rPr>
                <w:rFonts w:ascii="Arial" w:cs="Arial" w:eastAsia="Arial" w:hAnsi="Arial"/>
                <w:sz w:val="18"/>
                <w:szCs w:val="18"/>
                <w:color w:val="auto"/>
                <w:w w:val="98"/>
              </w:rPr>
              <w:t>Changes in net assets of the Master Trust for the year ended December 31, 2013, are as follows: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appreciation in fair value of investments: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collective trust funds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126,071,904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Stable value fund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7,603,530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WM common stock</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31,133,814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Corporate stocks – other than WM common stock</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2,985,993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117,751,570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Publicly-traded partnership interests and other</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net appreciation in fair value of investments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285,620,886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Dividends – WM common stock</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Dividends – other than WM common stock</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12,057,006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0" w:type="dxa"/>
            <w:vAlign w:val="bottom"/>
          </w:tcPr>
          <w:p>
            <w:pPr>
              <w:ind w:left="1080"/>
              <w:spacing w:after="0"/>
              <w:rPr>
                <w:sz w:val="20"/>
                <w:szCs w:val="20"/>
                <w:color w:val="auto"/>
              </w:rPr>
            </w:pPr>
            <w:r>
              <w:rPr>
                <w:rFonts w:ascii="Arial" w:cs="Arial" w:eastAsia="Arial" w:hAnsi="Arial"/>
                <w:sz w:val="18"/>
                <w:szCs w:val="18"/>
                <w:color w:val="auto"/>
              </w:rPr>
              <w:t>Total additions</w:t>
            </w:r>
          </w:p>
        </w:tc>
        <w:tc>
          <w:tcPr>
            <w:tcW w:w="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301,941,159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Administrative fees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(3,015,128)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deductions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(3,015,128)</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280" w:type="dxa"/>
            <w:vAlign w:val="bottom"/>
            <w:gridSpan w:val="2"/>
          </w:tcPr>
          <w:p>
            <w:pPr>
              <w:ind w:left="480"/>
              <w:spacing w:after="0"/>
              <w:rPr>
                <w:sz w:val="20"/>
                <w:szCs w:val="20"/>
                <w:color w:val="auto"/>
              </w:rPr>
            </w:pPr>
            <w:r>
              <w:rPr>
                <w:rFonts w:ascii="Arial" w:cs="Arial" w:eastAsia="Arial" w:hAnsi="Arial"/>
                <w:sz w:val="18"/>
                <w:szCs w:val="18"/>
                <w:color w:val="auto"/>
              </w:rPr>
              <w:t>NET INCREASE BEFORE TRANSFERS</w:t>
            </w: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298,926,031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TRANSFERS IN (a)</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153,031,356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TRANSFERS OUT (b)</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(169,626,115)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282,331,272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ASSETS: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year</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1,612,573,816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End of year</w:t>
            </w:r>
          </w:p>
        </w:tc>
        <w:tc>
          <w:tcPr>
            <w:tcW w:w="7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1,894,905,088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296,359,050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Union Plan interest in net investment gain from the Master Trust</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298,926,031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color w:val="auto"/>
        </w:rPr>
        <w:t>(a)</w:t>
        <w:tab/>
        <w:t>Includes contributions, rollovers, transfers and net participant loan activity.</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Includes benefit payments to participants.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46"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Plan’s investments that represented 5% or more of the Plan’s net assets available for benefits as of December 31, 2013 and 2012 are as follows: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20" w:type="dxa"/>
            <w:vAlign w:val="bottom"/>
            <w:gridSpan w:val="4"/>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2013</w:t>
            </w:r>
          </w:p>
        </w:tc>
        <w:tc>
          <w:tcPr>
            <w:tcW w:w="15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WM Common Stock</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$118,783,995</w:t>
            </w:r>
          </w:p>
        </w:tc>
        <w:tc>
          <w:tcPr>
            <w:tcW w:w="5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$ 97,514,764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Stable Value Fund (at contract value) (a)</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331,168,574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351,561,362</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American Funds EuroPacific Growth R6 (b)</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107,859,954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63,223,512</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Vanguard S&amp;P Small Cap 600 Fund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121,476,285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84,510,245</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Vanguard Institutional Total Stock Market Index Fund</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315,415,443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235,781,854</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Vanguard Total Market Index Institutional Plus Fund (c)</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96,978,763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99,486,998</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SmartRetirement 2020 Fund</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164,228,127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153,053,174</w:t>
            </w:r>
          </w:p>
        </w:tc>
        <w:tc>
          <w:tcPr>
            <w:tcW w:w="100" w:type="dxa"/>
            <w:vAlign w:val="bottom"/>
            <w:shd w:val="clear" w:color="auto" w:fill="CCEEFF"/>
          </w:tcPr>
          <w:p>
            <w:pPr>
              <w:spacing w:after="0"/>
              <w:rPr>
                <w:sz w:val="18"/>
                <w:szCs w:val="18"/>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JPMorgan Chase Bank SmartRetirement 2030 Fund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202,956,447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172,140,822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the Plan’s investment in the Stable Value Fund was $335,692,615 and $367,273,075 at December 31, 2013 and 2012, respectively.</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amount represents less than 5% of the Plan’s net assets available for benefits at December 31,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amount represents less than 5% of the Plan’s net assets available for benefits at December 31, 2013.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Contracts</w:t>
      </w:r>
    </w:p>
    <w:p>
      <w:pPr>
        <w:spacing w:after="0" w:line="12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Plan’s Stable Value Fund are measured by the investment manager using a discounted cash flow methodology at market rates.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guarantee that participant transactions will be executed at contract value. The investment portfolio of a Synthetic GIC when coupled with a wrapper contract attempts to replicate the investment characteristics of traditional GICs.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131" w:lineRule="exact"/>
        <w:rPr>
          <w:sz w:val="20"/>
          <w:szCs w:val="20"/>
          <w:color w:val="auto"/>
        </w:rPr>
      </w:pPr>
    </w:p>
    <w:p>
      <w:pPr>
        <w:ind w:left="440" w:right="20" w:hanging="324"/>
        <w:spacing w:after="0" w:line="276"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color w:val="auto"/>
        </w:rPr>
      </w:pPr>
    </w:p>
    <w:p>
      <w:pPr>
        <w:ind w:left="440" w:right="220" w:hanging="324"/>
        <w:spacing w:after="0" w:line="286"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the income approach discounting methodology that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incorporates the difference between current market level rates for contract level wrap fees and the wrap fee being charged for the Synthetic GIC. This difference is calculated as a dollar value and discounted by the prevailing discount rate as of the appropriate measurement date.</w:t>
      </w:r>
    </w:p>
    <w:p>
      <w:pPr>
        <w:spacing w:after="0" w:line="16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interest crediting rates for the traditional GICs are agreed to in advance with the issuer. The interest crediting rates for Synthetic GICs are calculated on a quarterly basis using the contract value, market value, yield and duration of the underlying securities, but cannot be less than zero.</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stable value fund’s average yield based on actual earnings was 1.62% and 1.15% during 2013 and 2012, respectively, and its average yield based on the interest rate credited to participants was 2.06% and 2.74% during 2013 and 2012,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Contract issuers are generally not allowed to terminate GICs and settle at an amount different from contract value unless there is a breach of contract which is not corrected within the time permitted by the contract. 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Plan defines fair value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the Plan’s estimate of assumptions that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 The Plan had no Level 3 assets at December 31, 2013 or 2012.</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provides by level, within the fair value hierarchy, a summary of investments of the Master Trust measured at fair value on a recurring basis: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5"/>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0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Quoted Prices in Active Markets (Level 1):</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WM common stock</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119,504,017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98,044,955</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stocks – other than WM common stock</w:t>
            </w:r>
          </w:p>
        </w:tc>
        <w:tc>
          <w:tcPr>
            <w:tcW w:w="8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22,870,460</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19,063,086</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Mutual Funds –</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EuroPacific growth fund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108,660,536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63,616,281</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Emerging markets fund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41,692,377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48,555,638</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Small cap investment fund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122,231,647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85,023,042</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Stock market index fund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317,231,916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236,975,969</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Bond market index fund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98,025,550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100,390,107</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ind w:left="720"/>
              <w:spacing w:after="0"/>
              <w:rPr>
                <w:sz w:val="20"/>
                <w:szCs w:val="20"/>
                <w:color w:val="auto"/>
              </w:rPr>
            </w:pPr>
            <w:r>
              <w:rPr>
                <w:rFonts w:ascii="Arial" w:cs="Arial" w:eastAsia="Arial" w:hAnsi="Arial"/>
                <w:sz w:val="18"/>
                <w:szCs w:val="18"/>
                <w:color w:val="auto"/>
              </w:rPr>
              <w:t>Self-directed mutual funds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18,378,134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17,238,032</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706,220,160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551,799,069</w:t>
            </w:r>
          </w:p>
        </w:tc>
        <w:tc>
          <w:tcPr>
            <w:tcW w:w="100" w:type="dxa"/>
            <w:vAlign w:val="bottom"/>
            <w:shd w:val="clear" w:color="auto" w:fill="CCEEFF"/>
          </w:tcPr>
          <w:p>
            <w:pPr>
              <w:spacing w:after="0"/>
              <w:rPr>
                <w:sz w:val="18"/>
                <w:szCs w:val="18"/>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Publicly–traded partnership interests and other</w:t>
            </w:r>
          </w:p>
        </w:tc>
        <w:tc>
          <w:tcPr>
            <w:tcW w:w="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964,187</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1,193,947</w:t>
            </w:r>
          </w:p>
        </w:tc>
        <w:tc>
          <w:tcPr>
            <w:tcW w:w="100" w:type="dxa"/>
            <w:vAlign w:val="bottom"/>
          </w:tcPr>
          <w:p>
            <w:pPr>
              <w:spacing w:after="0"/>
              <w:rPr>
                <w:sz w:val="20"/>
                <w:szCs w:val="20"/>
                <w:color w:val="auto"/>
              </w:rPr>
            </w:pPr>
          </w:p>
        </w:tc>
      </w:tr>
      <w:tr>
        <w:trPr>
          <w:trHeight w:val="216"/>
        </w:trPr>
        <w:tc>
          <w:tcPr>
            <w:tcW w:w="50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 Level 1</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849,558,824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670,101,057</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collective trust funds –</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Short-term investment fund (a)</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1,822,199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1,629,354</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income investment fund (b)</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68,734,970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47,781,369</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Growth investment fund (c)</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82,605,485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55,473,718</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Target date retirement funds (d)</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558,330,603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483,030,814</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711,493,257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587,915,255</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Stable value fund (e)</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339,126,374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370,384,053</w:t>
            </w:r>
          </w:p>
        </w:tc>
        <w:tc>
          <w:tcPr>
            <w:tcW w:w="100" w:type="dxa"/>
            <w:vAlign w:val="bottom"/>
            <w:shd w:val="clear" w:color="auto" w:fill="CCEEFF"/>
          </w:tcPr>
          <w:p>
            <w:pPr>
              <w:spacing w:after="0"/>
              <w:rPr>
                <w:sz w:val="18"/>
                <w:szCs w:val="18"/>
                <w:color w:val="auto"/>
              </w:rPr>
            </w:pPr>
          </w:p>
        </w:tc>
      </w:tr>
      <w:tr>
        <w:trPr>
          <w:trHeight w:val="230"/>
        </w:trPr>
        <w:tc>
          <w:tcPr>
            <w:tcW w:w="5000" w:type="dxa"/>
            <w:vAlign w:val="bottom"/>
          </w:tcPr>
          <w:p>
            <w:pPr>
              <w:ind w:left="1080"/>
              <w:spacing w:after="0"/>
              <w:rPr>
                <w:sz w:val="20"/>
                <w:szCs w:val="20"/>
                <w:color w:val="auto"/>
              </w:rPr>
            </w:pPr>
            <w:r>
              <w:rPr>
                <w:rFonts w:ascii="Arial" w:cs="Arial" w:eastAsia="Arial" w:hAnsi="Arial"/>
                <w:sz w:val="18"/>
                <w:szCs w:val="18"/>
                <w:color w:val="auto"/>
              </w:rPr>
              <w:t>Subtotal Level 2</w:t>
            </w:r>
          </w:p>
        </w:tc>
        <w:tc>
          <w:tcPr>
            <w:tcW w:w="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1,050,619,631</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958,299,308</w:t>
            </w:r>
          </w:p>
        </w:tc>
        <w:tc>
          <w:tcPr>
            <w:tcW w:w="100" w:type="dxa"/>
            <w:vAlign w:val="bottom"/>
          </w:tcPr>
          <w:p>
            <w:pPr>
              <w:spacing w:after="0"/>
              <w:rPr>
                <w:sz w:val="20"/>
                <w:szCs w:val="20"/>
                <w:color w:val="auto"/>
              </w:rPr>
            </w:pPr>
          </w:p>
        </w:tc>
      </w:tr>
      <w:tr>
        <w:trPr>
          <w:trHeight w:val="216"/>
        </w:trPr>
        <w:tc>
          <w:tcPr>
            <w:tcW w:w="50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Investments of the Master Trust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1,900,178,455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1,628,400,365</w:t>
            </w:r>
          </w:p>
        </w:tc>
        <w:tc>
          <w:tcPr>
            <w:tcW w:w="100" w:type="dxa"/>
            <w:vAlign w:val="bottom"/>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20" w:hanging="452"/>
        <w:spacing w:after="0" w:line="28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category represents a common collective trust that seeks to provide safety of principal, daily liquidity, and a competitive yield by investing in high quality money market instruments. The fund’s trust document requires fifteen days advance notice prior to redemption, and authorizes the fund’s trustee to shorten this notice period at its sole discretion. At December 31, 2013 and December 31, 2012, the trustee had waived the notice period.</w:t>
      </w:r>
    </w:p>
    <w:p>
      <w:pPr>
        <w:ind w:left="460" w:right="32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category represents a common collective trust that seeks to provide substantial dividend income and long-term growth of capital through investments in the common stocks of established companies. Under normal conditions, the fund will invest at least 80% of assets in common stocks and, in particular, those that appear to be undervalued and may be temporarily out of favor but have good prospects for capital appreciation and dividend growth. The fund’s trust document requires ninety days advance notice prior to redemption, and authorizes the fund’s trustee to shorten or waive this notice period at its sole discretion. As of December 31, 2013 and December 31, 2012, the trustee had waived the notice period for participants.</w:t>
      </w:r>
    </w:p>
    <w:p>
      <w:pPr>
        <w:spacing w:after="0" w:line="2"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category represents a common collective trust that seeks to provide long-term capital growth and, secondarily, income. Under normal conditions, the fund will invest at least 80% of net assets in the common stocks of large and medium-sized blue chip growth companies. The fund’s trust document requires ninety days advance notice prior to a redemption, and authorizes the fund’s trustee to shorten or waive this notice period at its sole discretion. As of December 31, 2013 and December 31, 2012, the trustee had waived the notice period for participants.</w:t>
      </w:r>
    </w:p>
    <w:p>
      <w:pPr>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category represents common collective trusts, and the objective of each individual fund is to produce risk-appropriate investment returns by using the following major asset classes: stocks, bonds, real estate, and cash or cash equivalents. Diversification is primarily achieved by investing in other collective trust funds maintained by JPMorgan Chase Bank, but may also be achieved by investing in exchange traded funds, exchange traded notes, derivatives, and other securities. Except for the target date income fund, the funds are age-based funds for investors retiring approximately at or near the year identified by each fund as its target retirement date. At December 31, 2013 and December 31, 2012, there were no redemption restrictions on these funds for participants but each fund requires the Plan to provide sixty days advance notice to liquidate its entire share.</w:t>
      </w:r>
    </w:p>
    <w:p>
      <w:pPr>
        <w:spacing w:after="0" w:line="4"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objective of this fund is to protect principal while providing a higher rate of return than shorter maturity investments, such as money market funds or certificates of deposit. To achieve this, the fund invests in instruments which are not expected to experience significant price fluctuation in most economic or interest rate environments. The fund primarily invests in investment contracts, including fully benefit-responsive GICS and Synthetic GICs. The fund also invests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in the Wells Fargo Stable Return Fund G (“Wells Fargo Fund”), which has an investment objective similar to that of the fund. The fund uses its investment in the Wells Fargo Fund for daily liquidity needs. The participants in this fund have daily liquidity at contract value (except as discussed in Note 5), however, the trustee of the Wells Fargo Fund reserves the right to require a one-year redemption notice for the Plan to liquidate its entire share in that Fund. See Note 5 for additional information related to the Stable Value Fund.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Federal Income Taxes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Plan has received a determination letter from the Internal Revenue Service (the “IRS”) dated June 20, 2002, stating that the Plan, as then designed, was then in compliance with the applicable requirements of the Internal Revenue Code (the “Code”). The Plan has been amended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January 11, 2010, Waste Management filed an application for a renewed favorable determination letter.</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Generally accepted accounting principles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2013,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2013 and 2012:</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1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3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$ 1,944,111,320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$1,664,722,778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Amounts pending distribution to participants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(832,141)</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(1,059,836)</w:t>
            </w:r>
          </w:p>
        </w:tc>
      </w:tr>
      <w:tr>
        <w:trPr>
          <w:trHeight w:val="202"/>
        </w:trPr>
        <w:tc>
          <w:tcPr>
            <w:tcW w:w="5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w:t>
            </w: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responsive investment contracts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4,524,041</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15,711,713</w:t>
            </w:r>
          </w:p>
        </w:tc>
        <w:tc>
          <w:tcPr>
            <w:tcW w:w="120" w:type="dxa"/>
            <w:vAlign w:val="bottom"/>
            <w:shd w:val="clear" w:color="auto" w:fill="CCEEFF"/>
          </w:tcPr>
          <w:p>
            <w:pPr>
              <w:spacing w:after="0"/>
              <w:rPr>
                <w:sz w:val="20"/>
                <w:szCs w:val="20"/>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1,947,803,220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1,679,374,655</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$279,388,542</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Amounts pending distribution to participants at December 31, 2012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1,059,836</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pending distribution to participants at December 31, 2013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(832,141)</w:t>
            </w:r>
          </w:p>
        </w:tc>
      </w:tr>
      <w:tr>
        <w:trPr>
          <w:trHeight w:val="202"/>
        </w:trPr>
        <w:tc>
          <w:tcPr>
            <w:tcW w:w="6640" w:type="dxa"/>
            <w:vAlign w:val="bottom"/>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benefit-responsive</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640" w:type="dxa"/>
            <w:vAlign w:val="bottom"/>
          </w:tcPr>
          <w:p>
            <w:pPr>
              <w:ind w:left="540"/>
              <w:spacing w:after="0"/>
              <w:rPr>
                <w:sz w:val="20"/>
                <w:szCs w:val="20"/>
                <w:color w:val="auto"/>
              </w:rPr>
            </w:pPr>
            <w:r>
              <w:rPr>
                <w:rFonts w:ascii="Arial" w:cs="Arial" w:eastAsia="Arial" w:hAnsi="Arial"/>
                <w:sz w:val="18"/>
                <w:szCs w:val="18"/>
                <w:color w:val="auto"/>
              </w:rPr>
              <w:t>investment contracts at December 31, 2012</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(15,711,713)</w:t>
            </w:r>
          </w:p>
        </w:tc>
      </w:tr>
      <w:tr>
        <w:trPr>
          <w:trHeight w:val="202"/>
        </w:trPr>
        <w:tc>
          <w:tcPr>
            <w:tcW w:w="6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benefit-responsive</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investment contracts at December 31, 2013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4,524,041</w:t>
            </w:r>
          </w:p>
        </w:tc>
        <w:tc>
          <w:tcPr>
            <w:tcW w:w="120" w:type="dxa"/>
            <w:vAlign w:val="bottom"/>
            <w:shd w:val="clear" w:color="auto" w:fill="CCEEFF"/>
          </w:tcPr>
          <w:p>
            <w:pPr>
              <w:spacing w:after="0"/>
              <w:rPr>
                <w:sz w:val="20"/>
                <w:szCs w:val="20"/>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268,428,565</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Amounts pending distribution are recorded as benefits paid to participants on the Form 5500 for benefit claims that have been processed and approved for payment prior to December 31, but which have not yet been paid as of that date.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Plan Termination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April 2002, certain former participants in the ERISA plans of WM Holdings, Inc. (“WM Holdings”), a wholly-owned subsidiary of the Company, filed a lawsuit in the U.S. District Court for the District of Columbia entitled </w:t>
      </w:r>
      <w:r>
        <w:rPr>
          <w:rFonts w:ascii="Arial" w:cs="Arial" w:eastAsia="Arial" w:hAnsi="Arial"/>
          <w:sz w:val="17"/>
          <w:szCs w:val="17"/>
          <w:i w:val="1"/>
          <w:iCs w:val="1"/>
          <w:color w:val="auto"/>
        </w:rPr>
        <w:t>William S. Harris, et al. v. James E. Koenig, et al</w:t>
      </w:r>
      <w:r>
        <w:rPr>
          <w:rFonts w:ascii="Arial" w:cs="Arial" w:eastAsia="Arial" w:hAnsi="Arial"/>
          <w:sz w:val="17"/>
          <w:szCs w:val="17"/>
          <w:color w:val="auto"/>
        </w:rPr>
        <w:t>. The lawsuit attempted to increase the recovery of a class of ERISA plan participants on behalf of the Plan based on allegations related to 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w:t>
      </w:r>
    </w:p>
    <w:p>
      <w:pPr>
        <w:spacing w:after="0" w:line="1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Plaintiffs agreed to a settlement of this matter, and the class settlement agreement was given final approval by the Court on March 18, 2013. Net settlement proceeds of approximately $615,000 were received by the Plan in 2013 and allocated to the accounts of current and former Plan participants.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Certain investments of the Plan are managed by State Street, which is the trustee of the Plan.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the Company’s common stock. Because the Company is the Plan sponsor, transactions involving the Company’s common stock also qualify as party-in-interest transactions. All of these transactions are exempt from the prohibited transactions rules.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Plan: 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Identity of Issue</w:t>
            </w:r>
          </w:p>
        </w:tc>
        <w:tc>
          <w:tcPr>
            <w:tcW w:w="4320" w:type="dxa"/>
            <w:vAlign w:val="bottom"/>
            <w:tcBorders>
              <w:bottom w:val="single" w:sz="8" w:color="CCEEFF"/>
            </w:tcBorders>
            <w:gridSpan w:val="2"/>
          </w:tcPr>
          <w:p>
            <w:pPr>
              <w:spacing w:after="0"/>
              <w:rPr>
                <w:sz w:val="16"/>
                <w:szCs w:val="16"/>
                <w:color w:val="auto"/>
              </w:rPr>
            </w:pPr>
          </w:p>
        </w:tc>
        <w:tc>
          <w:tcPr>
            <w:tcW w:w="4880" w:type="dxa"/>
            <w:vAlign w:val="bottom"/>
            <w:tcBorders>
              <w:bottom w:val="single" w:sz="8" w:color="auto"/>
            </w:tcBorders>
          </w:tcPr>
          <w:p>
            <w:pPr>
              <w:jc w:val="right"/>
              <w:ind w:right="1556"/>
              <w:spacing w:after="0"/>
              <w:rPr>
                <w:sz w:val="20"/>
                <w:szCs w:val="20"/>
                <w:color w:val="auto"/>
              </w:rPr>
            </w:pPr>
            <w:r>
              <w:rPr>
                <w:rFonts w:ascii="Arial" w:cs="Arial" w:eastAsia="Arial" w:hAnsi="Arial"/>
                <w:sz w:val="14"/>
                <w:szCs w:val="14"/>
                <w:b w:val="1"/>
                <w:bCs w:val="1"/>
                <w:color w:val="auto"/>
              </w:rPr>
              <w:t>Description of Investment</w:t>
            </w: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Current Value</w:t>
            </w:r>
          </w:p>
        </w:tc>
        <w:tc>
          <w:tcPr>
            <w:tcW w:w="100" w:type="dxa"/>
            <w:vAlign w:val="bottom"/>
            <w:tcBorders>
              <w:bottom w:val="single" w:sz="8" w:color="CCEEFF"/>
            </w:tcBorders>
          </w:tcPr>
          <w:p>
            <w:pPr>
              <w:spacing w:after="0"/>
              <w:rPr>
                <w:sz w:val="16"/>
                <w:szCs w:val="16"/>
                <w:color w:val="auto"/>
              </w:rPr>
            </w:pPr>
          </w:p>
        </w:tc>
      </w:tr>
      <w:tr>
        <w:trPr>
          <w:trHeight w:val="210"/>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receivable from participants</w:t>
            </w:r>
          </w:p>
        </w:tc>
        <w:tc>
          <w:tcPr>
            <w:tcW w:w="488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0"/>
              </w:rPr>
              <w:t>Various maturity dates with an interest rate of 4.25%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$67,640,023</w:t>
            </w:r>
          </w:p>
        </w:tc>
        <w:tc>
          <w:tcPr>
            <w:tcW w:w="100" w:type="dxa"/>
            <w:vAlign w:val="bottom"/>
            <w:shd w:val="clear" w:color="auto" w:fill="CCEEFF"/>
          </w:tcPr>
          <w:p>
            <w:pPr>
              <w:spacing w:after="0"/>
              <w:rPr>
                <w:sz w:val="18"/>
                <w:szCs w:val="18"/>
                <w:color w:val="auto"/>
              </w:rPr>
            </w:pP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41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5320" w:type="dxa"/>
            <w:vAlign w:val="bottom"/>
            <w:gridSpan w:val="3"/>
          </w:tcPr>
          <w:p>
            <w:pPr>
              <w:spacing w:after="0"/>
              <w:rPr>
                <w:sz w:val="20"/>
                <w:szCs w:val="20"/>
                <w:color w:val="auto"/>
              </w:rPr>
            </w:pPr>
            <w:r>
              <w:rPr>
                <w:rFonts w:ascii="Arial" w:cs="Arial" w:eastAsia="Arial" w:hAnsi="Arial"/>
                <w:sz w:val="18"/>
                <w:szCs w:val="18"/>
                <w:color w:val="auto"/>
              </w:rPr>
              <w:t>*  Party-in-interest</w:t>
            </w:r>
          </w:p>
        </w:tc>
        <w:tc>
          <w:tcPr>
            <w:tcW w:w="4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5"/>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880" w:type="dxa"/>
            <w:vAlign w:val="bottom"/>
          </w:tcPr>
          <w:p>
            <w:pPr>
              <w:jc w:val="right"/>
              <w:ind w:right="4316"/>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28, 2014</w:t>
      </w:r>
      <w:r>
        <w:rPr>
          <w:sz w:val="20"/>
          <w:szCs w:val="20"/>
          <w:color w:val="auto"/>
        </w:rPr>
        <w:tab/>
      </w:r>
      <w:r>
        <w:rPr>
          <w:rFonts w:ascii="Arial" w:cs="Arial" w:eastAsia="Arial" w:hAnsi="Arial"/>
          <w:sz w:val="16"/>
          <w:szCs w:val="16"/>
          <w:color w:val="auto"/>
        </w:rPr>
        <w:t>By:  /s/ Gordon Blasius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Gordon Blasius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Compensation and Benefits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Waste Management, Inc.</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Member, Administrative Committee of the Waste Management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Employee Benefit Plans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20" w:type="dxa"/>
            <w:vAlign w:val="bottom"/>
          </w:tcPr>
          <w:p>
            <w:pPr>
              <w:jc w:val="center"/>
              <w:ind w:left="2930"/>
              <w:spacing w:after="0"/>
              <w:rPr>
                <w:sz w:val="20"/>
                <w:szCs w:val="20"/>
                <w:color w:val="auto"/>
              </w:rPr>
            </w:pPr>
            <w:r>
              <w:rPr>
                <w:rFonts w:ascii="Arial" w:cs="Arial" w:eastAsia="Arial" w:hAnsi="Arial"/>
                <w:sz w:val="18"/>
                <w:szCs w:val="18"/>
                <w:b w:val="1"/>
                <w:bCs w:val="1"/>
                <w:color w:val="auto"/>
              </w:rPr>
              <w:t>INDEX TO EXHIBITS</w:t>
            </w: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65"/>
        </w:trPr>
        <w:tc>
          <w:tcPr>
            <w:tcW w:w="520" w:type="dxa"/>
            <w:vAlign w:val="bottom"/>
          </w:tcPr>
          <w:p>
            <w:pPr>
              <w:spacing w:after="0"/>
              <w:rPr>
                <w:sz w:val="24"/>
                <w:szCs w:val="24"/>
                <w:color w:val="auto"/>
              </w:rPr>
            </w:pPr>
          </w:p>
        </w:tc>
        <w:tc>
          <w:tcPr>
            <w:tcW w:w="6100" w:type="dxa"/>
            <w:vAlign w:val="bottom"/>
            <w:gridSpan w:val="3"/>
          </w:tcPr>
          <w:p>
            <w:pPr>
              <w:jc w:val="right"/>
              <w:ind w:right="73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0219"/>
          </w:cols>
          <w:pgMar w:left="240" w:top="459"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No. 333-184156) pertaining to the Waste Management Retirement Savings Plan of our report dated May 28, 2014, with respect to the financial statements and supplemental schedule of the Waste Management Retirement Savings Plan included in this Annual Report (Form 11-K) for the year ended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Weaver &amp; Tidwell,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No. 333-184156) pertaining to the Waste Management Retirement Savings Plan of our report dated May 31, 2013, with respect to the statement of net assets available for benefits as of December 31, 2012 of the Waste Management Retirement Savings Plan included in this Annual Report (Form 11-K) for the year ended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28,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2019-12-06T01:12:17Z</dcterms:created>
  <dcterms:modified xsi:type="dcterms:W3CDTF">2019-12-06T01:12:17Z</dcterms:modified>
</cp:coreProperties>
</file>