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WASTE MANAGEMENT RETIREMENT SAVINGS PLAN</w:t>
      </w: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Audited Financial Statements</w:t>
            </w:r>
          </w:p>
        </w:tc>
        <w:tc>
          <w:tcPr>
            <w:tcW w:w="4880" w:type="dxa"/>
            <w:vAlign w:val="bottom"/>
            <w:gridSpan w:val="4"/>
          </w:tcPr>
          <w:p>
            <w:pPr>
              <w:spacing w:after="0"/>
              <w:rPr>
                <w:sz w:val="24"/>
                <w:szCs w:val="24"/>
                <w:color w:val="auto"/>
              </w:rPr>
            </w:pPr>
          </w:p>
        </w:tc>
        <w:tc>
          <w:tcPr>
            <w:tcW w:w="23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2010 and 2009</w:t>
              </w:r>
            </w:hyperlink>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2</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8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2010</w:t>
              </w:r>
            </w:hyperlink>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820" w:type="dxa"/>
            <w:vAlign w:val="bottom"/>
          </w:tcPr>
          <w:p>
            <w:pPr>
              <w:spacing w:after="0"/>
              <w:rPr>
                <w:sz w:val="17"/>
                <w:szCs w:val="17"/>
                <w:color w:val="auto"/>
              </w:rPr>
            </w:pPr>
          </w:p>
        </w:tc>
        <w:tc>
          <w:tcPr>
            <w:tcW w:w="232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3"/>
        </w:trPr>
        <w:tc>
          <w:tcPr>
            <w:tcW w:w="910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2320" w:type="dxa"/>
            <w:vAlign w:val="bottom"/>
          </w:tcPr>
          <w:p>
            <w:pPr>
              <w:spacing w:after="0"/>
              <w:rPr>
                <w:sz w:val="24"/>
                <w:szCs w:val="24"/>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Schedule H, Line 4(i) — Schedule of Assets (Held At End of Year)</w:t>
              </w:r>
            </w:hyperlink>
          </w:p>
        </w:tc>
        <w:tc>
          <w:tcPr>
            <w:tcW w:w="4040" w:type="dxa"/>
            <w:vAlign w:val="bottom"/>
            <w:gridSpan w:val="3"/>
          </w:tcPr>
          <w:p>
            <w:pPr>
              <w:spacing w:after="0"/>
              <w:rPr>
                <w:sz w:val="24"/>
                <w:szCs w:val="24"/>
                <w:color w:val="auto"/>
              </w:rPr>
            </w:pPr>
          </w:p>
        </w:tc>
        <w:tc>
          <w:tcPr>
            <w:tcW w:w="2320" w:type="dxa"/>
            <w:vAlign w:val="bottom"/>
          </w:tcPr>
          <w:p>
            <w:pPr>
              <w:jc w:val="right"/>
              <w:ind w:right="250"/>
              <w:spacing w:after="0"/>
              <w:rPr>
                <w:sz w:val="20"/>
                <w:szCs w:val="20"/>
                <w:color w:val="auto"/>
              </w:rPr>
            </w:pPr>
            <w:r>
              <w:rPr>
                <w:rFonts w:ascii="Arial" w:cs="Arial" w:eastAsia="Arial" w:hAnsi="Arial"/>
                <w:sz w:val="18"/>
                <w:szCs w:val="18"/>
                <w:color w:val="auto"/>
              </w:rPr>
              <w:t>13</w:t>
            </w:r>
          </w:p>
        </w:tc>
      </w:tr>
      <w:tr>
        <w:trPr>
          <w:trHeight w:val="196"/>
        </w:trPr>
        <w:tc>
          <w:tcPr>
            <w:tcW w:w="60" w:type="dxa"/>
            <w:vAlign w:val="bottom"/>
          </w:tcPr>
          <w:p>
            <w:pPr>
              <w:spacing w:after="0"/>
              <w:rPr>
                <w:sz w:val="17"/>
                <w:szCs w:val="17"/>
                <w:color w:val="auto"/>
              </w:rPr>
            </w:pPr>
          </w:p>
        </w:tc>
        <w:tc>
          <w:tcPr>
            <w:tcW w:w="9040" w:type="dxa"/>
            <w:vAlign w:val="bottom"/>
            <w:gridSpan w:val="8"/>
          </w:tcPr>
          <w:p>
            <w:pPr>
              <w:spacing w:after="0" w:line="196" w:lineRule="exact"/>
              <w:rPr>
                <w:sz w:val="20"/>
                <w:szCs w:val="20"/>
                <w:color w:val="auto"/>
              </w:rPr>
            </w:pPr>
            <w:r>
              <w:rPr>
                <w:rFonts w:ascii="Arial" w:cs="Arial" w:eastAsia="Arial" w:hAnsi="Arial"/>
                <w:sz w:val="18"/>
                <w:szCs w:val="18"/>
                <w:color w:val="0000EE"/>
              </w:rPr>
              <w:t>EX-23.1</w:t>
            </w:r>
          </w:p>
        </w:tc>
        <w:tc>
          <w:tcPr>
            <w:tcW w:w="2320" w:type="dxa"/>
            <w:vAlign w:val="bottom"/>
          </w:tcPr>
          <w:p>
            <w:pPr>
              <w:spacing w:after="0"/>
              <w:rPr>
                <w:sz w:val="17"/>
                <w:szCs w:val="17"/>
                <w:color w:val="auto"/>
              </w:rPr>
            </w:pPr>
          </w:p>
        </w:tc>
      </w:tr>
      <w:tr>
        <w:trPr>
          <w:trHeight w:val="652"/>
        </w:trPr>
        <w:tc>
          <w:tcPr>
            <w:tcW w:w="60" w:type="dxa"/>
            <w:vAlign w:val="bottom"/>
            <w:tcBorders>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440" w:type="dxa"/>
            <w:vAlign w:val="bottom"/>
            <w:tcBorders>
              <w:top w:val="single" w:sz="8" w:color="0000EE"/>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2010 and 2009, and the related statement of changes in net assets available for benefits for the year ended December 31, 2010.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5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2010 and 2009, and the changes in net assets available for benefits for the year ended December 31, 2010, in conformity with accounting principles generally accepted in the United States of America.</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 of assets (held at end of year) as of December 31, 2010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interest in the Master Trust (Note 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1,440,403,471</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1,255,684,034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Total investments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1,440,403,471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1,255,684,034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Employee contributions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780,523</w:t>
            </w:r>
          </w:p>
        </w:tc>
        <w:tc>
          <w:tcPr>
            <w:tcW w:w="6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933,792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 contributions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544,058</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Notes receivable from participants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61,601,180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receivables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62,925,761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62,190,771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1,503,329,232</w:t>
            </w:r>
          </w:p>
        </w:tc>
        <w:tc>
          <w:tcPr>
            <w:tcW w:w="6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1,317,874,805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(9,504,574)</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(3,035,954)</w:t>
            </w:r>
          </w:p>
        </w:tc>
        <w:tc>
          <w:tcPr>
            <w:tcW w:w="0" w:type="dxa"/>
            <w:vAlign w:val="bottom"/>
          </w:tcPr>
          <w:p>
            <w:pPr>
              <w:spacing w:after="0"/>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1,493,824,658</w:t>
            </w:r>
          </w:p>
        </w:tc>
        <w:tc>
          <w:tcPr>
            <w:tcW w:w="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1,314,838,851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8800" w:type="dxa"/>
            <w:vAlign w:val="bottom"/>
          </w:tcPr>
          <w:p>
            <w:pPr>
              <w:jc w:val="center"/>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color w:val="auto"/>
                <w:w w:val="89"/>
              </w:rPr>
              <w:t>Year Ended December 31, 2010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3,606,282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47,942,867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129,450,931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144,551,875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Transfers to the Plan</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277,555,148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98,569,341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98,569,341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3"/>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178,985,807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2"/>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1,314,838,851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1,493,824,658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Inc. (“WM”), and subsidiaries (“Waste Management” or the “Company”). The Plan is subject to the provisions of the Employee Retirement Income Security Act of 1974, as amended (“ERISA”).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1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right="120" w:firstLine="8"/>
        <w:spacing w:after="0" w:line="277"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nonresident aliens who have no earned income from sources within the United States of America; and (f) individuals who are participants in certain other pension, retirement, profit-sharing, stock bonus, thrift or savings plans maintained by the Company. Certain United States citizens employed by foreign affiliates of the Company may participate in the Plan under certain provisions specified by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2009 and 2010, the Plan, through its investments in the Master Trust, offered participants (a) five common/collective trust funds; (b) a Company common stock fund; (c) 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With respect to the self-managed account, several restrictions apply and a minimum balance is required to participate. The Plan utilizes cash equivalents to temporarily hold monies pending settlement for transactions initiated by participants.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a participant’s account based upon a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2010 and 2009.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2010, Waste Management elected to pay certain audit and legal fees of the Plan.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period financial information in order to conform to the current year presentation.</w:t>
      </w:r>
    </w:p>
    <w:p>
      <w:pPr>
        <w:spacing w:after="0" w:line="221" w:lineRule="exact"/>
        <w:rPr>
          <w:sz w:val="20"/>
          <w:szCs w:val="20"/>
          <w:color w:val="auto"/>
        </w:rPr>
      </w:pPr>
    </w:p>
    <w:p>
      <w:pPr>
        <w:ind w:right="8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and disclosure of, plan assets and liabilities and additions and deductions to/from net assets available for benefits. These estimates must be made because certain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the Company and its subsidiaries.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are stated at cost, which approximates fair value.</w:t>
      </w:r>
    </w:p>
    <w:p>
      <w:pPr>
        <w:spacing w:after="0" w:line="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2010 and 2009, the Plan’s beneficial interest in the net assets of the Master Trust was 99.33% and 99.52%, respectively.</w:t>
      </w:r>
    </w:p>
    <w:p>
      <w:pPr>
        <w:spacing w:after="0" w:line="16"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Common/collective trust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959,174,765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805,023,187</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Stable value fund</w:t>
            </w: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344,899,671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326,037,431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WM common stock</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111,844,911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103,671,704</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Corporate stocks — other than WM common stock</w:t>
            </w: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14,363,774</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10,959,252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20,124,526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16,405,708</w:t>
            </w:r>
          </w:p>
        </w:tc>
        <w:tc>
          <w:tcPr>
            <w:tcW w:w="0" w:type="dxa"/>
            <w:vAlign w:val="bottom"/>
          </w:tcPr>
          <w:p>
            <w:pPr>
              <w:spacing w:after="0"/>
              <w:rPr>
                <w:sz w:val="1"/>
                <w:szCs w:val="1"/>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Publicly-traded partnership interests and other</w:t>
            </w: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424,601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290,033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1,450,832,248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1,262,387,315</w:t>
            </w:r>
          </w:p>
        </w:tc>
        <w:tc>
          <w:tcPr>
            <w:tcW w:w="0" w:type="dxa"/>
            <w:vAlign w:val="bottom"/>
          </w:tcPr>
          <w:p>
            <w:pPr>
              <w:spacing w:after="0"/>
              <w:rPr>
                <w:sz w:val="1"/>
                <w:szCs w:val="1"/>
                <w:color w:val="auto"/>
              </w:rPr>
            </w:pPr>
          </w:p>
        </w:tc>
      </w:tr>
      <w:tr>
        <w:trPr>
          <w:trHeight w:val="432"/>
        </w:trPr>
        <w:tc>
          <w:tcPr>
            <w:tcW w:w="840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non-interest bearing</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74,641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Securities sold receivable, net</w:t>
            </w: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51,787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1,450,907,171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1,262,443,942</w:t>
            </w:r>
          </w:p>
        </w:tc>
        <w:tc>
          <w:tcPr>
            <w:tcW w:w="0" w:type="dxa"/>
            <w:vAlign w:val="bottom"/>
          </w:tcPr>
          <w:p>
            <w:pPr>
              <w:spacing w:after="0"/>
              <w:rPr>
                <w:sz w:val="1"/>
                <w:szCs w:val="1"/>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fees payable</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705,257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689,511</w:t>
            </w:r>
          </w:p>
        </w:tc>
        <w:tc>
          <w:tcPr>
            <w:tcW w:w="0" w:type="dxa"/>
            <w:vAlign w:val="bottom"/>
          </w:tcPr>
          <w:p>
            <w:pPr>
              <w:spacing w:after="0"/>
              <w:rPr>
                <w:sz w:val="1"/>
                <w:szCs w:val="1"/>
                <w:color w:val="auto"/>
              </w:rPr>
            </w:pP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Securities purchased payable, net</w:t>
            </w: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140,366</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845,623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689,511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100" w:type="dxa"/>
            <w:vAlign w:val="bottom"/>
          </w:tcPr>
          <w:p>
            <w:pPr>
              <w:spacing w:after="0"/>
              <w:rPr>
                <w:sz w:val="24"/>
                <w:szCs w:val="2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1,450,061,548</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1,261,754,431</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(9,548,644)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(3,044,004)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1,440,512,904</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1,258,710,427</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566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Respective interests in the net assets of the Master Trust by the Plan and the Union Plan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8"/>
              </w:rPr>
              <w:t>1,440,403,471</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1,255,684,034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9,658,077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6,070,397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1,450,061,548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1,261,754,431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(9,504,574)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(3,035,954)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1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(44,070)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(9,548,644</w:t>
            </w:r>
          </w:p>
        </w:tc>
        <w:tc>
          <w:tcPr>
            <w:tcW w:w="620" w:type="dxa"/>
            <w:vAlign w:val="bottom"/>
            <w:gridSpan w:val="2"/>
          </w:tcPr>
          <w:p>
            <w:pPr>
              <w:jc w:val="right"/>
              <w:ind w:right="5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(3,044,004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88"/>
              </w:rPr>
              <w:t>1,430,898,897</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1,252,648,080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9,614,007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1,440,512,904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1,258,710,427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2010, was as follows: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appreciation in fair value of:</w:t>
            </w:r>
          </w:p>
        </w:tc>
        <w:tc>
          <w:tcPr>
            <w:tcW w:w="3400" w:type="dxa"/>
            <w:vAlign w:val="bottom"/>
          </w:tcPr>
          <w:p>
            <w:pPr>
              <w:spacing w:after="0"/>
              <w:rPr>
                <w:sz w:val="18"/>
                <w:szCs w:val="18"/>
                <w:color w:val="auto"/>
              </w:rPr>
            </w:pP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Common/collective trust funds</w:t>
            </w:r>
          </w:p>
        </w:tc>
        <w:tc>
          <w:tcPr>
            <w:tcW w:w="3400" w:type="dxa"/>
            <w:vAlign w:val="bottom"/>
          </w:tcPr>
          <w:p>
            <w:pPr>
              <w:jc w:val="right"/>
              <w:spacing w:after="0"/>
              <w:rPr>
                <w:sz w:val="20"/>
                <w:szCs w:val="20"/>
                <w:color w:val="auto"/>
              </w:rPr>
            </w:pPr>
            <w:r>
              <w:rPr>
                <w:rFonts w:ascii="Arial" w:cs="Arial" w:eastAsia="Arial" w:hAnsi="Arial"/>
                <w:sz w:val="18"/>
                <w:szCs w:val="18"/>
                <w:color w:val="auto"/>
              </w:rPr>
              <w:t>$  116,116,987</w:t>
            </w: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Stable value fund</w:t>
            </w:r>
          </w:p>
        </w:tc>
        <w:tc>
          <w:tcPr>
            <w:tcW w:w="3400" w:type="dxa"/>
            <w:vAlign w:val="bottom"/>
          </w:tcPr>
          <w:p>
            <w:pPr>
              <w:jc w:val="right"/>
              <w:spacing w:after="0"/>
              <w:rPr>
                <w:sz w:val="20"/>
                <w:szCs w:val="20"/>
                <w:color w:val="auto"/>
              </w:rPr>
            </w:pPr>
            <w:r>
              <w:rPr>
                <w:rFonts w:ascii="Arial" w:cs="Arial" w:eastAsia="Arial" w:hAnsi="Arial"/>
                <w:sz w:val="18"/>
                <w:szCs w:val="18"/>
                <w:color w:val="auto"/>
              </w:rPr>
              <w:t>9,853,145</w:t>
            </w: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WM common stock</w:t>
            </w:r>
          </w:p>
        </w:tc>
        <w:tc>
          <w:tcPr>
            <w:tcW w:w="3400" w:type="dxa"/>
            <w:vAlign w:val="bottom"/>
          </w:tcPr>
          <w:p>
            <w:pPr>
              <w:jc w:val="right"/>
              <w:spacing w:after="0"/>
              <w:rPr>
                <w:sz w:val="20"/>
                <w:szCs w:val="20"/>
                <w:color w:val="auto"/>
              </w:rPr>
            </w:pPr>
            <w:r>
              <w:rPr>
                <w:rFonts w:ascii="Arial" w:cs="Arial" w:eastAsia="Arial" w:hAnsi="Arial"/>
                <w:sz w:val="18"/>
                <w:szCs w:val="18"/>
                <w:color w:val="auto"/>
              </w:rPr>
              <w:t>9,476,553</w:t>
            </w: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Corporate stocks — other than WM common stock</w:t>
            </w:r>
          </w:p>
        </w:tc>
        <w:tc>
          <w:tcPr>
            <w:tcW w:w="3400" w:type="dxa"/>
            <w:vAlign w:val="bottom"/>
          </w:tcPr>
          <w:p>
            <w:pPr>
              <w:jc w:val="right"/>
              <w:spacing w:after="0"/>
              <w:rPr>
                <w:sz w:val="20"/>
                <w:szCs w:val="20"/>
                <w:color w:val="auto"/>
              </w:rPr>
            </w:pPr>
            <w:r>
              <w:rPr>
                <w:rFonts w:ascii="Arial" w:cs="Arial" w:eastAsia="Arial" w:hAnsi="Arial"/>
                <w:sz w:val="18"/>
                <w:szCs w:val="18"/>
                <w:color w:val="auto"/>
              </w:rPr>
              <w:t>1,504,790</w:t>
            </w:r>
          </w:p>
        </w:tc>
      </w:tr>
      <w:tr>
        <w:trPr>
          <w:trHeight w:val="216"/>
        </w:trPr>
        <w:tc>
          <w:tcPr>
            <w:tcW w:w="614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3400" w:type="dxa"/>
            <w:vAlign w:val="bottom"/>
          </w:tcPr>
          <w:p>
            <w:pPr>
              <w:jc w:val="right"/>
              <w:spacing w:after="0"/>
              <w:rPr>
                <w:sz w:val="20"/>
                <w:szCs w:val="20"/>
                <w:color w:val="auto"/>
              </w:rPr>
            </w:pPr>
            <w:r>
              <w:rPr>
                <w:rFonts w:ascii="Arial" w:cs="Arial" w:eastAsia="Arial" w:hAnsi="Arial"/>
                <w:sz w:val="18"/>
                <w:szCs w:val="18"/>
                <w:color w:val="auto"/>
              </w:rPr>
              <w:t>1,487,235</w:t>
            </w: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Publicly-traded partnership interests and other</w:t>
            </w:r>
          </w:p>
        </w:tc>
        <w:tc>
          <w:tcPr>
            <w:tcW w:w="3400" w:type="dxa"/>
            <w:vAlign w:val="bottom"/>
          </w:tcPr>
          <w:p>
            <w:pPr>
              <w:jc w:val="right"/>
              <w:spacing w:after="0"/>
              <w:rPr>
                <w:sz w:val="20"/>
                <w:szCs w:val="20"/>
                <w:color w:val="auto"/>
              </w:rPr>
            </w:pPr>
            <w:r>
              <w:rPr>
                <w:rFonts w:ascii="Arial" w:cs="Arial" w:eastAsia="Arial" w:hAnsi="Arial"/>
                <w:sz w:val="18"/>
                <w:szCs w:val="18"/>
                <w:color w:val="auto"/>
              </w:rPr>
              <w:t>68,580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Total net appreciation in fair value of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Dividends — WM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Dividends — other than WM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income/(expense)</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investment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fees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investment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0" w:hanging="256"/>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138,507,290</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507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3,892,543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534,579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5,849,999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148,784,918</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3,309,663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145,475,255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620"/>
            <w:col w:w="1260"/>
          </w:cols>
          <w:pgMar w:left="240" w:top="419" w:right="239" w:bottom="1440" w:gutter="0" w:footer="0" w:header="0"/>
          <w:type w:val="continuous"/>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144,551,875</w:t>
            </w:r>
          </w:p>
        </w:tc>
        <w:tc>
          <w:tcPr>
            <w:tcW w:w="80" w:type="dxa"/>
            <w:vAlign w:val="bottom"/>
          </w:tcPr>
          <w:p>
            <w:pPr>
              <w:spacing w:after="0"/>
              <w:rPr>
                <w:sz w:val="20"/>
                <w:szCs w:val="20"/>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923,380</w:t>
            </w:r>
          </w:p>
        </w:tc>
        <w:tc>
          <w:tcPr>
            <w:tcW w:w="80" w:type="dxa"/>
            <w:vAlign w:val="bottom"/>
            <w:shd w:val="clear" w:color="auto" w:fill="CCEEFF"/>
          </w:tcPr>
          <w:p>
            <w:pPr>
              <w:spacing w:after="0"/>
              <w:rPr>
                <w:sz w:val="18"/>
                <w:szCs w:val="18"/>
                <w:color w:val="auto"/>
              </w:rPr>
            </w:pPr>
          </w:p>
        </w:tc>
      </w:tr>
      <w:tr>
        <w:trPr>
          <w:trHeight w:val="223"/>
        </w:trPr>
        <w:tc>
          <w:tcPr>
            <w:tcW w:w="10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145,475,255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trust funds held by the Master Trust include a stable value fund that invests in fully benefit-responsive GICs and Synthetic GICs. The following disclosures provide information about the nature of these investments and how fair values of these investments are measured.</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Plan’s Stable Value Fund are measured by the investment manager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17" w:lineRule="exact"/>
        <w:rPr>
          <w:sz w:val="20"/>
          <w:szCs w:val="20"/>
          <w:color w:val="auto"/>
        </w:rPr>
      </w:pPr>
    </w:p>
    <w:p>
      <w:pPr>
        <w:ind w:left="460" w:hanging="452"/>
        <w:spacing w:after="0" w:line="276" w:lineRule="auto"/>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64" w:lineRule="exact"/>
        <w:rPr>
          <w:rFonts w:ascii="Arial" w:cs="Arial" w:eastAsia="Arial" w:hAnsi="Arial"/>
          <w:sz w:val="17"/>
          <w:szCs w:val="17"/>
          <w:b w:val="1"/>
          <w:bCs w:val="1"/>
          <w:color w:val="auto"/>
        </w:rPr>
      </w:pPr>
    </w:p>
    <w:p>
      <w:pPr>
        <w:ind w:left="460" w:right="20" w:hanging="452"/>
        <w:spacing w:after="0" w:line="286" w:lineRule="auto"/>
        <w:tabs>
          <w:tab w:leader="none" w:pos="46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5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and the value, yield and duration of the underlying securities, but cannot be less than zero.</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stable value fund’s average yield based on actual earnings was 2.28% and 2.98% during 2010 and 2009, respectively, and its average yield based on the interest rate credited to participants was 3.16% and 3.07% during 2010 and 2009, respectively.</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participating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issuers are generally not allowed to terminate GICs or Synthetic GICs and settle at an amount different from contract value unless there is a breach of contract which is not corrected within the time permitted by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FASB-issued 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provide by level, within the fair value hierarchy, a summary of investments of the Master Trust 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9"/>
          </w:tcPr>
          <w:p>
            <w:pPr>
              <w:jc w:val="center"/>
              <w:ind w:right="134"/>
              <w:spacing w:after="0"/>
              <w:rPr>
                <w:sz w:val="20"/>
                <w:szCs w:val="20"/>
                <w:color w:val="auto"/>
              </w:rPr>
            </w:pPr>
            <w:r>
              <w:rPr>
                <w:rFonts w:ascii="Arial" w:cs="Arial" w:eastAsia="Arial" w:hAnsi="Arial"/>
                <w:sz w:val="14"/>
                <w:szCs w:val="14"/>
                <w:b w:val="1"/>
                <w:bCs w:val="1"/>
                <w:color w:val="auto"/>
                <w:w w:val="92"/>
              </w:rPr>
              <w:t>Fair Value Measurements at December 31, 2010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Quoted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 —</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investment fund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1,672,227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1,672,227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Small cap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65,811,512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65,811,512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Large cap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73,649,818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73,649,818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S&amp;P 500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211,654,748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211,654,748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Bond market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69,962,560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69,962,560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98,821,660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98,821,660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Target date retirement funds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437,602,240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437,602,240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common/collective trust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959,174,765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959,174,765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Stable value fund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344,899,671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344,899,671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111,844,911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111,844,911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stocks — other than WM common stock</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14,363,774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14,363,774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20,124,526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20,124,526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Publicly-traded partnership interests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424,601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424,601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 of the Master Trust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1,450,832,248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146,757,812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1,304,074,436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9"/>
          </w:tcPr>
          <w:p>
            <w:pPr>
              <w:jc w:val="center"/>
              <w:ind w:right="134"/>
              <w:spacing w:after="0"/>
              <w:rPr>
                <w:sz w:val="20"/>
                <w:szCs w:val="20"/>
                <w:color w:val="auto"/>
              </w:rPr>
            </w:pPr>
            <w:r>
              <w:rPr>
                <w:rFonts w:ascii="Arial" w:cs="Arial" w:eastAsia="Arial" w:hAnsi="Arial"/>
                <w:sz w:val="14"/>
                <w:szCs w:val="14"/>
                <w:b w:val="1"/>
                <w:bCs w:val="1"/>
                <w:color w:val="auto"/>
                <w:w w:val="92"/>
              </w:rPr>
              <w:t>Fair Value Measurements at December 31, 2009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Quoted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Prices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 —</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Short-term investment fund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4,823,872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4,823,872</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Small cap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47,635,305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47,635,305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Large cap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65,474,846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65,474,846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S&amp;P 500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181,572,139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181,572,139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Bond market investment fund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54,012,817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54,012,817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investment fund</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87,176,367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87,176,367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Target date retirement funds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364,327,841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364,327,841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common/collective trust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805,023,187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805,023,187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20" w:type="dxa"/>
            <w:vAlign w:val="bottom"/>
          </w:tcPr>
          <w:p>
            <w:pPr>
              <w:spacing w:after="0"/>
              <w:rPr>
                <w:sz w:val="20"/>
                <w:szCs w:val="20"/>
                <w:color w:val="auto"/>
              </w:rPr>
            </w:pPr>
            <w:r>
              <w:rPr>
                <w:rFonts w:ascii="Arial" w:cs="Arial" w:eastAsia="Arial" w:hAnsi="Arial"/>
                <w:sz w:val="18"/>
                <w:szCs w:val="18"/>
                <w:color w:val="auto"/>
              </w:rPr>
              <w:t>Stable value fund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326,037,431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326,037,431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WM common stock</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103,671,704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103,671,704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Corporate stocks — other than WM common stock</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10,959,252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10,959,252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16,405,708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16,405,708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Publicly-traded partnership interests and other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290,033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Investments of the Master Trust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1,262,387,315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131,326,697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1,131,060,618</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as then designed, was then in compliance with the applicable requirements of the Internal Revenue Code (the “Code”). The Plan has been amended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2010 and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$ 1,493,824,658</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$ 1,314,838,851</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(827,089)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(583,576)</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9,504,574</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3,035,954</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1,502,502,143</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1,317,291,229</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$ 178,985,807</w:t>
            </w:r>
          </w:p>
        </w:tc>
        <w:tc>
          <w:tcPr>
            <w:tcW w:w="80" w:type="dxa"/>
            <w:vAlign w:val="bottom"/>
            <w:shd w:val="clear" w:color="auto" w:fill="CCEEFF"/>
          </w:tcPr>
          <w:p>
            <w:pPr>
              <w:spacing w:after="0"/>
              <w:rPr>
                <w:sz w:val="18"/>
                <w:szCs w:val="18"/>
                <w:color w:val="auto"/>
              </w:rPr>
            </w:pPr>
          </w:p>
        </w:tc>
      </w:tr>
      <w:tr>
        <w:trPr>
          <w:trHeight w:val="216"/>
        </w:trPr>
        <w:tc>
          <w:tcPr>
            <w:tcW w:w="1030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at December 31, 2009</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583,576</w:t>
            </w:r>
          </w:p>
        </w:tc>
        <w:tc>
          <w:tcPr>
            <w:tcW w:w="80" w:type="dxa"/>
            <w:vAlign w:val="bottom"/>
          </w:tcPr>
          <w:p>
            <w:pPr>
              <w:spacing w:after="0"/>
              <w:rPr>
                <w:sz w:val="18"/>
                <w:szCs w:val="18"/>
                <w:color w:val="auto"/>
              </w:rPr>
            </w:pPr>
          </w:p>
        </w:tc>
      </w:tr>
      <w:tr>
        <w:trPr>
          <w:trHeight w:val="216"/>
        </w:trPr>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at December 31, 2010</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(827,089)</w:t>
            </w:r>
          </w:p>
        </w:tc>
      </w:tr>
      <w:tr>
        <w:trPr>
          <w:trHeight w:val="216"/>
        </w:trPr>
        <w:tc>
          <w:tcPr>
            <w:tcW w:w="10300" w:type="dxa"/>
            <w:vAlign w:val="bottom"/>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2009</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(3,035,954)</w:t>
            </w:r>
          </w:p>
        </w:tc>
      </w:tr>
      <w:tr>
        <w:trPr>
          <w:trHeight w:val="216"/>
        </w:trPr>
        <w:tc>
          <w:tcPr>
            <w:tcW w:w="10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 responsive investment contracts at December 31, 2010</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9,504,574</w:t>
            </w:r>
          </w:p>
        </w:tc>
        <w:tc>
          <w:tcPr>
            <w:tcW w:w="80" w:type="dxa"/>
            <w:vAlign w:val="bottom"/>
            <w:shd w:val="clear" w:color="auto" w:fill="CCEEFF"/>
          </w:tcPr>
          <w:p>
            <w:pPr>
              <w:spacing w:after="0"/>
              <w:rPr>
                <w:sz w:val="18"/>
                <w:szCs w:val="18"/>
                <w:color w:val="auto"/>
              </w:rPr>
            </w:pPr>
          </w:p>
        </w:tc>
      </w:tr>
      <w:tr>
        <w:trPr>
          <w:trHeight w:val="223"/>
        </w:trPr>
        <w:tc>
          <w:tcPr>
            <w:tcW w:w="1030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185,210,914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Bond Fund Performance Settlements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2007, there was a decline in the market value of the bond market fund that included a negative divergence from the performance benchmark. The decline led to initiation of a class-action lawsuit against State Street and its affiliate, State Street Global Advisors, Inc., with the Plan included in the represented class. A proposed settlement of that action was reached in November 2009.</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January 2010, after an evaluation of available alternatives and a verification of the methodology utilized by the class, including recommendations from independent advisors, the Administrative and Investment Committees for the Plan determined it was prudent for the Plan to participate in the class settlement. Following court approval of the settlement, the Master Trust for the Plan received a payment of $4,973,459 in May 2010.</w:t>
      </w:r>
    </w:p>
    <w:p>
      <w:pPr>
        <w:spacing w:after="0" w:line="5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February 2010, the Securities and Exchange Commission announced that it had entered into a separate settlement agreement with State Street to resolve the SEC investigation into losses incurred by, and disclosures made with respect to, certain active fixed income strategies managed by State Street Global Advisors. Under the terms of the SEC agreement, the Master Trust for the Plan received an additional payment of $869,391 in March 2010.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2010, total settlement payments, including interest, of $5,846,428 were included in “Other income/(expense)” for the Master Trust, consisting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$5,834,373 for this Plan and $12,055 for the Union Plan. Settlement proceeds were distributed on September 10, 2010 to impacted Plan participants, based on their daily account holdings during the third quarter of 2007.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April 2002, certain former participants in the ERISA plans of Waste Management Holdings, Inc. (“WM Holdings”) filed a lawsuit in the U.S. District Court for the District of Columbia in a case entitled </w:t>
      </w:r>
      <w:r>
        <w:rPr>
          <w:rFonts w:ascii="Arial" w:cs="Arial" w:eastAsia="Arial" w:hAnsi="Arial"/>
          <w:sz w:val="16"/>
          <w:szCs w:val="16"/>
          <w:i w:val="1"/>
          <w:iCs w:val="1"/>
          <w:color w:val="auto"/>
        </w:rPr>
        <w:t>William S. Harris, et al. v. James E. Koenig, et al.</w:t>
      </w:r>
      <w:r>
        <w:rPr>
          <w:rFonts w:ascii="Arial" w:cs="Arial" w:eastAsia="Arial" w:hAnsi="Arial"/>
          <w:sz w:val="16"/>
          <w:szCs w:val="16"/>
          <w:color w:val="auto"/>
        </w:rPr>
        <w:t xml:space="preserve"> The lawsuit attempts to increase the recovery of a class of ERISA plan participants on behalf of the Plan based on allegations related to 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 During the second quarter of 2010, the Court dismissed certain claims against individual defendants, including all claims against each of the current members of the Board of Directors of WM. Recently, plaintiffs dismissed all claims related to the settlement of the securities class action that was settled in 2002, and the court certified a limited class of participants who may bring claims on behalf of the Plan, but not individually. After initially asserting broader claims as to the Plan, the plaintiffs now purport to file their complaint on behalf of Plan participants who invested in WM common stock during a time frame ended February 24, 1998. The lawsuit now names as defendants WM Holdings; the members of WM Holdings’ Board of Directors prior to July 1998; the administrative and investment committees of the Plan; and State Street Bank &amp; Trust, the trustee and investment manager of the WM common stock fund available within the Plan. The outcome of this lawsuit cannot be predicted with certainty, and these matters could impact the Plan’s net assets available for benefits. The Plan and the other defendants intend to defend themselves vigorously in this 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investments of the Plan are managed by State Street. State Street is the trustee of the Plan and,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Plan: 001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rPr>
              <w:t>Identity of Issue</w:t>
            </w:r>
          </w:p>
        </w:tc>
        <w:tc>
          <w:tcPr>
            <w:tcW w:w="320" w:type="dxa"/>
            <w:vAlign w:val="bottom"/>
          </w:tcPr>
          <w:p>
            <w:pPr>
              <w:spacing w:after="0"/>
              <w:rPr>
                <w:sz w:val="14"/>
                <w:szCs w:val="14"/>
                <w:color w:val="auto"/>
              </w:rPr>
            </w:pPr>
          </w:p>
        </w:tc>
        <w:tc>
          <w:tcPr>
            <w:tcW w:w="5900" w:type="dxa"/>
            <w:vAlign w:val="bottom"/>
            <w:tcBorders>
              <w:bottom w:val="single" w:sz="8" w:color="auto"/>
            </w:tcBorders>
          </w:tcPr>
          <w:p>
            <w:pPr>
              <w:jc w:val="right"/>
              <w:ind w:right="2079"/>
              <w:spacing w:after="0"/>
              <w:rPr>
                <w:sz w:val="20"/>
                <w:szCs w:val="20"/>
                <w:color w:val="auto"/>
              </w:rPr>
            </w:pPr>
            <w:r>
              <w:rPr>
                <w:rFonts w:ascii="Arial" w:cs="Arial" w:eastAsia="Arial" w:hAnsi="Arial"/>
                <w:sz w:val="14"/>
                <w:szCs w:val="14"/>
                <w:b w:val="1"/>
                <w:bCs w:val="1"/>
                <w:color w:val="auto"/>
              </w:rPr>
              <w:t>Description of Investment</w:t>
            </w:r>
          </w:p>
        </w:tc>
        <w:tc>
          <w:tcPr>
            <w:tcW w:w="320" w:type="dxa"/>
            <w:vAlign w:val="bottom"/>
          </w:tcPr>
          <w:p>
            <w:pPr>
              <w:spacing w:after="0"/>
              <w:rPr>
                <w:sz w:val="14"/>
                <w:szCs w:val="14"/>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Current Value</w:t>
            </w:r>
          </w:p>
        </w:tc>
      </w:tr>
      <w:tr>
        <w:trPr>
          <w:trHeight w:val="224"/>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*Notes Receivable from Participants</w:t>
            </w:r>
          </w:p>
        </w:tc>
        <w:tc>
          <w:tcPr>
            <w:tcW w:w="320" w:type="dxa"/>
            <w:vAlign w:val="bottom"/>
          </w:tcPr>
          <w:p>
            <w:pPr>
              <w:spacing w:after="0"/>
              <w:rPr>
                <w:sz w:val="19"/>
                <w:szCs w:val="19"/>
                <w:color w:val="auto"/>
              </w:rPr>
            </w:pPr>
          </w:p>
        </w:tc>
        <w:tc>
          <w:tcPr>
            <w:tcW w:w="5900" w:type="dxa"/>
            <w:vAlign w:val="bottom"/>
          </w:tcPr>
          <w:p>
            <w:pPr>
              <w:jc w:val="right"/>
              <w:ind w:right="679"/>
              <w:spacing w:after="0"/>
              <w:rPr>
                <w:sz w:val="20"/>
                <w:szCs w:val="20"/>
                <w:color w:val="auto"/>
              </w:rPr>
            </w:pPr>
            <w:r>
              <w:rPr>
                <w:rFonts w:ascii="Arial" w:cs="Arial" w:eastAsia="Arial" w:hAnsi="Arial"/>
                <w:sz w:val="18"/>
                <w:szCs w:val="18"/>
                <w:color w:val="auto"/>
                <w:w w:val="90"/>
              </w:rPr>
              <w:t>Various maturity dates with interest rates ranging from 4.25% to 9.25%</w:t>
            </w:r>
          </w:p>
        </w:tc>
        <w:tc>
          <w:tcPr>
            <w:tcW w:w="320" w:type="dxa"/>
            <w:vAlign w:val="bottom"/>
          </w:tcPr>
          <w:p>
            <w:pPr>
              <w:spacing w:after="0"/>
              <w:rPr>
                <w:sz w:val="19"/>
                <w:szCs w:val="19"/>
                <w:color w:val="auto"/>
              </w:rPr>
            </w:pPr>
          </w:p>
        </w:tc>
        <w:tc>
          <w:tcPr>
            <w:tcW w:w="1460" w:type="dxa"/>
            <w:vAlign w:val="bottom"/>
          </w:tcPr>
          <w:p>
            <w:pPr>
              <w:jc w:val="right"/>
              <w:ind w:right="239"/>
              <w:spacing w:after="0"/>
              <w:rPr>
                <w:sz w:val="20"/>
                <w:szCs w:val="20"/>
                <w:color w:val="auto"/>
              </w:rPr>
            </w:pPr>
            <w:r>
              <w:rPr>
                <w:rFonts w:ascii="Arial" w:cs="Arial" w:eastAsia="Arial" w:hAnsi="Arial"/>
                <w:sz w:val="18"/>
                <w:szCs w:val="18"/>
                <w:color w:val="auto"/>
              </w:rPr>
              <w:t>$61,601,180</w:t>
            </w:r>
          </w:p>
        </w:tc>
      </w:tr>
      <w:tr>
        <w:trPr>
          <w:trHeight w:val="283"/>
        </w:trPr>
        <w:tc>
          <w:tcPr>
            <w:tcW w:w="28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14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20" w:type="dxa"/>
            <w:vAlign w:val="bottom"/>
            <w:gridSpan w:val="2"/>
          </w:tcPr>
          <w:p>
            <w:pPr>
              <w:jc w:val="right"/>
              <w:ind w:right="3759"/>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7340" w:type="dxa"/>
            <w:vAlign w:val="bottom"/>
            <w:gridSpan w:val="2"/>
          </w:tcPr>
          <w:p>
            <w:pPr>
              <w:ind w:left="1500"/>
              <w:spacing w:after="0"/>
              <w:rPr>
                <w:sz w:val="20"/>
                <w:szCs w:val="20"/>
                <w:color w:val="auto"/>
              </w:rPr>
            </w:pPr>
            <w:r>
              <w:rPr>
                <w:rFonts w:ascii="Arial" w:cs="Arial" w:eastAsia="Arial" w:hAnsi="Arial"/>
                <w:sz w:val="18"/>
                <w:szCs w:val="18"/>
                <w:color w:val="auto"/>
              </w:rPr>
              <w:t>WASTE MANAGEMENT RETIREMENT SAVINGS PLAN</w:t>
            </w:r>
          </w:p>
        </w:tc>
        <w:tc>
          <w:tcPr>
            <w:tcW w:w="112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May 27, 2011</w:t>
            </w:r>
          </w:p>
        </w:tc>
        <w:tc>
          <w:tcPr>
            <w:tcW w:w="7340" w:type="dxa"/>
            <w:vAlign w:val="bottom"/>
            <w:gridSpan w:val="2"/>
          </w:tcPr>
          <w:p>
            <w:pPr>
              <w:ind w:left="1500"/>
              <w:spacing w:after="0"/>
              <w:rPr>
                <w:sz w:val="20"/>
                <w:szCs w:val="20"/>
                <w:color w:val="auto"/>
              </w:rPr>
            </w:pPr>
            <w:r>
              <w:rPr>
                <w:rFonts w:ascii="Arial" w:cs="Arial" w:eastAsia="Arial" w:hAnsi="Arial"/>
                <w:sz w:val="18"/>
                <w:szCs w:val="18"/>
                <w:color w:val="auto"/>
              </w:rPr>
              <w:t>By: /s/ Krista DelSota</w:t>
            </w:r>
          </w:p>
        </w:tc>
        <w:tc>
          <w:tcPr>
            <w:tcW w:w="1120" w:type="dxa"/>
            <w:vAlign w:val="bottom"/>
          </w:tcPr>
          <w:p>
            <w:pPr>
              <w:spacing w:after="0"/>
              <w:rPr>
                <w:sz w:val="24"/>
                <w:szCs w:val="24"/>
                <w:color w:val="auto"/>
              </w:rPr>
            </w:pPr>
          </w:p>
        </w:tc>
      </w:tr>
      <w:tr>
        <w:trPr>
          <w:trHeight w:val="195"/>
        </w:trPr>
        <w:tc>
          <w:tcPr>
            <w:tcW w:w="2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1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Vice President, Compensation, Benefits and Human Resources Information</w:t>
            </w:r>
          </w:p>
        </w:tc>
        <w:tc>
          <w:tcPr>
            <w:tcW w:w="112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Management Waste Management, Inc.</w:t>
            </w:r>
          </w:p>
        </w:tc>
        <w:tc>
          <w:tcPr>
            <w:tcW w:w="112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3"/>
              </w:rPr>
              <w:t>Member, Administrative Committee of the Waste Management Employee</w:t>
            </w:r>
          </w:p>
        </w:tc>
        <w:tc>
          <w:tcPr>
            <w:tcW w:w="112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Benefit Plans</w:t>
            </w:r>
          </w:p>
        </w:tc>
        <w:tc>
          <w:tcPr>
            <w:tcW w:w="1120" w:type="dxa"/>
            <w:vAlign w:val="bottom"/>
          </w:tcPr>
          <w:p>
            <w:pPr>
              <w:spacing w:after="0"/>
              <w:rPr>
                <w:sz w:val="20"/>
                <w:szCs w:val="20"/>
                <w:color w:val="auto"/>
              </w:rPr>
            </w:pPr>
          </w:p>
        </w:tc>
      </w:tr>
      <w:tr>
        <w:trPr>
          <w:trHeight w:val="405"/>
        </w:trPr>
        <w:tc>
          <w:tcPr>
            <w:tcW w:w="2960" w:type="dxa"/>
            <w:vAlign w:val="bottom"/>
          </w:tcPr>
          <w:p>
            <w:pPr>
              <w:spacing w:after="0"/>
              <w:rPr>
                <w:sz w:val="24"/>
                <w:szCs w:val="24"/>
                <w:color w:val="auto"/>
              </w:rPr>
            </w:pPr>
          </w:p>
        </w:tc>
        <w:tc>
          <w:tcPr>
            <w:tcW w:w="7340" w:type="dxa"/>
            <w:vAlign w:val="bottom"/>
            <w:gridSpan w:val="2"/>
          </w:tcPr>
          <w:p>
            <w:pPr>
              <w:jc w:val="right"/>
              <w:ind w:right="4410"/>
              <w:spacing w:after="0"/>
              <w:rPr>
                <w:sz w:val="20"/>
                <w:szCs w:val="20"/>
                <w:color w:val="auto"/>
              </w:rPr>
            </w:pPr>
            <w:r>
              <w:rPr>
                <w:rFonts w:ascii="Arial" w:cs="Arial" w:eastAsia="Arial" w:hAnsi="Arial"/>
                <w:sz w:val="18"/>
                <w:szCs w:val="18"/>
                <w:color w:val="auto"/>
              </w:rPr>
              <w:t>14</w:t>
            </w:r>
          </w:p>
        </w:tc>
        <w:tc>
          <w:tcPr>
            <w:tcW w:w="1120" w:type="dxa"/>
            <w:vAlign w:val="bottom"/>
          </w:tcPr>
          <w:p>
            <w:pPr>
              <w:spacing w:after="0"/>
              <w:rPr>
                <w:sz w:val="24"/>
                <w:szCs w:val="24"/>
                <w:color w:val="auto"/>
              </w:rPr>
            </w:pPr>
          </w:p>
        </w:tc>
      </w:tr>
      <w:tr>
        <w:trPr>
          <w:trHeight w:val="226"/>
        </w:trPr>
        <w:tc>
          <w:tcPr>
            <w:tcW w:w="29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40" w:type="dxa"/>
            <w:vAlign w:val="bottom"/>
          </w:tcPr>
          <w:p>
            <w:pPr>
              <w:jc w:val="center"/>
              <w:ind w:right="207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24"/>
                <w:szCs w:val="24"/>
                <w:color w:val="auto"/>
              </w:rPr>
            </w:pPr>
          </w:p>
        </w:tc>
        <w:tc>
          <w:tcPr>
            <w:tcW w:w="9240" w:type="dxa"/>
            <w:vAlign w:val="bottom"/>
            <w:vMerge w:val="restart"/>
          </w:tcPr>
          <w:p>
            <w:pPr>
              <w:ind w:left="4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9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1"/>
        </w:trPr>
        <w:tc>
          <w:tcPr>
            <w:tcW w:w="1620" w:type="dxa"/>
            <w:vAlign w:val="bottom"/>
          </w:tcPr>
          <w:p>
            <w:pPr>
              <w:spacing w:after="0"/>
              <w:rPr>
                <w:sz w:val="24"/>
                <w:szCs w:val="24"/>
                <w:color w:val="auto"/>
              </w:rPr>
            </w:pPr>
          </w:p>
        </w:tc>
        <w:tc>
          <w:tcPr>
            <w:tcW w:w="9800" w:type="dxa"/>
            <w:vAlign w:val="bottom"/>
            <w:gridSpan w:val="2"/>
          </w:tcPr>
          <w:p>
            <w:pPr>
              <w:jc w:val="right"/>
              <w:ind w:right="553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333-153363) pertaining to the Waste Management Retirement Savings Plan of our report dated May 27, 2011, with respect to the financial statements and schedule of the Waste Management Retirement Savings Plan included in this Annual Report (Form 11-K) for the year ended December 31,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2019-12-10T08:28:39Z</dcterms:created>
  <dcterms:modified xsi:type="dcterms:W3CDTF">2019-12-10T08:28:39Z</dcterms:modified>
</cp:coreProperties>
</file>