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200660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SECURITIES AND EXCHANGE COMMISSION</w:t>
      </w:r>
    </w:p>
    <w:p>
      <w:pPr>
        <w:spacing w:after="0" w:line="29"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2689225</wp:posOffset>
            </wp:positionH>
            <wp:positionV relativeFrom="paragraph">
              <wp:posOffset>175895</wp:posOffset>
            </wp:positionV>
            <wp:extent cx="18783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2689225</wp:posOffset>
            </wp:positionH>
            <wp:positionV relativeFrom="paragraph">
              <wp:posOffset>212725</wp:posOffset>
            </wp:positionV>
            <wp:extent cx="18783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200" w:lineRule="exact"/>
        <w:rPr>
          <w:sz w:val="24"/>
          <w:szCs w:val="24"/>
          <w:color w:val="auto"/>
        </w:rPr>
      </w:pPr>
    </w:p>
    <w:p>
      <w:pPr>
        <w:spacing w:after="0" w:line="394"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CURRENT REPORT</w:t>
      </w:r>
    </w:p>
    <w:p>
      <w:pPr>
        <w:spacing w:after="0" w:line="216" w:lineRule="exact"/>
        <w:rPr>
          <w:sz w:val="24"/>
          <w:szCs w:val="24"/>
          <w:color w:val="auto"/>
        </w:rPr>
      </w:pPr>
    </w:p>
    <w:p>
      <w:pPr>
        <w:jc w:val="center"/>
        <w:ind w:right="-119"/>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250"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 xml:space="preserve">Date of Report (Date of earliest event reported): </w:t>
      </w:r>
      <w:r>
        <w:rPr>
          <w:rFonts w:ascii="Arial" w:cs="Arial" w:eastAsia="Arial" w:hAnsi="Arial"/>
          <w:sz w:val="18"/>
          <w:szCs w:val="18"/>
          <w:color w:val="auto"/>
        </w:rPr>
        <w:t>April 29, 2009</w:t>
      </w:r>
    </w:p>
    <w:p>
      <w:pPr>
        <w:spacing w:after="0" w:line="200" w:lineRule="exact"/>
        <w:rPr>
          <w:sz w:val="24"/>
          <w:szCs w:val="24"/>
          <w:color w:val="auto"/>
        </w:rPr>
      </w:pPr>
    </w:p>
    <w:p>
      <w:pPr>
        <w:jc w:val="center"/>
        <w:ind w:right="-119"/>
        <w:spacing w:after="0"/>
        <w:rPr>
          <w:sz w:val="20"/>
          <w:szCs w:val="20"/>
          <w:color w:val="auto"/>
        </w:rPr>
      </w:pPr>
      <w:r>
        <w:rPr>
          <w:rFonts w:ascii="Arial" w:cs="Arial" w:eastAsia="Arial" w:hAnsi="Arial"/>
          <w:sz w:val="43"/>
          <w:szCs w:val="43"/>
          <w:b w:val="1"/>
          <w:bCs w:val="1"/>
          <w:color w:val="auto"/>
        </w:rPr>
        <w:t>Waste Management, Inc.</w:t>
      </w:r>
    </w:p>
    <w:p>
      <w:pPr>
        <w:spacing w:after="0" w:line="50"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(Exact Name of Registrant as Specified in Charter)</w:t>
      </w:r>
    </w:p>
    <w:p>
      <w:pPr>
        <w:sectPr>
          <w:pgSz w:w="11900" w:h="16838" w:orient="portrait"/>
          <w:cols w:equalWidth="0" w:num="1">
            <w:col w:w="11300"/>
          </w:cols>
          <w:pgMar w:left="240" w:top="522" w:right="359" w:bottom="1440" w:gutter="0" w:footer="0" w:header="0"/>
        </w:sectPr>
      </w:pPr>
    </w:p>
    <w:p>
      <w:pPr>
        <w:spacing w:after="0" w:line="209" w:lineRule="exact"/>
        <w:rPr>
          <w:sz w:val="24"/>
          <w:szCs w:val="24"/>
          <w:color w:val="auto"/>
        </w:rPr>
      </w:pPr>
    </w:p>
    <w:p>
      <w:pPr>
        <w:jc w:val="center"/>
        <w:ind w:right="360"/>
        <w:spacing w:after="0"/>
        <w:rPr>
          <w:sz w:val="20"/>
          <w:szCs w:val="20"/>
          <w:color w:val="auto"/>
        </w:rPr>
      </w:pPr>
      <w:r>
        <w:rPr>
          <w:rFonts w:ascii="Arial" w:cs="Arial" w:eastAsia="Arial" w:hAnsi="Arial"/>
          <w:sz w:val="18"/>
          <w:szCs w:val="18"/>
          <w:color w:val="auto"/>
        </w:rPr>
        <w:t>Delaware</w:t>
      </w:r>
    </w:p>
    <w:p>
      <w:pPr>
        <w:spacing w:after="0" w:line="23" w:lineRule="exact"/>
        <w:rPr>
          <w:sz w:val="24"/>
          <w:szCs w:val="24"/>
          <w:color w:val="auto"/>
        </w:rPr>
      </w:pPr>
    </w:p>
    <w:p>
      <w:pPr>
        <w:jc w:val="center"/>
        <w:ind w:right="360"/>
        <w:spacing w:after="0"/>
        <w:rPr>
          <w:sz w:val="20"/>
          <w:szCs w:val="20"/>
          <w:color w:val="auto"/>
        </w:rPr>
      </w:pPr>
      <w:r>
        <w:rPr>
          <w:rFonts w:ascii="Arial" w:cs="Arial" w:eastAsia="Arial" w:hAnsi="Arial"/>
          <w:sz w:val="16"/>
          <w:szCs w:val="16"/>
          <w:b w:val="1"/>
          <w:bCs w:val="1"/>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89" w:lineRule="exact"/>
        <w:rPr>
          <w:sz w:val="24"/>
          <w:szCs w:val="24"/>
          <w:color w:val="auto"/>
        </w:rPr>
      </w:pPr>
    </w:p>
    <w:p>
      <w:pPr>
        <w:jc w:val="center"/>
        <w:ind w:right="860"/>
        <w:spacing w:after="0"/>
        <w:rPr>
          <w:sz w:val="20"/>
          <w:szCs w:val="20"/>
          <w:color w:val="auto"/>
        </w:rPr>
      </w:pPr>
      <w:r>
        <w:rPr>
          <w:rFonts w:ascii="Arial" w:cs="Arial" w:eastAsia="Arial" w:hAnsi="Arial"/>
          <w:sz w:val="18"/>
          <w:szCs w:val="18"/>
          <w:color w:val="auto"/>
        </w:rPr>
        <w:t>1-12154</w:t>
      </w:r>
    </w:p>
    <w:p>
      <w:pPr>
        <w:spacing w:after="0" w:line="23" w:lineRule="exact"/>
        <w:rPr>
          <w:sz w:val="24"/>
          <w:szCs w:val="24"/>
          <w:color w:val="auto"/>
        </w:rPr>
      </w:pPr>
    </w:p>
    <w:p>
      <w:pPr>
        <w:jc w:val="center"/>
        <w:ind w:right="860"/>
        <w:spacing w:after="0"/>
        <w:rPr>
          <w:sz w:val="20"/>
          <w:szCs w:val="20"/>
          <w:color w:val="auto"/>
        </w:rPr>
      </w:pPr>
      <w:r>
        <w:rPr>
          <w:rFonts w:ascii="Arial" w:cs="Arial" w:eastAsia="Arial" w:hAnsi="Arial"/>
          <w:sz w:val="16"/>
          <w:szCs w:val="16"/>
          <w:b w:val="1"/>
          <w:bCs w:val="1"/>
          <w:color w:val="auto"/>
        </w:rPr>
        <w:t>(Commission File Number)</w:t>
      </w:r>
    </w:p>
    <w:p>
      <w:pPr>
        <w:spacing w:after="0" w:line="20" w:lineRule="exact"/>
        <w:rPr>
          <w:sz w:val="24"/>
          <w:szCs w:val="24"/>
          <w:color w:val="auto"/>
        </w:rPr>
      </w:pPr>
      <w:r>
        <w:rPr>
          <w:sz w:val="24"/>
          <w:szCs w:val="24"/>
          <w:color w:val="auto"/>
        </w:rPr>
        <w:br w:type="column"/>
      </w:r>
    </w:p>
    <w:p>
      <w:pPr>
        <w:spacing w:after="0" w:line="189" w:lineRule="exact"/>
        <w:rPr>
          <w:sz w:val="24"/>
          <w:szCs w:val="24"/>
          <w:color w:val="auto"/>
        </w:rPr>
      </w:pPr>
    </w:p>
    <w:p>
      <w:pPr>
        <w:jc w:val="center"/>
        <w:ind w:right="360"/>
        <w:spacing w:after="0"/>
        <w:rPr>
          <w:sz w:val="20"/>
          <w:szCs w:val="20"/>
          <w:color w:val="auto"/>
        </w:rPr>
      </w:pPr>
      <w:r>
        <w:rPr>
          <w:rFonts w:ascii="Arial" w:cs="Arial" w:eastAsia="Arial" w:hAnsi="Arial"/>
          <w:sz w:val="18"/>
          <w:szCs w:val="18"/>
          <w:color w:val="auto"/>
        </w:rPr>
        <w:t>73-1309529</w:t>
      </w:r>
    </w:p>
    <w:p>
      <w:pPr>
        <w:spacing w:after="0" w:line="23" w:lineRule="exact"/>
        <w:rPr>
          <w:sz w:val="24"/>
          <w:szCs w:val="24"/>
          <w:color w:val="auto"/>
        </w:rPr>
      </w:pPr>
    </w:p>
    <w:p>
      <w:pPr>
        <w:jc w:val="center"/>
        <w:ind w:right="360"/>
        <w:spacing w:after="0"/>
        <w:rPr>
          <w:sz w:val="20"/>
          <w:szCs w:val="20"/>
          <w:color w:val="auto"/>
        </w:rPr>
      </w:pPr>
      <w:r>
        <w:rPr>
          <w:rFonts w:ascii="Arial" w:cs="Arial" w:eastAsia="Arial" w:hAnsi="Arial"/>
          <w:sz w:val="16"/>
          <w:szCs w:val="16"/>
          <w:b w:val="1"/>
          <w:bCs w:val="1"/>
          <w:color w:val="auto"/>
        </w:rPr>
        <w:t>(IRS Employer Identification No.)</w:t>
      </w:r>
    </w:p>
    <w:p>
      <w:pPr>
        <w:spacing w:after="0" w:line="200" w:lineRule="exact"/>
        <w:rPr>
          <w:sz w:val="24"/>
          <w:szCs w:val="24"/>
          <w:color w:val="auto"/>
        </w:rPr>
      </w:pPr>
    </w:p>
    <w:p>
      <w:pPr>
        <w:sectPr>
          <w:pgSz w:w="11900" w:h="16838" w:orient="portrait"/>
          <w:cols w:equalWidth="0" w:num="3">
            <w:col w:w="3940" w:space="720"/>
            <w:col w:w="2940" w:space="720"/>
            <w:col w:w="2980"/>
          </w:cols>
          <w:pgMar w:left="240" w:top="522" w:right="359" w:bottom="1440" w:gutter="0" w:footer="0" w:header="0"/>
          <w:type w:val="continuous"/>
        </w:sectPr>
      </w:pPr>
    </w:p>
    <w:p>
      <w:pPr>
        <w:spacing w:after="0" w:line="34" w:lineRule="exact"/>
        <w:rPr>
          <w:sz w:val="24"/>
          <w:szCs w:val="24"/>
          <w:color w:val="auto"/>
        </w:rPr>
      </w:pPr>
    </w:p>
    <w:p>
      <w:pPr>
        <w:ind w:left="1180" w:right="2180" w:firstLine="72"/>
        <w:spacing w:after="0" w:line="277" w:lineRule="auto"/>
        <w:rPr>
          <w:sz w:val="20"/>
          <w:szCs w:val="20"/>
          <w:color w:val="auto"/>
        </w:rPr>
      </w:pPr>
      <w:r>
        <w:rPr>
          <w:rFonts w:ascii="Arial" w:cs="Arial" w:eastAsia="Arial" w:hAnsi="Arial"/>
          <w:sz w:val="18"/>
          <w:szCs w:val="18"/>
          <w:color w:val="auto"/>
        </w:rPr>
        <w:t xml:space="preserve">1001 Fannin, Suite 4000 Houston, Texas 77002 </w:t>
      </w:r>
      <w:r>
        <w:rPr>
          <w:rFonts w:ascii="Arial" w:cs="Arial" w:eastAsia="Arial" w:hAnsi="Arial"/>
          <w:sz w:val="18"/>
          <w:szCs w:val="18"/>
          <w:b w:val="1"/>
          <w:bCs w:val="1"/>
          <w:color w:val="auto"/>
        </w:rPr>
        <w:t>(Address of Principal Executive Offices) (Zip Code)</w:t>
      </w:r>
    </w:p>
    <w:p>
      <w:pPr>
        <w:sectPr>
          <w:pgSz w:w="11900" w:h="16838" w:orient="portrait"/>
          <w:cols w:equalWidth="0" w:num="1">
            <w:col w:w="11300"/>
          </w:cols>
          <w:pgMar w:left="240" w:top="522" w:right="359" w:bottom="1440" w:gutter="0" w:footer="0" w:header="0"/>
          <w:type w:val="continuous"/>
        </w:sectPr>
      </w:pPr>
    </w:p>
    <w:p>
      <w:pPr>
        <w:spacing w:after="0" w:line="166"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 xml:space="preserve">Registrant’s Telephone number, including area code: </w:t>
      </w:r>
      <w:r>
        <w:rPr>
          <w:rFonts w:ascii="Arial" w:cs="Arial" w:eastAsia="Arial" w:hAnsi="Arial"/>
          <w:sz w:val="18"/>
          <w:szCs w:val="18"/>
          <w:color w:val="auto"/>
        </w:rPr>
        <w:t>(713) 512-6200</w:t>
      </w:r>
    </w:p>
    <w:p>
      <w:pPr>
        <w:spacing w:after="0" w:line="225"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2011680</wp:posOffset>
            </wp:positionH>
            <wp:positionV relativeFrom="paragraph">
              <wp:posOffset>-127635</wp:posOffset>
            </wp:positionV>
            <wp:extent cx="323278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232785" cy="8890"/>
                    </a:xfrm>
                    <a:prstGeom prst="rect">
                      <a:avLst/>
                    </a:prstGeom>
                    <a:noFill/>
                  </pic:spPr>
                </pic:pic>
              </a:graphicData>
            </a:graphic>
          </wp:anchor>
        </w:drawing>
      </w:r>
    </w:p>
    <w:p>
      <w:pPr>
        <w:spacing w:after="0" w:line="169"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30" w:lineRule="exact"/>
        <w:rPr>
          <w:sz w:val="24"/>
          <w:szCs w:val="24"/>
          <w:color w:val="auto"/>
        </w:rPr>
      </w:pPr>
    </w:p>
    <w:p>
      <w:pPr>
        <w:spacing w:after="0"/>
        <w:rPr>
          <w:sz w:val="20"/>
          <w:szCs w:val="20"/>
          <w:color w:val="auto"/>
        </w:rPr>
      </w:pPr>
      <w:r>
        <w:rPr>
          <w:rFonts w:ascii="Arial" w:cs="Arial" w:eastAsia="Arial" w:hAnsi="Arial"/>
          <w:sz w:val="18"/>
          <w:szCs w:val="18"/>
          <w:color w:val="auto"/>
        </w:rPr>
        <w:t>o Written communications pursuant to Rule 425 under the Securities Act (17 CFR 230.425)</w:t>
      </w:r>
    </w:p>
    <w:p>
      <w:pPr>
        <w:spacing w:after="0" w:line="198" w:lineRule="exact"/>
        <w:rPr>
          <w:sz w:val="24"/>
          <w:szCs w:val="24"/>
          <w:color w:val="auto"/>
        </w:rPr>
      </w:pPr>
    </w:p>
    <w:p>
      <w:pPr>
        <w:spacing w:after="0"/>
        <w:rPr>
          <w:sz w:val="20"/>
          <w:szCs w:val="20"/>
          <w:color w:val="auto"/>
        </w:rPr>
      </w:pPr>
      <w:r>
        <w:rPr>
          <w:rFonts w:ascii="Arial" w:cs="Arial" w:eastAsia="Arial" w:hAnsi="Arial"/>
          <w:sz w:val="18"/>
          <w:szCs w:val="18"/>
          <w:color w:val="auto"/>
        </w:rPr>
        <w:t>o Soliciting material pursuant to Rule 14a-12 under the Exchange Act (17 CFR 240.14a-12)</w:t>
      </w:r>
    </w:p>
    <w:p>
      <w:pPr>
        <w:spacing w:after="0" w:line="185" w:lineRule="exact"/>
        <w:rPr>
          <w:sz w:val="24"/>
          <w:szCs w:val="24"/>
          <w:color w:val="auto"/>
        </w:rPr>
      </w:pPr>
    </w:p>
    <w:p>
      <w:pPr>
        <w:spacing w:after="0"/>
        <w:rPr>
          <w:sz w:val="20"/>
          <w:szCs w:val="20"/>
          <w:color w:val="auto"/>
        </w:rPr>
      </w:pPr>
      <w:r>
        <w:rPr>
          <w:rFonts w:ascii="Arial" w:cs="Arial" w:eastAsia="Arial" w:hAnsi="Arial"/>
          <w:sz w:val="18"/>
          <w:szCs w:val="18"/>
          <w:color w:val="auto"/>
        </w:rPr>
        <w:t>o Pre-commencement communications pursuant to Rule 14d-2(b) under the Exchange Act (17 CFR 240.14d-2(b))</w:t>
      </w:r>
    </w:p>
    <w:p>
      <w:pPr>
        <w:spacing w:after="0" w:line="185" w:lineRule="exact"/>
        <w:rPr>
          <w:sz w:val="24"/>
          <w:szCs w:val="24"/>
          <w:color w:val="auto"/>
        </w:rPr>
      </w:pPr>
    </w:p>
    <w:p>
      <w:pPr>
        <w:spacing w:after="0"/>
        <w:rPr>
          <w:sz w:val="20"/>
          <w:szCs w:val="20"/>
          <w:color w:val="auto"/>
        </w:rPr>
      </w:pPr>
      <w:r>
        <w:rPr>
          <w:rFonts w:ascii="Arial" w:cs="Arial" w:eastAsia="Arial" w:hAnsi="Arial"/>
          <w:sz w:val="18"/>
          <w:szCs w:val="18"/>
          <w:color w:val="auto"/>
        </w:rPr>
        <w:t>o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160655</wp:posOffset>
            </wp:positionV>
            <wp:extent cx="7246620"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570230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522" w:right="35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121" w:lineRule="exact"/>
        <w:rPr>
          <w:sz w:val="20"/>
          <w:szCs w:val="20"/>
          <w:color w:val="auto"/>
        </w:rPr>
      </w:pPr>
    </w:p>
    <w:p>
      <w:pPr>
        <w:ind w:right="280" w:firstLine="222"/>
        <w:spacing w:after="0" w:line="277" w:lineRule="auto"/>
        <w:rPr>
          <w:sz w:val="20"/>
          <w:szCs w:val="20"/>
          <w:color w:val="auto"/>
        </w:rPr>
      </w:pPr>
      <w:r>
        <w:rPr>
          <w:rFonts w:ascii="Arial" w:cs="Arial" w:eastAsia="Arial" w:hAnsi="Arial"/>
          <w:sz w:val="18"/>
          <w:szCs w:val="18"/>
          <w:color w:val="auto"/>
        </w:rPr>
        <w:t>Waste Management, Inc. (the “Company”) issued a press release this morning, announcing its earnings for the quarter ended March 31, 2009, a copy of which is attached hereto as exhibit 99.1.</w:t>
      </w:r>
    </w:p>
    <w:p>
      <w:pPr>
        <w:spacing w:after="0" w:line="62" w:lineRule="exact"/>
        <w:rPr>
          <w:sz w:val="20"/>
          <w:szCs w:val="20"/>
          <w:color w:val="auto"/>
        </w:rPr>
      </w:pPr>
    </w:p>
    <w:p>
      <w:pPr>
        <w:ind w:right="60" w:firstLine="222"/>
        <w:spacing w:after="0" w:line="264" w:lineRule="auto"/>
        <w:rPr>
          <w:sz w:val="20"/>
          <w:szCs w:val="20"/>
          <w:color w:val="auto"/>
        </w:rPr>
      </w:pPr>
      <w:r>
        <w:rPr>
          <w:rFonts w:ascii="Arial" w:cs="Arial" w:eastAsia="Arial" w:hAnsi="Arial"/>
          <w:sz w:val="18"/>
          <w:szCs w:val="18"/>
          <w:color w:val="auto"/>
        </w:rPr>
        <w:t>The Company is holding a conference call, open to the public, to discuss these results, from 9:00 a.m. to 10:00 a.m. Central time this morning. The call will be webcast live, and may be heard by accessing the Company’s website at www.wm.com. The call may also be listened to by calling (877) 710-6139 and entering the access code 90934084.</w:t>
      </w:r>
    </w:p>
    <w:p>
      <w:pPr>
        <w:spacing w:after="0" w:line="73" w:lineRule="exact"/>
        <w:rPr>
          <w:sz w:val="20"/>
          <w:szCs w:val="20"/>
          <w:color w:val="auto"/>
        </w:rPr>
      </w:pPr>
    </w:p>
    <w:p>
      <w:pPr>
        <w:ind w:right="100" w:firstLine="225"/>
        <w:spacing w:after="0" w:line="312" w:lineRule="auto"/>
        <w:rPr>
          <w:sz w:val="20"/>
          <w:szCs w:val="20"/>
          <w:color w:val="auto"/>
        </w:rPr>
      </w:pPr>
      <w:r>
        <w:rPr>
          <w:rFonts w:ascii="Arial" w:cs="Arial" w:eastAsia="Arial" w:hAnsi="Arial"/>
          <w:sz w:val="16"/>
          <w:szCs w:val="16"/>
          <w:color w:val="auto"/>
        </w:rPr>
        <w:t>On the conference call, management of the Company is expected to discuss results of operations using certain non-GAAP financial measures that are included in the Company’s press release. The Company has provided information regarding its use of these non-GAAP measures and reconciliations of them to their most comparable GAAP measures in the press release that is attached to this Form 8-K as exhibit 99.1 and the schedules thereto.</w:t>
      </w:r>
    </w:p>
    <w:p>
      <w:pPr>
        <w:spacing w:after="0" w:line="39" w:lineRule="exact"/>
        <w:rPr>
          <w:sz w:val="20"/>
          <w:szCs w:val="20"/>
          <w:color w:val="auto"/>
        </w:rPr>
      </w:pPr>
    </w:p>
    <w:p>
      <w:pPr>
        <w:ind w:right="160" w:firstLine="225"/>
        <w:spacing w:after="0" w:line="264" w:lineRule="auto"/>
        <w:rPr>
          <w:sz w:val="20"/>
          <w:szCs w:val="20"/>
          <w:color w:val="auto"/>
        </w:rPr>
      </w:pPr>
      <w:r>
        <w:rPr>
          <w:rFonts w:ascii="Arial" w:cs="Arial" w:eastAsia="Arial" w:hAnsi="Arial"/>
          <w:sz w:val="18"/>
          <w:szCs w:val="18"/>
          <w:color w:val="auto"/>
        </w:rPr>
        <w:t>Management also is expected to discuss additional non-GAAP financial measures on the call, including diluted earnings per share as adjusted for the negative impact of the downturn in the recyclable commodities markets; operating expense as a percentage of revenue excluding the negative impacts of the recyclable commodities markets and fuel prices; and free cash flow.</w:t>
      </w:r>
    </w:p>
    <w:p>
      <w:pPr>
        <w:spacing w:after="0" w:line="73" w:lineRule="exact"/>
        <w:rPr>
          <w:sz w:val="20"/>
          <w:szCs w:val="20"/>
          <w:color w:val="auto"/>
        </w:rPr>
      </w:pPr>
    </w:p>
    <w:p>
      <w:pPr>
        <w:jc w:val="both"/>
        <w:ind w:right="40" w:firstLine="225"/>
        <w:spacing w:after="0" w:line="264" w:lineRule="auto"/>
        <w:rPr>
          <w:sz w:val="20"/>
          <w:szCs w:val="20"/>
          <w:color w:val="auto"/>
        </w:rPr>
      </w:pPr>
      <w:r>
        <w:rPr>
          <w:rFonts w:ascii="Arial" w:cs="Arial" w:eastAsia="Arial" w:hAnsi="Arial"/>
          <w:sz w:val="18"/>
          <w:szCs w:val="18"/>
          <w:color w:val="auto"/>
        </w:rPr>
        <w:t>Management believes that a discussion of these non-GAAP measures provides investors with information to enable them to perform additional analyses of past, present and future operating performance and a supplemental means of evaluating the Company’s operations. The non-GAAP information should not be considered a substitute for financial information presented in accordance with GAAP.</w:t>
      </w:r>
    </w:p>
    <w:p>
      <w:pPr>
        <w:spacing w:after="0" w:line="73" w:lineRule="exact"/>
        <w:rPr>
          <w:sz w:val="20"/>
          <w:szCs w:val="20"/>
          <w:color w:val="auto"/>
        </w:rPr>
      </w:pPr>
    </w:p>
    <w:p>
      <w:pPr>
        <w:ind w:right="200" w:firstLine="222"/>
        <w:spacing w:after="0" w:line="277" w:lineRule="auto"/>
        <w:rPr>
          <w:sz w:val="20"/>
          <w:szCs w:val="20"/>
          <w:color w:val="auto"/>
        </w:rPr>
      </w:pPr>
      <w:r>
        <w:rPr>
          <w:rFonts w:ascii="Arial" w:cs="Arial" w:eastAsia="Arial" w:hAnsi="Arial"/>
          <w:sz w:val="18"/>
          <w:szCs w:val="18"/>
          <w:color w:val="auto"/>
        </w:rPr>
        <w:t>The reconciliation of earnings per diluted share to the adjusted earnings per diluted share we disclosed in the press release and as further adjusted for the negative effect of the recyclable commodities markets is shown below (dollars in millions, except per share amounts):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gridSpan w:val="3"/>
            <w:vMerge w:val="restart"/>
          </w:tcPr>
          <w:p>
            <w:pPr>
              <w:ind w:left="480"/>
              <w:spacing w:after="0"/>
              <w:rPr>
                <w:sz w:val="20"/>
                <w:szCs w:val="20"/>
                <w:color w:val="auto"/>
              </w:rPr>
            </w:pPr>
            <w:r>
              <w:rPr>
                <w:rFonts w:ascii="Arial" w:cs="Arial" w:eastAsia="Arial" w:hAnsi="Arial"/>
                <w:sz w:val="14"/>
                <w:szCs w:val="14"/>
                <w:b w:val="1"/>
                <w:bCs w:val="1"/>
                <w:color w:val="auto"/>
                <w:w w:val="96"/>
              </w:rPr>
              <w:t>Quarter Ended</w:t>
            </w:r>
          </w:p>
        </w:tc>
        <w:tc>
          <w:tcPr>
            <w:tcW w:w="1480" w:type="dxa"/>
            <w:vAlign w:val="bottom"/>
            <w:gridSpan w:val="3"/>
          </w:tcPr>
          <w:p>
            <w:pPr>
              <w:jc w:val="right"/>
              <w:ind w:right="142"/>
              <w:spacing w:after="0"/>
              <w:rPr>
                <w:sz w:val="20"/>
                <w:szCs w:val="20"/>
                <w:color w:val="auto"/>
              </w:rPr>
            </w:pPr>
            <w:r>
              <w:rPr>
                <w:rFonts w:ascii="Arial" w:cs="Arial" w:eastAsia="Arial" w:hAnsi="Arial"/>
                <w:sz w:val="14"/>
                <w:szCs w:val="14"/>
                <w:b w:val="1"/>
                <w:bCs w:val="1"/>
                <w:color w:val="auto"/>
              </w:rPr>
              <w:t>(Unaudited)</w:t>
            </w:r>
          </w:p>
        </w:tc>
        <w:tc>
          <w:tcPr>
            <w:tcW w:w="1880" w:type="dxa"/>
            <w:vAlign w:val="bottom"/>
            <w:gridSpan w:val="5"/>
            <w:vMerge w:val="restart"/>
          </w:tcPr>
          <w:p>
            <w:pPr>
              <w:jc w:val="right"/>
              <w:ind w:right="660"/>
              <w:spacing w:after="0"/>
              <w:rPr>
                <w:sz w:val="20"/>
                <w:szCs w:val="20"/>
                <w:color w:val="auto"/>
              </w:rPr>
            </w:pPr>
            <w:r>
              <w:rPr>
                <w:rFonts w:ascii="Arial" w:cs="Arial" w:eastAsia="Arial" w:hAnsi="Arial"/>
                <w:sz w:val="14"/>
                <w:szCs w:val="14"/>
                <w:b w:val="1"/>
                <w:bCs w:val="1"/>
                <w:color w:val="auto"/>
              </w:rPr>
              <w:t>Quarter Ended</w:t>
            </w:r>
          </w:p>
        </w:tc>
        <w:tc>
          <w:tcPr>
            <w:tcW w:w="0" w:type="dxa"/>
            <w:vAlign w:val="bottom"/>
          </w:tcPr>
          <w:p>
            <w:pPr>
              <w:spacing w:after="0"/>
              <w:rPr>
                <w:sz w:val="1"/>
                <w:szCs w:val="1"/>
                <w:color w:val="auto"/>
              </w:rPr>
            </w:pPr>
          </w:p>
        </w:tc>
      </w:tr>
      <w:tr>
        <w:trPr>
          <w:trHeight w:val="111"/>
        </w:trPr>
        <w:tc>
          <w:tcPr>
            <w:tcW w:w="6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40" w:type="dxa"/>
            <w:vAlign w:val="bottom"/>
            <w:gridSpan w:val="3"/>
            <w:vMerge w:val="continue"/>
          </w:tcPr>
          <w:p>
            <w:pPr>
              <w:spacing w:after="0"/>
              <w:rPr>
                <w:sz w:val="9"/>
                <w:szCs w:val="9"/>
                <w:color w:val="auto"/>
              </w:rPr>
            </w:pPr>
          </w:p>
        </w:tc>
        <w:tc>
          <w:tcPr>
            <w:tcW w:w="560" w:type="dxa"/>
            <w:vAlign w:val="bottom"/>
          </w:tcPr>
          <w:p>
            <w:pPr>
              <w:spacing w:after="0"/>
              <w:rPr>
                <w:sz w:val="9"/>
                <w:szCs w:val="9"/>
                <w:color w:val="auto"/>
              </w:rPr>
            </w:pPr>
          </w:p>
        </w:tc>
        <w:tc>
          <w:tcPr>
            <w:tcW w:w="6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880" w:type="dxa"/>
            <w:vAlign w:val="bottom"/>
            <w:gridSpan w:val="5"/>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6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gridSpan w:val="3"/>
          </w:tcPr>
          <w:p>
            <w:pPr>
              <w:ind w:left="460"/>
              <w:spacing w:after="0"/>
              <w:rPr>
                <w:sz w:val="20"/>
                <w:szCs w:val="20"/>
                <w:color w:val="auto"/>
              </w:rPr>
            </w:pPr>
            <w:r>
              <w:rPr>
                <w:rFonts w:ascii="Arial" w:cs="Arial" w:eastAsia="Arial" w:hAnsi="Arial"/>
                <w:sz w:val="14"/>
                <w:szCs w:val="14"/>
                <w:b w:val="1"/>
                <w:bCs w:val="1"/>
                <w:color w:val="auto"/>
                <w:w w:val="96"/>
              </w:rPr>
              <w:t>March 31, 2009</w:t>
            </w:r>
          </w:p>
        </w:tc>
        <w:tc>
          <w:tcPr>
            <w:tcW w:w="5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80" w:type="dxa"/>
            <w:vAlign w:val="bottom"/>
            <w:gridSpan w:val="5"/>
          </w:tcPr>
          <w:p>
            <w:pPr>
              <w:jc w:val="right"/>
              <w:ind w:right="640"/>
              <w:spacing w:after="0"/>
              <w:rPr>
                <w:sz w:val="20"/>
                <w:szCs w:val="20"/>
                <w:color w:val="auto"/>
              </w:rPr>
            </w:pPr>
            <w:r>
              <w:rPr>
                <w:rFonts w:ascii="Arial" w:cs="Arial" w:eastAsia="Arial" w:hAnsi="Arial"/>
                <w:sz w:val="14"/>
                <w:szCs w:val="14"/>
                <w:b w:val="1"/>
                <w:bCs w:val="1"/>
                <w:color w:val="auto"/>
              </w:rPr>
              <w:t>March 31, 2008</w:t>
            </w:r>
          </w:p>
        </w:tc>
        <w:tc>
          <w:tcPr>
            <w:tcW w:w="0" w:type="dxa"/>
            <w:vAlign w:val="bottom"/>
          </w:tcPr>
          <w:p>
            <w:pPr>
              <w:spacing w:after="0"/>
              <w:rPr>
                <w:sz w:val="1"/>
                <w:szCs w:val="1"/>
                <w:color w:val="auto"/>
              </w:rPr>
            </w:pPr>
          </w:p>
        </w:tc>
      </w:tr>
      <w:tr>
        <w:trPr>
          <w:trHeight w:val="119"/>
        </w:trPr>
        <w:tc>
          <w:tcPr>
            <w:tcW w:w="6520" w:type="dxa"/>
            <w:vAlign w:val="bottom"/>
          </w:tcPr>
          <w:p>
            <w:pPr>
              <w:spacing w:after="0"/>
              <w:rPr>
                <w:sz w:val="10"/>
                <w:szCs w:val="10"/>
                <w:color w:val="auto"/>
              </w:rPr>
            </w:pPr>
          </w:p>
        </w:tc>
        <w:tc>
          <w:tcPr>
            <w:tcW w:w="1400" w:type="dxa"/>
            <w:vAlign w:val="bottom"/>
            <w:tcBorders>
              <w:top w:val="single" w:sz="8" w:color="auto"/>
            </w:tcBorders>
            <w:gridSpan w:val="3"/>
            <w:vMerge w:val="restart"/>
          </w:tcPr>
          <w:p>
            <w:pPr>
              <w:jc w:val="right"/>
              <w:ind w:right="780"/>
              <w:spacing w:after="0"/>
              <w:rPr>
                <w:sz w:val="20"/>
                <w:szCs w:val="20"/>
                <w:color w:val="auto"/>
              </w:rPr>
            </w:pPr>
            <w:r>
              <w:rPr>
                <w:rFonts w:ascii="Arial" w:cs="Arial" w:eastAsia="Arial" w:hAnsi="Arial"/>
                <w:sz w:val="14"/>
                <w:szCs w:val="14"/>
                <w:b w:val="1"/>
                <w:bCs w:val="1"/>
                <w:color w:val="auto"/>
              </w:rPr>
              <w:t>After-tax</w:t>
            </w:r>
          </w:p>
        </w:tc>
        <w:tc>
          <w:tcPr>
            <w:tcW w:w="14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jc w:val="center"/>
              <w:ind w:right="98"/>
              <w:spacing w:after="0" w:line="119" w:lineRule="exact"/>
              <w:rPr>
                <w:sz w:val="20"/>
                <w:szCs w:val="20"/>
                <w:color w:val="auto"/>
              </w:rPr>
            </w:pPr>
            <w:r>
              <w:rPr>
                <w:rFonts w:ascii="Arial" w:cs="Arial" w:eastAsia="Arial" w:hAnsi="Arial"/>
                <w:sz w:val="13"/>
                <w:szCs w:val="13"/>
                <w:b w:val="1"/>
                <w:bCs w:val="1"/>
                <w:color w:val="auto"/>
              </w:rPr>
              <w:t>Per</w:t>
            </w:r>
          </w:p>
        </w:tc>
        <w:tc>
          <w:tcPr>
            <w:tcW w:w="660" w:type="dxa"/>
            <w:vAlign w:val="bottom"/>
          </w:tcPr>
          <w:p>
            <w:pPr>
              <w:spacing w:after="0"/>
              <w:rPr>
                <w:sz w:val="10"/>
                <w:szCs w:val="10"/>
                <w:color w:val="auto"/>
              </w:rPr>
            </w:pPr>
          </w:p>
        </w:tc>
        <w:tc>
          <w:tcPr>
            <w:tcW w:w="1040" w:type="dxa"/>
            <w:vAlign w:val="bottom"/>
            <w:tcBorders>
              <w:top w:val="single" w:sz="8" w:color="auto"/>
            </w:tcBorders>
            <w:gridSpan w:val="3"/>
            <w:vMerge w:val="restart"/>
          </w:tcPr>
          <w:p>
            <w:pPr>
              <w:jc w:val="center"/>
              <w:ind w:right="400"/>
              <w:spacing w:after="0"/>
              <w:rPr>
                <w:sz w:val="20"/>
                <w:szCs w:val="20"/>
                <w:color w:val="auto"/>
              </w:rPr>
            </w:pPr>
            <w:r>
              <w:rPr>
                <w:rFonts w:ascii="Arial" w:cs="Arial" w:eastAsia="Arial" w:hAnsi="Arial"/>
                <w:sz w:val="14"/>
                <w:szCs w:val="14"/>
                <w:b w:val="1"/>
                <w:bCs w:val="1"/>
                <w:color w:val="auto"/>
                <w:w w:val="97"/>
              </w:rPr>
              <w:t>After-tax</w:t>
            </w:r>
          </w:p>
        </w:tc>
        <w:tc>
          <w:tcPr>
            <w:tcW w:w="32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Per</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6520" w:type="dxa"/>
            <w:vAlign w:val="bottom"/>
          </w:tcPr>
          <w:p>
            <w:pPr>
              <w:spacing w:after="0"/>
              <w:rPr>
                <w:sz w:val="12"/>
                <w:szCs w:val="12"/>
                <w:color w:val="auto"/>
              </w:rPr>
            </w:pPr>
          </w:p>
        </w:tc>
        <w:tc>
          <w:tcPr>
            <w:tcW w:w="140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gridSpan w:val="2"/>
          </w:tcPr>
          <w:p>
            <w:pPr>
              <w:jc w:val="center"/>
              <w:ind w:right="860"/>
              <w:spacing w:after="0" w:line="149" w:lineRule="exact"/>
              <w:rPr>
                <w:sz w:val="20"/>
                <w:szCs w:val="20"/>
                <w:color w:val="auto"/>
              </w:rPr>
            </w:pPr>
            <w:r>
              <w:rPr>
                <w:rFonts w:ascii="Arial" w:cs="Arial" w:eastAsia="Arial" w:hAnsi="Arial"/>
                <w:sz w:val="14"/>
                <w:szCs w:val="14"/>
                <w:b w:val="1"/>
                <w:bCs w:val="1"/>
                <w:color w:val="auto"/>
                <w:w w:val="92"/>
              </w:rPr>
              <w:t>Share</w:t>
            </w:r>
          </w:p>
        </w:tc>
        <w:tc>
          <w:tcPr>
            <w:tcW w:w="1040" w:type="dxa"/>
            <w:vAlign w:val="bottom"/>
            <w:gridSpan w:val="3"/>
            <w:vMerge w:val="continue"/>
          </w:tcPr>
          <w:p>
            <w:pPr>
              <w:spacing w:after="0"/>
              <w:rPr>
                <w:sz w:val="12"/>
                <w:szCs w:val="12"/>
                <w:color w:val="auto"/>
              </w:rPr>
            </w:pPr>
          </w:p>
        </w:tc>
        <w:tc>
          <w:tcPr>
            <w:tcW w:w="320" w:type="dxa"/>
            <w:vAlign w:val="bottom"/>
          </w:tcPr>
          <w:p>
            <w:pPr>
              <w:spacing w:after="0"/>
              <w:rPr>
                <w:sz w:val="12"/>
                <w:szCs w:val="12"/>
                <w:color w:val="auto"/>
              </w:rPr>
            </w:pPr>
          </w:p>
        </w:tc>
        <w:tc>
          <w:tcPr>
            <w:tcW w:w="7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Share</w:t>
            </w:r>
          </w:p>
        </w:tc>
        <w:tc>
          <w:tcPr>
            <w:tcW w:w="0" w:type="dxa"/>
            <w:vAlign w:val="bottom"/>
          </w:tcPr>
          <w:p>
            <w:pPr>
              <w:spacing w:after="0"/>
              <w:rPr>
                <w:sz w:val="1"/>
                <w:szCs w:val="1"/>
                <w:color w:val="auto"/>
              </w:rPr>
            </w:pPr>
          </w:p>
        </w:tc>
      </w:tr>
      <w:tr>
        <w:trPr>
          <w:trHeight w:val="171"/>
        </w:trPr>
        <w:tc>
          <w:tcPr>
            <w:tcW w:w="6520" w:type="dxa"/>
            <w:vAlign w:val="bottom"/>
          </w:tcPr>
          <w:p>
            <w:pPr>
              <w:spacing w:after="0"/>
              <w:rPr>
                <w:sz w:val="20"/>
                <w:szCs w:val="20"/>
                <w:color w:val="auto"/>
              </w:rPr>
            </w:pPr>
            <w:r>
              <w:rPr>
                <w:rFonts w:ascii="Arial" w:cs="Arial" w:eastAsia="Arial" w:hAnsi="Arial"/>
                <w:sz w:val="14"/>
                <w:szCs w:val="14"/>
                <w:b w:val="1"/>
                <w:bCs w:val="1"/>
                <w:i w:val="1"/>
                <w:iCs w:val="1"/>
                <w:color w:val="auto"/>
              </w:rPr>
              <w:t>Adjusted Net income attributable to WMI and Diluted Earnings Per Share</w:t>
            </w: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8"/>
              <w:spacing w:after="0"/>
              <w:rPr>
                <w:sz w:val="20"/>
                <w:szCs w:val="20"/>
                <w:color w:val="auto"/>
              </w:rPr>
            </w:pPr>
            <w:r>
              <w:rPr>
                <w:rFonts w:ascii="Arial" w:cs="Arial" w:eastAsia="Arial" w:hAnsi="Arial"/>
                <w:sz w:val="14"/>
                <w:szCs w:val="14"/>
                <w:b w:val="1"/>
                <w:bCs w:val="1"/>
                <w:color w:val="auto"/>
                <w:w w:val="90"/>
              </w:rPr>
              <w:t>Amount</w:t>
            </w:r>
          </w:p>
        </w:tc>
        <w:tc>
          <w:tcPr>
            <w:tcW w:w="700" w:type="dxa"/>
            <w:vAlign w:val="bottom"/>
          </w:tcPr>
          <w:p>
            <w:pPr>
              <w:spacing w:after="0"/>
              <w:rPr>
                <w:sz w:val="14"/>
                <w:szCs w:val="14"/>
                <w:color w:val="auto"/>
              </w:rPr>
            </w:pPr>
          </w:p>
        </w:tc>
        <w:tc>
          <w:tcPr>
            <w:tcW w:w="7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4"/>
              </w:rPr>
              <w:t>Amount</w:t>
            </w:r>
          </w:p>
        </w:tc>
        <w:tc>
          <w:tcPr>
            <w:tcW w:w="660" w:type="dxa"/>
            <w:vAlign w:val="bottom"/>
          </w:tcPr>
          <w:p>
            <w:pPr>
              <w:spacing w:after="0"/>
              <w:rPr>
                <w:sz w:val="14"/>
                <w:szCs w:val="14"/>
                <w:color w:val="auto"/>
              </w:rPr>
            </w:pPr>
          </w:p>
        </w:tc>
        <w:tc>
          <w:tcPr>
            <w:tcW w:w="6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4"/>
              </w:rPr>
              <w:t>Amount</w:t>
            </w: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Amount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 attributable to WMI and Diluted EPS, as reported</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30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b w:val="1"/>
                <w:bCs w:val="1"/>
                <w:color w:val="auto"/>
              </w:rPr>
              <w:t>155</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2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b w:val="1"/>
                <w:bCs w:val="1"/>
                <w:color w:val="auto"/>
              </w:rPr>
              <w:t>0.31</w:t>
            </w:r>
          </w:p>
        </w:tc>
        <w:tc>
          <w:tcPr>
            <w:tcW w:w="260" w:type="dxa"/>
            <w:vAlign w:val="bottom"/>
            <w:shd w:val="clear" w:color="auto" w:fill="CCEEFF"/>
          </w:tcPr>
          <w:p>
            <w:pPr>
              <w:jc w:val="right"/>
              <w:ind w:right="82"/>
              <w:spacing w:after="0"/>
              <w:rPr>
                <w:sz w:val="20"/>
                <w:szCs w:val="20"/>
                <w:color w:val="auto"/>
              </w:rPr>
            </w:pPr>
            <w:r>
              <w:rPr>
                <w:rFonts w:ascii="Arial" w:cs="Arial" w:eastAsia="Arial" w:hAnsi="Arial"/>
                <w:sz w:val="18"/>
                <w:szCs w:val="18"/>
                <w:b w:val="1"/>
                <w:bCs w:val="1"/>
                <w:color w:val="auto"/>
                <w:w w:val="79"/>
              </w:rPr>
              <w:t>$</w:t>
            </w:r>
          </w:p>
        </w:tc>
        <w:tc>
          <w:tcPr>
            <w:tcW w:w="7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241</w:t>
            </w:r>
          </w:p>
        </w:tc>
        <w:tc>
          <w:tcPr>
            <w:tcW w:w="11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   0.48</w:t>
            </w:r>
          </w:p>
        </w:tc>
        <w:tc>
          <w:tcPr>
            <w:tcW w:w="0" w:type="dxa"/>
            <w:vAlign w:val="bottom"/>
          </w:tcPr>
          <w:p>
            <w:pPr>
              <w:spacing w:after="0"/>
              <w:rPr>
                <w:sz w:val="1"/>
                <w:szCs w:val="1"/>
                <w:color w:val="auto"/>
              </w:rPr>
            </w:pPr>
          </w:p>
        </w:tc>
      </w:tr>
      <w:tr>
        <w:trPr>
          <w:trHeight w:val="432"/>
        </w:trPr>
        <w:tc>
          <w:tcPr>
            <w:tcW w:w="6520" w:type="dxa"/>
            <w:vAlign w:val="bottom"/>
          </w:tcPr>
          <w:p>
            <w:pPr>
              <w:spacing w:after="0"/>
              <w:rPr>
                <w:sz w:val="20"/>
                <w:szCs w:val="20"/>
                <w:color w:val="auto"/>
              </w:rPr>
            </w:pPr>
            <w:r>
              <w:rPr>
                <w:rFonts w:ascii="Arial" w:cs="Arial" w:eastAsia="Arial" w:hAnsi="Arial"/>
                <w:sz w:val="18"/>
                <w:szCs w:val="18"/>
                <w:b w:val="1"/>
                <w:bCs w:val="1"/>
                <w:color w:val="auto"/>
              </w:rPr>
              <w:t>Adjustments to Net income attributable to WMI and Diluted EPS:</w:t>
            </w: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Restructuring</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0.05</w:t>
            </w:r>
          </w:p>
        </w:tc>
        <w:tc>
          <w:tcPr>
            <w:tcW w:w="2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32"/>
        </w:trPr>
        <w:tc>
          <w:tcPr>
            <w:tcW w:w="6520" w:type="dxa"/>
            <w:vAlign w:val="bottom"/>
          </w:tcPr>
          <w:p>
            <w:pPr>
              <w:ind w:left="220"/>
              <w:spacing w:after="0"/>
              <w:rPr>
                <w:sz w:val="20"/>
                <w:szCs w:val="20"/>
                <w:color w:val="auto"/>
              </w:rPr>
            </w:pPr>
            <w:r>
              <w:rPr>
                <w:rFonts w:ascii="Arial" w:cs="Arial" w:eastAsia="Arial" w:hAnsi="Arial"/>
                <w:sz w:val="18"/>
                <w:szCs w:val="18"/>
                <w:color w:val="auto"/>
              </w:rPr>
              <w:t>SAP abandonment</w:t>
            </w:r>
          </w:p>
        </w:tc>
        <w:tc>
          <w:tcPr>
            <w:tcW w:w="10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30</w:t>
            </w: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gridSpan w:val="2"/>
          </w:tcPr>
          <w:p>
            <w:pPr>
              <w:jc w:val="right"/>
              <w:ind w:right="660"/>
              <w:spacing w:after="0"/>
              <w:rPr>
                <w:sz w:val="20"/>
                <w:szCs w:val="20"/>
                <w:color w:val="auto"/>
              </w:rPr>
            </w:pPr>
            <w:r>
              <w:rPr>
                <w:rFonts w:ascii="Arial" w:cs="Arial" w:eastAsia="Arial" w:hAnsi="Arial"/>
                <w:sz w:val="18"/>
                <w:szCs w:val="18"/>
                <w:color w:val="auto"/>
              </w:rPr>
              <w:t>0.06</w:t>
            </w:r>
          </w:p>
        </w:tc>
        <w:tc>
          <w:tcPr>
            <w:tcW w:w="260" w:type="dxa"/>
            <w:vAlign w:val="bottom"/>
          </w:tcPr>
          <w:p>
            <w:pPr>
              <w:spacing w:after="0"/>
              <w:rPr>
                <w:sz w:val="24"/>
                <w:szCs w:val="24"/>
                <w:color w:val="auto"/>
              </w:rPr>
            </w:pPr>
          </w:p>
        </w:tc>
        <w:tc>
          <w:tcPr>
            <w:tcW w:w="7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4"/>
                <w:szCs w:val="24"/>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Income tax audit settlements</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w:t>
            </w:r>
          </w:p>
        </w:tc>
        <w:tc>
          <w:tcPr>
            <w:tcW w:w="11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16"/>
        </w:trPr>
        <w:tc>
          <w:tcPr>
            <w:tcW w:w="65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39"/>
        </w:trPr>
        <w:tc>
          <w:tcPr>
            <w:tcW w:w="652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600" w:type="dxa"/>
            <w:vAlign w:val="bottom"/>
            <w:tcBorders>
              <w:bottom w:val="single" w:sz="8" w:color="808080"/>
            </w:tcBorders>
          </w:tcPr>
          <w:p>
            <w:pPr>
              <w:spacing w:after="0"/>
              <w:rPr>
                <w:sz w:val="24"/>
                <w:szCs w:val="24"/>
                <w:color w:val="auto"/>
              </w:rPr>
            </w:pPr>
          </w:p>
        </w:tc>
        <w:tc>
          <w:tcPr>
            <w:tcW w:w="70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560" w:type="dxa"/>
            <w:vAlign w:val="bottom"/>
            <w:tcBorders>
              <w:bottom w:val="single" w:sz="8" w:color="808080"/>
            </w:tcBorders>
          </w:tcPr>
          <w:p>
            <w:pPr>
              <w:spacing w:after="0"/>
              <w:rPr>
                <w:sz w:val="24"/>
                <w:szCs w:val="24"/>
                <w:color w:val="auto"/>
              </w:rPr>
            </w:pPr>
          </w:p>
        </w:tc>
        <w:tc>
          <w:tcPr>
            <w:tcW w:w="660" w:type="dxa"/>
            <w:vAlign w:val="bottom"/>
            <w:tcBorders>
              <w:bottom w:val="single" w:sz="8" w:color="808080"/>
            </w:tcBorders>
          </w:tcPr>
          <w:p>
            <w:pPr>
              <w:spacing w:after="0"/>
              <w:rPr>
                <w:sz w:val="24"/>
                <w:szCs w:val="24"/>
                <w:color w:val="auto"/>
              </w:rPr>
            </w:pPr>
          </w:p>
        </w:tc>
        <w:tc>
          <w:tcPr>
            <w:tcW w:w="260" w:type="dxa"/>
            <w:vAlign w:val="bottom"/>
            <w:tcBorders>
              <w:bottom w:val="single" w:sz="8" w:color="808080"/>
            </w:tcBorders>
          </w:tcPr>
          <w:p>
            <w:pPr>
              <w:spacing w:after="0"/>
              <w:rPr>
                <w:sz w:val="24"/>
                <w:szCs w:val="24"/>
                <w:color w:val="auto"/>
              </w:rPr>
            </w:pPr>
          </w:p>
        </w:tc>
        <w:tc>
          <w:tcPr>
            <w:tcW w:w="420" w:type="dxa"/>
            <w:vAlign w:val="bottom"/>
            <w:tcBorders>
              <w:bottom w:val="single" w:sz="8" w:color="808080"/>
            </w:tcBorders>
          </w:tcPr>
          <w:p>
            <w:pPr>
              <w:spacing w:after="0"/>
              <w:rPr>
                <w:sz w:val="24"/>
                <w:szCs w:val="24"/>
                <w:color w:val="auto"/>
              </w:rPr>
            </w:pPr>
          </w:p>
        </w:tc>
        <w:tc>
          <w:tcPr>
            <w:tcW w:w="360" w:type="dxa"/>
            <w:vAlign w:val="bottom"/>
            <w:tcBorders>
              <w:bottom w:val="single" w:sz="8" w:color="808080"/>
            </w:tcBorders>
          </w:tcPr>
          <w:p>
            <w:pPr>
              <w:spacing w:after="0"/>
              <w:rPr>
                <w:sz w:val="24"/>
                <w:szCs w:val="24"/>
                <w:color w:val="auto"/>
              </w:rPr>
            </w:pPr>
          </w:p>
        </w:tc>
        <w:tc>
          <w:tcPr>
            <w:tcW w:w="320" w:type="dxa"/>
            <w:vAlign w:val="bottom"/>
            <w:tcBorders>
              <w:bottom w:val="single" w:sz="8" w:color="808080"/>
            </w:tcBorders>
          </w:tcPr>
          <w:p>
            <w:pPr>
              <w:spacing w:after="0"/>
              <w:rPr>
                <w:sz w:val="24"/>
                <w:szCs w:val="24"/>
                <w:color w:val="auto"/>
              </w:rPr>
            </w:pPr>
          </w:p>
        </w:tc>
        <w:tc>
          <w:tcPr>
            <w:tcW w:w="68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171"/>
        </w:trPr>
        <w:tc>
          <w:tcPr>
            <w:tcW w:w="6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3"/>
          </w:tcPr>
          <w:p>
            <w:pPr>
              <w:jc w:val="right"/>
              <w:ind w:right="139"/>
              <w:spacing w:after="0"/>
              <w:rPr>
                <w:sz w:val="20"/>
                <w:szCs w:val="20"/>
                <w:color w:val="auto"/>
              </w:rPr>
            </w:pPr>
            <w:r>
              <w:rPr>
                <w:rFonts w:ascii="Arial" w:cs="Arial" w:eastAsia="Arial" w:hAnsi="Arial"/>
                <w:sz w:val="14"/>
                <w:szCs w:val="14"/>
                <w:b w:val="1"/>
                <w:bCs w:val="1"/>
                <w:color w:val="auto"/>
              </w:rPr>
              <w:t>(Unaudited)</w:t>
            </w:r>
          </w:p>
        </w:tc>
        <w:tc>
          <w:tcPr>
            <w:tcW w:w="420" w:type="dxa"/>
            <w:vAlign w:val="bottom"/>
            <w:tcBorders>
              <w:bottom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40" w:type="dxa"/>
            <w:vAlign w:val="bottom"/>
            <w:gridSpan w:val="4"/>
          </w:tcPr>
          <w:p>
            <w:pPr>
              <w:jc w:val="right"/>
              <w:spacing w:after="0" w:line="119" w:lineRule="exact"/>
              <w:rPr>
                <w:sz w:val="20"/>
                <w:szCs w:val="20"/>
                <w:color w:val="auto"/>
              </w:rPr>
            </w:pPr>
            <w:r>
              <w:rPr>
                <w:rFonts w:ascii="Arial" w:cs="Arial" w:eastAsia="Arial" w:hAnsi="Arial"/>
                <w:sz w:val="13"/>
                <w:szCs w:val="13"/>
                <w:b w:val="1"/>
                <w:bCs w:val="1"/>
                <w:color w:val="auto"/>
              </w:rPr>
              <w:t>Quarter Ended</w:t>
            </w:r>
          </w:p>
        </w:tc>
        <w:tc>
          <w:tcPr>
            <w:tcW w:w="5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40" w:type="dxa"/>
            <w:vAlign w:val="bottom"/>
            <w:gridSpan w:val="4"/>
          </w:tcPr>
          <w:p>
            <w:pPr>
              <w:jc w:val="right"/>
              <w:spacing w:after="0" w:line="119" w:lineRule="exact"/>
              <w:rPr>
                <w:sz w:val="20"/>
                <w:szCs w:val="20"/>
                <w:color w:val="auto"/>
              </w:rPr>
            </w:pPr>
            <w:r>
              <w:rPr>
                <w:rFonts w:ascii="Arial" w:cs="Arial" w:eastAsia="Arial" w:hAnsi="Arial"/>
                <w:sz w:val="13"/>
                <w:szCs w:val="13"/>
                <w:b w:val="1"/>
                <w:bCs w:val="1"/>
                <w:color w:val="auto"/>
              </w:rPr>
              <w:t>Quarter Ended</w:t>
            </w: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6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March 31, 2009</w:t>
            </w:r>
          </w:p>
        </w:tc>
        <w:tc>
          <w:tcPr>
            <w:tcW w:w="560" w:type="dxa"/>
            <w:vAlign w:val="bottom"/>
            <w:tcBorders>
              <w:bottom w:val="single" w:sz="8" w:color="auto"/>
            </w:tcBorders>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March 31, 2008</w:t>
            </w:r>
          </w:p>
        </w:tc>
        <w:tc>
          <w:tcPr>
            <w:tcW w:w="5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After-tax</w:t>
            </w: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jc w:val="center"/>
              <w:ind w:right="100"/>
              <w:spacing w:after="0" w:line="119" w:lineRule="exact"/>
              <w:rPr>
                <w:sz w:val="20"/>
                <w:szCs w:val="20"/>
                <w:color w:val="auto"/>
              </w:rPr>
            </w:pPr>
            <w:r>
              <w:rPr>
                <w:rFonts w:ascii="Arial" w:cs="Arial" w:eastAsia="Arial" w:hAnsi="Arial"/>
                <w:sz w:val="13"/>
                <w:szCs w:val="13"/>
                <w:b w:val="1"/>
                <w:bCs w:val="1"/>
                <w:color w:val="auto"/>
              </w:rPr>
              <w:t>Per</w:t>
            </w:r>
          </w:p>
        </w:tc>
        <w:tc>
          <w:tcPr>
            <w:tcW w:w="660" w:type="dxa"/>
            <w:vAlign w:val="bottom"/>
          </w:tcPr>
          <w:p>
            <w:pPr>
              <w:spacing w:after="0"/>
              <w:rPr>
                <w:sz w:val="10"/>
                <w:szCs w:val="10"/>
                <w:color w:val="auto"/>
              </w:rPr>
            </w:pPr>
          </w:p>
        </w:tc>
        <w:tc>
          <w:tcPr>
            <w:tcW w:w="1020" w:type="dxa"/>
            <w:vAlign w:val="bottom"/>
            <w:gridSpan w:val="3"/>
            <w:vMerge w:val="restart"/>
          </w:tcPr>
          <w:p>
            <w:pPr>
              <w:jc w:val="right"/>
              <w:ind w:right="420"/>
              <w:spacing w:after="0"/>
              <w:rPr>
                <w:sz w:val="20"/>
                <w:szCs w:val="20"/>
                <w:color w:val="auto"/>
              </w:rPr>
            </w:pPr>
            <w:r>
              <w:rPr>
                <w:rFonts w:ascii="Arial" w:cs="Arial" w:eastAsia="Arial" w:hAnsi="Arial"/>
                <w:sz w:val="14"/>
                <w:szCs w:val="14"/>
                <w:b w:val="1"/>
                <w:bCs w:val="1"/>
                <w:color w:val="auto"/>
              </w:rPr>
              <w:t>After-tax</w:t>
            </w:r>
          </w:p>
        </w:tc>
        <w:tc>
          <w:tcPr>
            <w:tcW w:w="3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jc w:val="center"/>
              <w:ind w:right="118"/>
              <w:spacing w:after="0" w:line="119" w:lineRule="exact"/>
              <w:rPr>
                <w:sz w:val="20"/>
                <w:szCs w:val="20"/>
                <w:color w:val="auto"/>
              </w:rPr>
            </w:pPr>
            <w:r>
              <w:rPr>
                <w:rFonts w:ascii="Arial" w:cs="Arial" w:eastAsia="Arial" w:hAnsi="Arial"/>
                <w:sz w:val="13"/>
                <w:szCs w:val="13"/>
                <w:b w:val="1"/>
                <w:bCs w:val="1"/>
                <w:color w:val="auto"/>
              </w:rPr>
              <w:t>Per</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6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00" w:type="dxa"/>
            <w:vAlign w:val="bottom"/>
            <w:gridSpan w:val="3"/>
            <w:vMerge w:val="continue"/>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tcPr>
          <w:p>
            <w:pPr>
              <w:jc w:val="center"/>
              <w:ind w:right="820"/>
              <w:spacing w:after="0" w:line="149" w:lineRule="exact"/>
              <w:rPr>
                <w:sz w:val="20"/>
                <w:szCs w:val="20"/>
                <w:color w:val="auto"/>
              </w:rPr>
            </w:pPr>
            <w:r>
              <w:rPr>
                <w:rFonts w:ascii="Arial" w:cs="Arial" w:eastAsia="Arial" w:hAnsi="Arial"/>
                <w:sz w:val="14"/>
                <w:szCs w:val="14"/>
                <w:b w:val="1"/>
                <w:bCs w:val="1"/>
                <w:color w:val="auto"/>
                <w:w w:val="92"/>
              </w:rPr>
              <w:t>Share</w:t>
            </w:r>
          </w:p>
        </w:tc>
        <w:tc>
          <w:tcPr>
            <w:tcW w:w="1020" w:type="dxa"/>
            <w:vAlign w:val="bottom"/>
            <w:gridSpan w:val="3"/>
            <w:vMerge w:val="continue"/>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Share</w:t>
            </w:r>
          </w:p>
        </w:tc>
        <w:tc>
          <w:tcPr>
            <w:tcW w:w="0" w:type="dxa"/>
            <w:vAlign w:val="bottom"/>
          </w:tcPr>
          <w:p>
            <w:pPr>
              <w:spacing w:after="0"/>
              <w:rPr>
                <w:sz w:val="1"/>
                <w:szCs w:val="1"/>
                <w:color w:val="auto"/>
              </w:rPr>
            </w:pPr>
          </w:p>
        </w:tc>
      </w:tr>
      <w:tr>
        <w:trPr>
          <w:trHeight w:val="171"/>
        </w:trPr>
        <w:tc>
          <w:tcPr>
            <w:tcW w:w="6540" w:type="dxa"/>
            <w:vAlign w:val="bottom"/>
          </w:tcPr>
          <w:p>
            <w:pPr>
              <w:spacing w:after="0"/>
              <w:rPr>
                <w:sz w:val="20"/>
                <w:szCs w:val="20"/>
                <w:color w:val="auto"/>
              </w:rPr>
            </w:pPr>
            <w:r>
              <w:rPr>
                <w:rFonts w:ascii="Arial" w:cs="Arial" w:eastAsia="Arial" w:hAnsi="Arial"/>
                <w:sz w:val="14"/>
                <w:szCs w:val="14"/>
                <w:b w:val="1"/>
                <w:bCs w:val="1"/>
                <w:i w:val="1"/>
                <w:iCs w:val="1"/>
                <w:color w:val="auto"/>
              </w:rPr>
              <w:t>Adjusted Net income attributable to WMI and Diluted Earnings Per Share</w:t>
            </w:r>
          </w:p>
        </w:tc>
        <w:tc>
          <w:tcPr>
            <w:tcW w:w="2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20"/>
              <w:spacing w:after="0"/>
              <w:rPr>
                <w:sz w:val="20"/>
                <w:szCs w:val="20"/>
                <w:color w:val="auto"/>
              </w:rPr>
            </w:pPr>
            <w:r>
              <w:rPr>
                <w:rFonts w:ascii="Arial" w:cs="Arial" w:eastAsia="Arial" w:hAnsi="Arial"/>
                <w:sz w:val="14"/>
                <w:szCs w:val="14"/>
                <w:b w:val="1"/>
                <w:bCs w:val="1"/>
                <w:color w:val="auto"/>
                <w:w w:val="94"/>
              </w:rPr>
              <w:t>Amount</w:t>
            </w:r>
          </w:p>
        </w:tc>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4"/>
              </w:rPr>
              <w:t>Amount</w:t>
            </w:r>
          </w:p>
        </w:tc>
        <w:tc>
          <w:tcPr>
            <w:tcW w:w="660" w:type="dxa"/>
            <w:vAlign w:val="bottom"/>
          </w:tcPr>
          <w:p>
            <w:pPr>
              <w:spacing w:after="0"/>
              <w:rPr>
                <w:sz w:val="14"/>
                <w:szCs w:val="14"/>
                <w:color w:val="auto"/>
              </w:rPr>
            </w:pPr>
          </w:p>
        </w:tc>
        <w:tc>
          <w:tcPr>
            <w:tcW w:w="6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Amount</w:t>
            </w: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4"/>
              </w:rPr>
              <w:t>Amount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 attributable to WMI and Diluted EPS, as adjusted</w:t>
            </w:r>
          </w:p>
        </w:tc>
        <w:tc>
          <w:tcPr>
            <w:tcW w:w="80" w:type="dxa"/>
            <w:vAlign w:val="bottom"/>
            <w:gridSpan w:val="2"/>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208</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b w:val="1"/>
                <w:bCs w:val="1"/>
                <w:color w:val="auto"/>
              </w:rPr>
              <w:t>0.42</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8"/>
                <w:szCs w:val="18"/>
                <w:b w:val="1"/>
                <w:bCs w:val="1"/>
                <w:color w:val="auto"/>
                <w:w w:val="79"/>
              </w:rPr>
              <w:t>$</w:t>
            </w:r>
          </w:p>
        </w:tc>
        <w:tc>
          <w:tcPr>
            <w:tcW w:w="7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235</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0.47</w:t>
            </w:r>
          </w:p>
        </w:tc>
        <w:tc>
          <w:tcPr>
            <w:tcW w:w="0" w:type="dxa"/>
            <w:vAlign w:val="bottom"/>
          </w:tcPr>
          <w:p>
            <w:pPr>
              <w:spacing w:after="0"/>
              <w:rPr>
                <w:sz w:val="1"/>
                <w:szCs w:val="1"/>
                <w:color w:val="auto"/>
              </w:rPr>
            </w:pPr>
          </w:p>
        </w:tc>
      </w:tr>
      <w:tr>
        <w:trPr>
          <w:trHeight w:val="432"/>
        </w:trPr>
        <w:tc>
          <w:tcPr>
            <w:tcW w:w="6540" w:type="dxa"/>
            <w:vAlign w:val="bottom"/>
          </w:tcPr>
          <w:p>
            <w:pPr>
              <w:spacing w:after="0"/>
              <w:rPr>
                <w:sz w:val="20"/>
                <w:szCs w:val="20"/>
                <w:color w:val="auto"/>
              </w:rPr>
            </w:pPr>
            <w:r>
              <w:rPr>
                <w:rFonts w:ascii="Arial" w:cs="Arial" w:eastAsia="Arial" w:hAnsi="Arial"/>
                <w:sz w:val="18"/>
                <w:szCs w:val="18"/>
                <w:b w:val="1"/>
                <w:bCs w:val="1"/>
                <w:color w:val="auto"/>
              </w:rPr>
              <w:t>Further adjusted for Commodity impact:</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6540" w:type="dxa"/>
            <w:vAlign w:val="bottom"/>
            <w:shd w:val="clear" w:color="auto" w:fill="CCEEFF"/>
          </w:tcPr>
          <w:p>
            <w:pPr>
              <w:ind w:left="220"/>
              <w:spacing w:after="0" w:line="201" w:lineRule="exact"/>
              <w:rPr>
                <w:sz w:val="20"/>
                <w:szCs w:val="20"/>
                <w:color w:val="auto"/>
              </w:rPr>
            </w:pPr>
            <w:r>
              <w:rPr>
                <w:rFonts w:ascii="Arial" w:cs="Arial" w:eastAsia="Arial" w:hAnsi="Arial"/>
                <w:sz w:val="18"/>
                <w:szCs w:val="18"/>
                <w:color w:val="auto"/>
              </w:rPr>
              <w:t>Decline in price and demand for recyclable commodities as compared with Q1</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5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2008</w:t>
            </w:r>
          </w:p>
        </w:tc>
        <w:tc>
          <w:tcPr>
            <w:tcW w:w="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70</w:t>
            </w:r>
          </w:p>
        </w:tc>
        <w:tc>
          <w:tcPr>
            <w:tcW w:w="6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0.09</w:t>
            </w:r>
          </w:p>
        </w:tc>
        <w:tc>
          <w:tcPr>
            <w:tcW w:w="26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540" w:type="dxa"/>
            <w:vAlign w:val="bottom"/>
            <w:vMerge w:val="restart"/>
          </w:tcPr>
          <w:p>
            <w:pPr>
              <w:spacing w:after="0"/>
              <w:rPr>
                <w:sz w:val="20"/>
                <w:szCs w:val="20"/>
                <w:color w:val="auto"/>
              </w:rPr>
            </w:pPr>
            <w:r>
              <w:rPr>
                <w:rFonts w:ascii="Arial" w:cs="Arial" w:eastAsia="Arial" w:hAnsi="Arial"/>
                <w:sz w:val="18"/>
                <w:szCs w:val="18"/>
                <w:b w:val="1"/>
                <w:bCs w:val="1"/>
                <w:color w:val="auto"/>
              </w:rPr>
              <w:t>Net income attributable to WMI and Diluted EPS, as further adjusted</w:t>
            </w:r>
          </w:p>
        </w:tc>
        <w:tc>
          <w:tcPr>
            <w:tcW w:w="80" w:type="dxa"/>
            <w:vAlign w:val="bottom"/>
            <w:gridSpan w:val="2"/>
          </w:tcPr>
          <w:p>
            <w:pPr>
              <w:spacing w:after="0"/>
              <w:rPr>
                <w:sz w:val="18"/>
                <w:szCs w:val="18"/>
                <w:color w:val="auto"/>
              </w:rPr>
            </w:pPr>
          </w:p>
        </w:tc>
        <w:tc>
          <w:tcPr>
            <w:tcW w:w="640" w:type="dxa"/>
            <w:vAlign w:val="bottom"/>
            <w:gridSpan w:val="2"/>
          </w:tcPr>
          <w:p>
            <w:pPr>
              <w:spacing w:after="0"/>
              <w:rPr>
                <w:sz w:val="18"/>
                <w:szCs w:val="18"/>
                <w:color w:val="auto"/>
              </w:rPr>
            </w:pPr>
          </w:p>
        </w:tc>
        <w:tc>
          <w:tcPr>
            <w:tcW w:w="800" w:type="dxa"/>
            <w:vAlign w:val="bottom"/>
            <w:gridSpan w:val="2"/>
          </w:tcPr>
          <w:p>
            <w:pPr>
              <w:spacing w:after="0"/>
              <w:rPr>
                <w:sz w:val="18"/>
                <w:szCs w:val="18"/>
                <w:color w:val="auto"/>
              </w:rPr>
            </w:pPr>
          </w:p>
        </w:tc>
        <w:tc>
          <w:tcPr>
            <w:tcW w:w="1220" w:type="dxa"/>
            <w:vAlign w:val="bottom"/>
            <w:gridSpan w:val="2"/>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gridSpan w:val="2"/>
          </w:tcPr>
          <w:p>
            <w:pPr>
              <w:spacing w:after="0"/>
              <w:rPr>
                <w:sz w:val="18"/>
                <w:szCs w:val="18"/>
                <w:color w:val="auto"/>
              </w:rPr>
            </w:pPr>
          </w:p>
        </w:tc>
        <w:tc>
          <w:tcPr>
            <w:tcW w:w="480" w:type="dxa"/>
            <w:vAlign w:val="bottom"/>
            <w:gridSpan w:val="2"/>
          </w:tcPr>
          <w:p>
            <w:pPr>
              <w:spacing w:after="0"/>
              <w:rPr>
                <w:sz w:val="18"/>
                <w:szCs w:val="18"/>
                <w:color w:val="auto"/>
              </w:rPr>
            </w:pPr>
          </w:p>
        </w:tc>
        <w:tc>
          <w:tcPr>
            <w:tcW w:w="6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540" w:type="dxa"/>
            <w:vAlign w:val="bottom"/>
            <w:vMerge w:val="continue"/>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278</w:t>
            </w:r>
          </w:p>
        </w:tc>
        <w:tc>
          <w:tcPr>
            <w:tcW w:w="20" w:type="dxa"/>
            <w:vAlign w:val="bottom"/>
            <w:tcBorders>
              <w:bottom w:val="single" w:sz="8" w:color="auto"/>
            </w:tcBorders>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0.51</w:t>
            </w:r>
          </w:p>
        </w:tc>
        <w:tc>
          <w:tcPr>
            <w:tcW w:w="66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8"/>
                <w:szCs w:val="18"/>
                <w:b w:val="1"/>
                <w:bCs w:val="1"/>
                <w:color w:val="auto"/>
                <w:w w:val="79"/>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235</w:t>
            </w: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0.47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520" w:firstLine="222"/>
        <w:spacing w:after="0" w:line="277" w:lineRule="auto"/>
        <w:rPr>
          <w:sz w:val="20"/>
          <w:szCs w:val="20"/>
          <w:color w:val="auto"/>
        </w:rPr>
      </w:pPr>
      <w:r>
        <w:rPr>
          <w:rFonts w:ascii="Arial" w:cs="Arial" w:eastAsia="Arial" w:hAnsi="Arial"/>
          <w:sz w:val="18"/>
          <w:szCs w:val="18"/>
          <w:color w:val="auto"/>
        </w:rPr>
        <w:t>The table below reconciles operating expenses as a percentage of revenues to operating expenses as a percentage of revenues excluding the effect of recyclable commodities and fuel prices (dollars in millions):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70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gridSpan w:val="3"/>
          </w:tcPr>
          <w:p>
            <w:pPr>
              <w:jc w:val="right"/>
              <w:ind w:right="260"/>
              <w:spacing w:after="0"/>
              <w:rPr>
                <w:sz w:val="20"/>
                <w:szCs w:val="20"/>
                <w:color w:val="auto"/>
              </w:rPr>
            </w:pPr>
            <w:r>
              <w:rPr>
                <w:rFonts w:ascii="Arial" w:cs="Arial" w:eastAsia="Arial" w:hAnsi="Arial"/>
                <w:sz w:val="14"/>
                <w:szCs w:val="14"/>
                <w:b w:val="1"/>
                <w:bCs w:val="1"/>
                <w:color w:val="auto"/>
                <w:w w:val="97"/>
              </w:rPr>
              <w:t>(Unaudited)</w:t>
            </w:r>
          </w:p>
        </w:tc>
        <w:tc>
          <w:tcPr>
            <w:tcW w:w="740" w:type="dxa"/>
            <w:vAlign w:val="bottom"/>
            <w:tcBorders>
              <w:bottom w:val="single" w:sz="8" w:color="auto"/>
            </w:tcBorders>
          </w:tcPr>
          <w:p>
            <w:pPr>
              <w:spacing w:after="0"/>
              <w:rPr>
                <w:sz w:val="14"/>
                <w:szCs w:val="14"/>
                <w:color w:val="auto"/>
              </w:rPr>
            </w:pPr>
          </w:p>
        </w:tc>
      </w:tr>
      <w:tr>
        <w:trPr>
          <w:trHeight w:val="142"/>
        </w:trPr>
        <w:tc>
          <w:tcPr>
            <w:tcW w:w="870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2400" w:type="dxa"/>
            <w:vAlign w:val="bottom"/>
            <w:tcBorders>
              <w:bottom w:val="single" w:sz="8" w:color="auto"/>
            </w:tcBorders>
            <w:gridSpan w:val="5"/>
          </w:tcPr>
          <w:p>
            <w:pPr>
              <w:jc w:val="right"/>
              <w:ind w:right="452"/>
              <w:spacing w:after="0" w:line="142" w:lineRule="exact"/>
              <w:rPr>
                <w:sz w:val="20"/>
                <w:szCs w:val="20"/>
                <w:color w:val="auto"/>
              </w:rPr>
            </w:pPr>
            <w:r>
              <w:rPr>
                <w:rFonts w:ascii="Arial" w:cs="Arial" w:eastAsia="Arial" w:hAnsi="Arial"/>
                <w:sz w:val="14"/>
                <w:szCs w:val="14"/>
                <w:b w:val="1"/>
                <w:bCs w:val="1"/>
                <w:color w:val="auto"/>
              </w:rPr>
              <w:t>Quarters Ended March 31,</w:t>
            </w:r>
          </w:p>
        </w:tc>
      </w:tr>
      <w:tr>
        <w:trPr>
          <w:trHeight w:val="142"/>
        </w:trPr>
        <w:tc>
          <w:tcPr>
            <w:tcW w:w="870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rPr>
              <w:t>2009</w:t>
            </w:r>
          </w:p>
        </w:tc>
        <w:tc>
          <w:tcPr>
            <w:tcW w:w="140" w:type="dxa"/>
            <w:vAlign w:val="bottom"/>
            <w:tcBorders>
              <w:bottom w:val="single" w:sz="8" w:color="auto"/>
            </w:tcBorders>
          </w:tcPr>
          <w:p>
            <w:pPr>
              <w:spacing w:after="0"/>
              <w:rPr>
                <w:sz w:val="12"/>
                <w:szCs w:val="12"/>
                <w:color w:val="auto"/>
              </w:rPr>
            </w:pPr>
          </w:p>
        </w:tc>
        <w:tc>
          <w:tcPr>
            <w:tcW w:w="56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312"/>
              <w:spacing w:after="0" w:line="142" w:lineRule="exact"/>
              <w:rPr>
                <w:sz w:val="20"/>
                <w:szCs w:val="20"/>
                <w:color w:val="auto"/>
              </w:rPr>
            </w:pPr>
            <w:r>
              <w:rPr>
                <w:rFonts w:ascii="Arial" w:cs="Arial" w:eastAsia="Arial" w:hAnsi="Arial"/>
                <w:sz w:val="14"/>
                <w:szCs w:val="14"/>
                <w:b w:val="1"/>
                <w:bCs w:val="1"/>
                <w:color w:val="auto"/>
              </w:rPr>
              <w:t>2008</w:t>
            </w:r>
          </w:p>
        </w:tc>
      </w:tr>
      <w:tr>
        <w:trPr>
          <w:trHeight w:val="210"/>
        </w:trPr>
        <w:tc>
          <w:tcPr>
            <w:tcW w:w="870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Adjusted Operating Expenses as a percent of Revenues</w:t>
            </w:r>
          </w:p>
        </w:tc>
        <w:tc>
          <w:tcPr>
            <w:tcW w:w="3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r>
      <w:tr>
        <w:trPr>
          <w:trHeight w:val="432"/>
        </w:trPr>
        <w:tc>
          <w:tcPr>
            <w:tcW w:w="8700" w:type="dxa"/>
            <w:vAlign w:val="bottom"/>
          </w:tcPr>
          <w:p>
            <w:pPr>
              <w:ind w:left="220"/>
              <w:spacing w:after="0"/>
              <w:rPr>
                <w:sz w:val="20"/>
                <w:szCs w:val="20"/>
                <w:color w:val="auto"/>
              </w:rPr>
            </w:pPr>
            <w:r>
              <w:rPr>
                <w:rFonts w:ascii="Arial" w:cs="Arial" w:eastAsia="Arial" w:hAnsi="Arial"/>
                <w:sz w:val="18"/>
                <w:szCs w:val="18"/>
                <w:b w:val="1"/>
                <w:bCs w:val="1"/>
                <w:color w:val="auto"/>
              </w:rPr>
              <w:t>As reported:</w:t>
            </w:r>
          </w:p>
        </w:tc>
        <w:tc>
          <w:tcPr>
            <w:tcW w:w="3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216"/>
        </w:trPr>
        <w:tc>
          <w:tcPr>
            <w:tcW w:w="8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Operating revenues</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w w:val="88"/>
              </w:rPr>
              <w:t>2,810</w:t>
            </w:r>
          </w:p>
        </w:tc>
        <w:tc>
          <w:tcPr>
            <w:tcW w:w="10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w w:val="84"/>
              </w:rPr>
              <w:t>3,266</w:t>
            </w:r>
          </w:p>
        </w:tc>
      </w:tr>
      <w:tr>
        <w:trPr>
          <w:trHeight w:val="216"/>
        </w:trPr>
        <w:tc>
          <w:tcPr>
            <w:tcW w:w="8700" w:type="dxa"/>
            <w:vAlign w:val="bottom"/>
          </w:tcPr>
          <w:p>
            <w:pPr>
              <w:ind w:left="420"/>
              <w:spacing w:after="0"/>
              <w:rPr>
                <w:sz w:val="20"/>
                <w:szCs w:val="20"/>
                <w:color w:val="auto"/>
              </w:rPr>
            </w:pPr>
            <w:r>
              <w:rPr>
                <w:rFonts w:ascii="Arial" w:cs="Arial" w:eastAsia="Arial" w:hAnsi="Arial"/>
                <w:sz w:val="18"/>
                <w:szCs w:val="18"/>
                <w:color w:val="auto"/>
              </w:rPr>
              <w:t>Operating expenses</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113"/>
              <w:spacing w:after="0"/>
              <w:rPr>
                <w:sz w:val="20"/>
                <w:szCs w:val="20"/>
                <w:color w:val="auto"/>
              </w:rPr>
            </w:pPr>
            <w:r>
              <w:rPr>
                <w:rFonts w:ascii="Arial" w:cs="Arial" w:eastAsia="Arial" w:hAnsi="Arial"/>
                <w:sz w:val="18"/>
                <w:szCs w:val="18"/>
                <w:color w:val="auto"/>
                <w:w w:val="88"/>
              </w:rPr>
              <w:t>1,725</w:t>
            </w: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252"/>
              <w:spacing w:after="0"/>
              <w:rPr>
                <w:sz w:val="20"/>
                <w:szCs w:val="20"/>
                <w:color w:val="auto"/>
              </w:rPr>
            </w:pPr>
            <w:r>
              <w:rPr>
                <w:rFonts w:ascii="Arial" w:cs="Arial" w:eastAsia="Arial" w:hAnsi="Arial"/>
                <w:sz w:val="18"/>
                <w:szCs w:val="18"/>
                <w:color w:val="auto"/>
                <w:w w:val="84"/>
              </w:rPr>
              <w:t>2,092</w:t>
            </w:r>
          </w:p>
        </w:tc>
      </w:tr>
      <w:tr>
        <w:trPr>
          <w:trHeight w:val="216"/>
        </w:trPr>
        <w:tc>
          <w:tcPr>
            <w:tcW w:w="8700" w:type="dxa"/>
            <w:vAlign w:val="bottom"/>
            <w:shd w:val="clear" w:color="auto" w:fill="CCEEFF"/>
          </w:tcPr>
          <w:p>
            <w:pPr>
              <w:ind w:left="220"/>
              <w:spacing w:after="0"/>
              <w:rPr>
                <w:sz w:val="20"/>
                <w:szCs w:val="20"/>
                <w:color w:val="auto"/>
              </w:rPr>
            </w:pPr>
            <w:r>
              <w:rPr>
                <w:rFonts w:ascii="Arial" w:cs="Arial" w:eastAsia="Arial" w:hAnsi="Arial"/>
                <w:sz w:val="18"/>
                <w:szCs w:val="18"/>
                <w:b w:val="1"/>
                <w:bCs w:val="1"/>
                <w:color w:val="auto"/>
              </w:rPr>
              <w:t>Operating Expenses as a percent of Revenues</w:t>
            </w:r>
          </w:p>
        </w:tc>
        <w:tc>
          <w:tcPr>
            <w:tcW w:w="3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61.4%</w:t>
            </w: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72"/>
              <w:spacing w:after="0"/>
              <w:rPr>
                <w:sz w:val="20"/>
                <w:szCs w:val="20"/>
                <w:color w:val="auto"/>
              </w:rPr>
            </w:pPr>
            <w:r>
              <w:rPr>
                <w:rFonts w:ascii="Arial" w:cs="Arial" w:eastAsia="Arial" w:hAnsi="Arial"/>
                <w:sz w:val="18"/>
                <w:szCs w:val="18"/>
                <w:b w:val="1"/>
                <w:bCs w:val="1"/>
                <w:color w:val="auto"/>
              </w:rPr>
              <w:t>64.1%</w:t>
            </w:r>
          </w:p>
        </w:tc>
      </w:tr>
      <w:tr>
        <w:trPr>
          <w:trHeight w:val="432"/>
        </w:trPr>
        <w:tc>
          <w:tcPr>
            <w:tcW w:w="8700" w:type="dxa"/>
            <w:vAlign w:val="bottom"/>
          </w:tcPr>
          <w:p>
            <w:pPr>
              <w:ind w:left="220"/>
              <w:spacing w:after="0"/>
              <w:rPr>
                <w:sz w:val="20"/>
                <w:szCs w:val="20"/>
                <w:color w:val="auto"/>
              </w:rPr>
            </w:pPr>
            <w:r>
              <w:rPr>
                <w:rFonts w:ascii="Arial" w:cs="Arial" w:eastAsia="Arial" w:hAnsi="Arial"/>
                <w:sz w:val="18"/>
                <w:szCs w:val="18"/>
                <w:b w:val="1"/>
                <w:bCs w:val="1"/>
                <w:color w:val="auto"/>
              </w:rPr>
              <w:t>Less period-over-period decreases in Commodity and Fuel:</w:t>
            </w:r>
          </w:p>
        </w:tc>
        <w:tc>
          <w:tcPr>
            <w:tcW w:w="3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216"/>
        </w:trPr>
        <w:tc>
          <w:tcPr>
            <w:tcW w:w="8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Operating Revenues</w:t>
            </w:r>
          </w:p>
        </w:tc>
        <w:tc>
          <w:tcPr>
            <w:tcW w:w="3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r>
      <w:tr>
        <w:trPr>
          <w:trHeight w:val="216"/>
        </w:trPr>
        <w:tc>
          <w:tcPr>
            <w:tcW w:w="8700" w:type="dxa"/>
            <w:vAlign w:val="bottom"/>
          </w:tcPr>
          <w:p>
            <w:pPr>
              <w:ind w:left="620"/>
              <w:spacing w:after="0"/>
              <w:rPr>
                <w:sz w:val="20"/>
                <w:szCs w:val="20"/>
                <w:color w:val="auto"/>
              </w:rPr>
            </w:pPr>
            <w:r>
              <w:rPr>
                <w:rFonts w:ascii="Arial" w:cs="Arial" w:eastAsia="Arial" w:hAnsi="Arial"/>
                <w:sz w:val="18"/>
                <w:szCs w:val="18"/>
                <w:color w:val="auto"/>
              </w:rPr>
              <w:t>Commodity</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53"/>
              <w:spacing w:after="0"/>
              <w:rPr>
                <w:sz w:val="20"/>
                <w:szCs w:val="20"/>
                <w:color w:val="auto"/>
              </w:rPr>
            </w:pPr>
            <w:r>
              <w:rPr>
                <w:rFonts w:ascii="Arial" w:cs="Arial" w:eastAsia="Arial" w:hAnsi="Arial"/>
                <w:sz w:val="18"/>
                <w:szCs w:val="18"/>
                <w:color w:val="auto"/>
              </w:rPr>
              <w:t>(197)</w:t>
            </w: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252"/>
              <w:spacing w:after="0"/>
              <w:rPr>
                <w:sz w:val="20"/>
                <w:szCs w:val="20"/>
                <w:color w:val="auto"/>
              </w:rPr>
            </w:pPr>
            <w:r>
              <w:rPr>
                <w:rFonts w:ascii="Arial" w:cs="Arial" w:eastAsia="Arial" w:hAnsi="Arial"/>
                <w:sz w:val="18"/>
                <w:szCs w:val="18"/>
                <w:color w:val="auto"/>
              </w:rPr>
              <w:t>—</w:t>
            </w:r>
          </w:p>
        </w:tc>
      </w:tr>
      <w:tr>
        <w:trPr>
          <w:trHeight w:val="216"/>
        </w:trPr>
        <w:tc>
          <w:tcPr>
            <w:tcW w:w="8700" w:type="dxa"/>
            <w:vAlign w:val="bottom"/>
            <w:shd w:val="clear" w:color="auto" w:fill="CCEEFF"/>
          </w:tcPr>
          <w:p>
            <w:pPr>
              <w:ind w:left="620"/>
              <w:spacing w:after="0"/>
              <w:rPr>
                <w:sz w:val="20"/>
                <w:szCs w:val="20"/>
                <w:color w:val="auto"/>
              </w:rPr>
            </w:pPr>
            <w:r>
              <w:rPr>
                <w:rFonts w:ascii="Arial" w:cs="Arial" w:eastAsia="Arial" w:hAnsi="Arial"/>
                <w:sz w:val="18"/>
                <w:szCs w:val="18"/>
                <w:color w:val="auto"/>
              </w:rPr>
              <w:t>Fuel</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(46)</w:t>
            </w:r>
          </w:p>
        </w:tc>
        <w:tc>
          <w:tcPr>
            <w:tcW w:w="10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rPr>
              <w:t>—</w:t>
            </w:r>
          </w:p>
        </w:tc>
      </w:tr>
      <w:tr>
        <w:trPr>
          <w:trHeight w:val="432"/>
        </w:trPr>
        <w:tc>
          <w:tcPr>
            <w:tcW w:w="8700" w:type="dxa"/>
            <w:vAlign w:val="bottom"/>
          </w:tcPr>
          <w:p>
            <w:pPr>
              <w:ind w:left="420"/>
              <w:spacing w:after="0"/>
              <w:rPr>
                <w:sz w:val="20"/>
                <w:szCs w:val="20"/>
                <w:color w:val="auto"/>
              </w:rPr>
            </w:pPr>
            <w:r>
              <w:rPr>
                <w:rFonts w:ascii="Arial" w:cs="Arial" w:eastAsia="Arial" w:hAnsi="Arial"/>
                <w:sz w:val="18"/>
                <w:szCs w:val="18"/>
                <w:color w:val="auto"/>
              </w:rPr>
              <w:t>Operating Expense</w:t>
            </w:r>
          </w:p>
        </w:tc>
        <w:tc>
          <w:tcPr>
            <w:tcW w:w="3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216"/>
        </w:trPr>
        <w:tc>
          <w:tcPr>
            <w:tcW w:w="8700" w:type="dxa"/>
            <w:vAlign w:val="bottom"/>
            <w:shd w:val="clear" w:color="auto" w:fill="CCEEFF"/>
          </w:tcPr>
          <w:p>
            <w:pPr>
              <w:ind w:left="620"/>
              <w:spacing w:after="0"/>
              <w:rPr>
                <w:sz w:val="20"/>
                <w:szCs w:val="20"/>
                <w:color w:val="auto"/>
              </w:rPr>
            </w:pPr>
            <w:r>
              <w:rPr>
                <w:rFonts w:ascii="Arial" w:cs="Arial" w:eastAsia="Arial" w:hAnsi="Arial"/>
                <w:sz w:val="18"/>
                <w:szCs w:val="18"/>
                <w:color w:val="auto"/>
              </w:rPr>
              <w:t>Commodity</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(127)</w:t>
            </w:r>
          </w:p>
        </w:tc>
        <w:tc>
          <w:tcPr>
            <w:tcW w:w="10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rPr>
              <w:t>—</w:t>
            </w:r>
          </w:p>
        </w:tc>
      </w:tr>
      <w:tr>
        <w:trPr>
          <w:trHeight w:val="230"/>
        </w:trPr>
        <w:tc>
          <w:tcPr>
            <w:tcW w:w="8700" w:type="dxa"/>
            <w:vAlign w:val="bottom"/>
          </w:tcPr>
          <w:p>
            <w:pPr>
              <w:ind w:left="620"/>
              <w:spacing w:after="0"/>
              <w:rPr>
                <w:sz w:val="20"/>
                <w:szCs w:val="20"/>
                <w:color w:val="auto"/>
              </w:rPr>
            </w:pPr>
            <w:r>
              <w:rPr>
                <w:rFonts w:ascii="Arial" w:cs="Arial" w:eastAsia="Arial" w:hAnsi="Arial"/>
                <w:sz w:val="18"/>
                <w:szCs w:val="18"/>
                <w:color w:val="auto"/>
              </w:rPr>
              <w:t>Fuel</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53"/>
              <w:spacing w:after="0"/>
              <w:rPr>
                <w:sz w:val="20"/>
                <w:szCs w:val="20"/>
                <w:color w:val="auto"/>
              </w:rPr>
            </w:pPr>
            <w:r>
              <w:rPr>
                <w:rFonts w:ascii="Arial" w:cs="Arial" w:eastAsia="Arial" w:hAnsi="Arial"/>
                <w:sz w:val="18"/>
                <w:szCs w:val="18"/>
                <w:color w:val="auto"/>
              </w:rPr>
              <w:t>(63)</w:t>
            </w: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252"/>
              <w:spacing w:after="0"/>
              <w:rPr>
                <w:sz w:val="20"/>
                <w:szCs w:val="20"/>
                <w:color w:val="auto"/>
              </w:rPr>
            </w:pPr>
            <w:r>
              <w:rPr>
                <w:rFonts w:ascii="Arial" w:cs="Arial" w:eastAsia="Arial" w:hAnsi="Arial"/>
                <w:sz w:val="18"/>
                <w:szCs w:val="18"/>
                <w:color w:val="auto"/>
              </w:rPr>
              <w:t>—</w:t>
            </w:r>
          </w:p>
        </w:tc>
      </w:tr>
      <w:tr>
        <w:trPr>
          <w:trHeight w:val="202"/>
        </w:trPr>
        <w:tc>
          <w:tcPr>
            <w:tcW w:w="87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16"/>
        </w:trPr>
        <w:tc>
          <w:tcPr>
            <w:tcW w:w="8700" w:type="dxa"/>
            <w:vAlign w:val="bottom"/>
            <w:shd w:val="clear" w:color="auto" w:fill="CCEEFF"/>
          </w:tcPr>
          <w:p>
            <w:pPr>
              <w:ind w:left="220"/>
              <w:spacing w:after="0"/>
              <w:rPr>
                <w:sz w:val="20"/>
                <w:szCs w:val="20"/>
                <w:color w:val="auto"/>
              </w:rPr>
            </w:pPr>
            <w:r>
              <w:rPr>
                <w:rFonts w:ascii="Arial" w:cs="Arial" w:eastAsia="Arial" w:hAnsi="Arial"/>
                <w:sz w:val="18"/>
                <w:szCs w:val="18"/>
                <w:b w:val="1"/>
                <w:bCs w:val="1"/>
                <w:color w:val="auto"/>
              </w:rPr>
              <w:t>As adjusted:</w:t>
            </w:r>
          </w:p>
        </w:tc>
        <w:tc>
          <w:tcPr>
            <w:tcW w:w="3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r>
      <w:tr>
        <w:trPr>
          <w:trHeight w:val="216"/>
        </w:trPr>
        <w:tc>
          <w:tcPr>
            <w:tcW w:w="8700" w:type="dxa"/>
            <w:vAlign w:val="bottom"/>
          </w:tcPr>
          <w:p>
            <w:pPr>
              <w:ind w:left="420"/>
              <w:spacing w:after="0"/>
              <w:rPr>
                <w:sz w:val="20"/>
                <w:szCs w:val="20"/>
                <w:color w:val="auto"/>
              </w:rPr>
            </w:pPr>
            <w:r>
              <w:rPr>
                <w:rFonts w:ascii="Arial" w:cs="Arial" w:eastAsia="Arial" w:hAnsi="Arial"/>
                <w:sz w:val="18"/>
                <w:szCs w:val="18"/>
                <w:color w:val="auto"/>
              </w:rPr>
              <w:t>Operating revenues</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113"/>
              <w:spacing w:after="0"/>
              <w:rPr>
                <w:sz w:val="20"/>
                <w:szCs w:val="20"/>
                <w:color w:val="auto"/>
              </w:rPr>
            </w:pPr>
            <w:r>
              <w:rPr>
                <w:rFonts w:ascii="Arial" w:cs="Arial" w:eastAsia="Arial" w:hAnsi="Arial"/>
                <w:sz w:val="18"/>
                <w:szCs w:val="18"/>
                <w:color w:val="auto"/>
                <w:w w:val="88"/>
              </w:rPr>
              <w:t>3,053</w:t>
            </w: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252"/>
              <w:spacing w:after="0"/>
              <w:rPr>
                <w:sz w:val="20"/>
                <w:szCs w:val="20"/>
                <w:color w:val="auto"/>
              </w:rPr>
            </w:pPr>
            <w:r>
              <w:rPr>
                <w:rFonts w:ascii="Arial" w:cs="Arial" w:eastAsia="Arial" w:hAnsi="Arial"/>
                <w:sz w:val="18"/>
                <w:szCs w:val="18"/>
                <w:color w:val="auto"/>
                <w:w w:val="84"/>
              </w:rPr>
              <w:t>3,266</w:t>
            </w:r>
          </w:p>
        </w:tc>
      </w:tr>
      <w:tr>
        <w:trPr>
          <w:trHeight w:val="216"/>
        </w:trPr>
        <w:tc>
          <w:tcPr>
            <w:tcW w:w="8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Operating expenses</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w w:val="88"/>
              </w:rPr>
              <w:t>1,915</w:t>
            </w:r>
          </w:p>
        </w:tc>
        <w:tc>
          <w:tcPr>
            <w:tcW w:w="10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w w:val="84"/>
              </w:rPr>
              <w:t>2,092</w:t>
            </w:r>
          </w:p>
        </w:tc>
      </w:tr>
      <w:tr>
        <w:trPr>
          <w:trHeight w:val="432"/>
        </w:trPr>
        <w:tc>
          <w:tcPr>
            <w:tcW w:w="8700" w:type="dxa"/>
            <w:vAlign w:val="bottom"/>
          </w:tcPr>
          <w:p>
            <w:pPr>
              <w:spacing w:after="0"/>
              <w:rPr>
                <w:sz w:val="20"/>
                <w:szCs w:val="20"/>
                <w:color w:val="auto"/>
              </w:rPr>
            </w:pPr>
            <w:r>
              <w:rPr>
                <w:rFonts w:ascii="Arial" w:cs="Arial" w:eastAsia="Arial" w:hAnsi="Arial"/>
                <w:sz w:val="18"/>
                <w:szCs w:val="18"/>
                <w:b w:val="1"/>
                <w:bCs w:val="1"/>
                <w:color w:val="auto"/>
              </w:rPr>
              <w:t>As adjusted Operating Expenses as a percent of Revenues</w:t>
            </w:r>
          </w:p>
        </w:tc>
        <w:tc>
          <w:tcPr>
            <w:tcW w:w="32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rPr>
              <w:t>62.7%</w:t>
            </w: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40" w:type="dxa"/>
            <w:vAlign w:val="bottom"/>
          </w:tcPr>
          <w:p>
            <w:pPr>
              <w:jc w:val="right"/>
              <w:ind w:right="72"/>
              <w:spacing w:after="0"/>
              <w:rPr>
                <w:sz w:val="20"/>
                <w:szCs w:val="20"/>
                <w:color w:val="auto"/>
              </w:rPr>
            </w:pPr>
            <w:r>
              <w:rPr>
                <w:rFonts w:ascii="Arial" w:cs="Arial" w:eastAsia="Arial" w:hAnsi="Arial"/>
                <w:sz w:val="18"/>
                <w:szCs w:val="18"/>
                <w:b w:val="1"/>
                <w:bCs w:val="1"/>
                <w:color w:val="auto"/>
              </w:rPr>
              <w:t>64.1%</w:t>
            </w:r>
          </w:p>
        </w:tc>
      </w:tr>
    </w:tbl>
    <w:p>
      <w:pPr>
        <w:spacing w:after="0" w:line="94" w:lineRule="exact"/>
        <w:rPr>
          <w:sz w:val="20"/>
          <w:szCs w:val="20"/>
          <w:color w:val="auto"/>
        </w:rPr>
      </w:pPr>
    </w:p>
    <w:p>
      <w:pPr>
        <w:ind w:firstLine="222"/>
        <w:spacing w:after="0" w:line="293" w:lineRule="auto"/>
        <w:rPr>
          <w:sz w:val="20"/>
          <w:szCs w:val="20"/>
          <w:color w:val="auto"/>
        </w:rPr>
      </w:pPr>
      <w:r>
        <w:rPr>
          <w:rFonts w:ascii="Arial" w:cs="Arial" w:eastAsia="Arial" w:hAnsi="Arial"/>
          <w:sz w:val="16"/>
          <w:szCs w:val="16"/>
          <w:color w:val="auto"/>
        </w:rPr>
        <w:t>The Company discusses its free cash flow because it believes that investors are interested in management’s expectations about the cash it believes the Company will generate from non-financing activities that is available for uses such as acquisitions, share repurchases, scheduled debt reduction and the payment of dividends. The Company defines free cash flow as: (i) net cash provided by operating activities; (ii) less, capital expenditures; (iii) plus, proceeds from divestitures of businesses, net of cash divested, and other sales of assets. The Company’s definition of free cash flow may not be comparable to similarly titled measures presented by other companies, and therefore not subject to comparison. The tables below show the reconciliations of free cash flow to net cash generated by operating activities for the first quarter of 2009 the projection for the full-year 2009 (dollars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368935</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43" w:right="2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6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60" w:type="dxa"/>
            <w:vAlign w:val="bottom"/>
            <w:gridSpan w:val="5"/>
          </w:tcPr>
          <w:p>
            <w:pPr>
              <w:ind w:left="40"/>
              <w:spacing w:after="0"/>
              <w:rPr>
                <w:sz w:val="20"/>
                <w:szCs w:val="20"/>
                <w:color w:val="auto"/>
              </w:rPr>
            </w:pPr>
            <w:r>
              <w:rPr>
                <w:rFonts w:ascii="Arial" w:cs="Arial" w:eastAsia="Arial" w:hAnsi="Arial"/>
                <w:sz w:val="14"/>
                <w:szCs w:val="14"/>
                <w:b w:val="1"/>
                <w:bCs w:val="1"/>
                <w:color w:val="auto"/>
              </w:rPr>
              <w:t>Three Months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6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60" w:type="dxa"/>
            <w:vAlign w:val="bottom"/>
            <w:gridSpan w:val="5"/>
          </w:tcPr>
          <w:p>
            <w:pPr>
              <w:spacing w:after="0"/>
              <w:rPr>
                <w:sz w:val="20"/>
                <w:szCs w:val="20"/>
                <w:color w:val="auto"/>
              </w:rPr>
            </w:pPr>
            <w:r>
              <w:rPr>
                <w:rFonts w:ascii="Arial" w:cs="Arial" w:eastAsia="Arial" w:hAnsi="Arial"/>
                <w:sz w:val="14"/>
                <w:szCs w:val="14"/>
                <w:b w:val="1"/>
                <w:bCs w:val="1"/>
                <w:color w:val="auto"/>
              </w:rPr>
              <w:t>March 31, 2009</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6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gridSpan w:val="3"/>
          </w:tcPr>
          <w:p>
            <w:pPr>
              <w:jc w:val="right"/>
              <w:ind w:right="10"/>
              <w:spacing w:after="0" w:line="142" w:lineRule="exact"/>
              <w:rPr>
                <w:sz w:val="20"/>
                <w:szCs w:val="20"/>
                <w:color w:val="auto"/>
              </w:rPr>
            </w:pPr>
            <w:r>
              <w:rPr>
                <w:rFonts w:ascii="Arial" w:cs="Arial" w:eastAsia="Arial" w:hAnsi="Arial"/>
                <w:sz w:val="14"/>
                <w:szCs w:val="14"/>
                <w:b w:val="1"/>
                <w:bCs w:val="1"/>
                <w:color w:val="auto"/>
                <w:w w:val="95"/>
              </w:rPr>
              <w:t>(Unaudited)</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ind w:left="940"/>
              <w:spacing w:after="0"/>
              <w:rPr>
                <w:sz w:val="20"/>
                <w:szCs w:val="20"/>
                <w:color w:val="auto"/>
              </w:rPr>
            </w:pPr>
            <w:r>
              <w:rPr>
                <w:rFonts w:ascii="Arial" w:cs="Arial" w:eastAsia="Arial" w:hAnsi="Arial"/>
                <w:sz w:val="18"/>
                <w:szCs w:val="18"/>
                <w:color w:val="auto"/>
                <w:w w:val="79"/>
              </w:rPr>
              <w: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Capital expenditures</w:t>
            </w: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(325)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Proceeds from divestitures of businesses (net of cash divested) and other sales of assets</w:t>
            </w: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23"/>
        </w:trPr>
        <w:tc>
          <w:tcPr>
            <w:tcW w:w="8700" w:type="dxa"/>
            <w:vAlign w:val="bottom"/>
            <w:gridSpan w:val="2"/>
          </w:tcPr>
          <w:p>
            <w:pPr>
              <w:spacing w:after="0"/>
              <w:rPr>
                <w:sz w:val="20"/>
                <w:szCs w:val="20"/>
                <w:color w:val="auto"/>
              </w:rPr>
            </w:pPr>
            <w:r>
              <w:rPr>
                <w:rFonts w:ascii="Arial" w:cs="Arial" w:eastAsia="Arial" w:hAnsi="Arial"/>
                <w:sz w:val="18"/>
                <w:szCs w:val="18"/>
                <w:color w:val="auto"/>
              </w:rPr>
              <w:t>Free cash flow</w:t>
            </w:r>
          </w:p>
        </w:tc>
        <w:tc>
          <w:tcPr>
            <w:tcW w:w="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180" w:type="dxa"/>
            <w:vAlign w:val="bottom"/>
            <w:tcBorders>
              <w:top w:val="single" w:sz="8" w:color="auto"/>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Borders>
              <w:bottom w:val="single" w:sz="8" w:color="auto"/>
            </w:tcBorders>
            <w:gridSpan w:val="2"/>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6"/>
        </w:trPr>
        <w:tc>
          <w:tcPr>
            <w:tcW w:w="20" w:type="dxa"/>
            <w:vAlign w:val="bottom"/>
          </w:tcPr>
          <w:p>
            <w:pPr>
              <w:spacing w:after="0"/>
              <w:rPr>
                <w:sz w:val="24"/>
                <w:szCs w:val="24"/>
                <w:color w:val="auto"/>
              </w:rPr>
            </w:pPr>
          </w:p>
        </w:tc>
        <w:tc>
          <w:tcPr>
            <w:tcW w:w="86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60" w:type="dxa"/>
            <w:vAlign w:val="bottom"/>
            <w:gridSpan w:val="5"/>
          </w:tcPr>
          <w:p>
            <w:pPr>
              <w:ind w:left="500"/>
              <w:spacing w:after="0"/>
              <w:rPr>
                <w:sz w:val="20"/>
                <w:szCs w:val="20"/>
                <w:color w:val="auto"/>
              </w:rPr>
            </w:pPr>
            <w:r>
              <w:rPr>
                <w:rFonts w:ascii="Arial" w:cs="Arial" w:eastAsia="Arial" w:hAnsi="Arial"/>
                <w:sz w:val="14"/>
                <w:szCs w:val="14"/>
                <w:b w:val="1"/>
                <w:bCs w:val="1"/>
                <w:color w:val="auto"/>
              </w:rPr>
              <w:t>(Unaudited)</w:t>
            </w: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870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Full Year 2009 Free Cash Flow Reconciliation (a)</w:t>
            </w:r>
          </w:p>
        </w:tc>
        <w:tc>
          <w:tcPr>
            <w:tcW w:w="580" w:type="dxa"/>
            <w:vAlign w:val="bottom"/>
          </w:tcPr>
          <w:p>
            <w:pPr>
              <w:spacing w:after="0"/>
              <w:rPr>
                <w:sz w:val="14"/>
                <w:szCs w:val="14"/>
                <w:color w:val="auto"/>
              </w:rPr>
            </w:pPr>
          </w:p>
        </w:tc>
        <w:tc>
          <w:tcPr>
            <w:tcW w:w="1180" w:type="dxa"/>
            <w:vAlign w:val="bottom"/>
            <w:gridSpan w:val="4"/>
          </w:tcPr>
          <w:p>
            <w:pPr>
              <w:ind w:left="20"/>
              <w:spacing w:after="0"/>
              <w:rPr>
                <w:sz w:val="20"/>
                <w:szCs w:val="20"/>
                <w:color w:val="auto"/>
              </w:rPr>
            </w:pPr>
            <w:r>
              <w:rPr>
                <w:rFonts w:ascii="Arial" w:cs="Arial" w:eastAsia="Arial" w:hAnsi="Arial"/>
                <w:sz w:val="14"/>
                <w:szCs w:val="14"/>
                <w:b w:val="1"/>
                <w:bCs w:val="1"/>
                <w:color w:val="auto"/>
              </w:rPr>
              <w:t>Scenario 1</w:t>
            </w:r>
          </w:p>
        </w:tc>
        <w:tc>
          <w:tcPr>
            <w:tcW w:w="180" w:type="dxa"/>
            <w:vAlign w:val="bottom"/>
          </w:tcPr>
          <w:p>
            <w:pPr>
              <w:spacing w:after="0"/>
              <w:rPr>
                <w:sz w:val="14"/>
                <w:szCs w:val="14"/>
                <w:color w:val="auto"/>
              </w:rPr>
            </w:pPr>
          </w:p>
        </w:tc>
        <w:tc>
          <w:tcPr>
            <w:tcW w:w="780" w:type="dxa"/>
            <w:vAlign w:val="bottom"/>
            <w:gridSpan w:val="3"/>
          </w:tcPr>
          <w:p>
            <w:pPr>
              <w:ind w:left="20"/>
              <w:spacing w:after="0"/>
              <w:rPr>
                <w:sz w:val="20"/>
                <w:szCs w:val="20"/>
                <w:color w:val="auto"/>
              </w:rPr>
            </w:pPr>
            <w:r>
              <w:rPr>
                <w:rFonts w:ascii="Arial" w:cs="Arial" w:eastAsia="Arial" w:hAnsi="Arial"/>
                <w:sz w:val="14"/>
                <w:szCs w:val="14"/>
                <w:b w:val="1"/>
                <w:bCs w:val="1"/>
                <w:color w:val="auto"/>
              </w:rPr>
              <w:t>Scenario 2</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68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2,310</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Capital expenditures</w:t>
            </w: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(1,100)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(1,200)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Proceeds from divestitures of businesses (net of cash divested) and other sales of assets</w:t>
            </w:r>
          </w:p>
        </w:tc>
        <w:tc>
          <w:tcPr>
            <w:tcW w:w="5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8680" w:type="dxa"/>
            <w:vAlign w:val="bottom"/>
          </w:tcPr>
          <w:p>
            <w:pPr>
              <w:ind w:left="200"/>
              <w:spacing w:after="0"/>
              <w:rPr>
                <w:sz w:val="20"/>
                <w:szCs w:val="20"/>
                <w:color w:val="auto"/>
              </w:rPr>
            </w:pPr>
            <w:r>
              <w:rPr>
                <w:rFonts w:ascii="Arial" w:cs="Arial" w:eastAsia="Arial" w:hAnsi="Arial"/>
                <w:sz w:val="18"/>
                <w:szCs w:val="18"/>
                <w:b w:val="1"/>
                <w:bCs w:val="1"/>
                <w:color w:val="auto"/>
              </w:rPr>
              <w:t>Projected 2009 Free cash flow</w:t>
            </w:r>
          </w:p>
        </w:tc>
        <w:tc>
          <w:tcPr>
            <w:tcW w:w="72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540" w:type="dxa"/>
            <w:vAlign w:val="bottom"/>
          </w:tcPr>
          <w:p>
            <w:pPr>
              <w:jc w:val="right"/>
              <w:spacing w:after="0"/>
              <w:rPr>
                <w:sz w:val="20"/>
                <w:szCs w:val="20"/>
                <w:color w:val="auto"/>
              </w:rPr>
            </w:pPr>
            <w:r>
              <w:rPr>
                <w:rFonts w:ascii="Arial" w:cs="Arial" w:eastAsia="Arial" w:hAnsi="Arial"/>
                <w:sz w:val="18"/>
                <w:szCs w:val="18"/>
                <w:b w:val="1"/>
                <w:bCs w:val="1"/>
                <w:color w:val="auto"/>
              </w:rPr>
              <w:t>1,300</w:t>
            </w: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gridSpan w:val="2"/>
          </w:tcPr>
          <w:p>
            <w:pPr>
              <w:ind w:left="180"/>
              <w:spacing w:after="0"/>
              <w:rPr>
                <w:sz w:val="20"/>
                <w:szCs w:val="20"/>
                <w:color w:val="auto"/>
              </w:rPr>
            </w:pPr>
            <w:r>
              <w:rPr>
                <w:rFonts w:ascii="Arial" w:cs="Arial" w:eastAsia="Arial" w:hAnsi="Arial"/>
                <w:sz w:val="18"/>
                <w:szCs w:val="18"/>
                <w:b w:val="1"/>
                <w:bCs w:val="1"/>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1,400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0365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57" w:lineRule="exact"/>
        <w:rPr>
          <w:sz w:val="20"/>
          <w:szCs w:val="20"/>
          <w:color w:val="auto"/>
        </w:rPr>
      </w:pPr>
    </w:p>
    <w:p>
      <w:pPr>
        <w:ind w:left="460" w:right="300" w:hanging="452"/>
        <w:spacing w:after="0" w:line="308" w:lineRule="auto"/>
        <w:tabs>
          <w:tab w:leader="none" w:pos="460" w:val="left"/>
        </w:tabs>
        <w:numPr>
          <w:ilvl w:val="0"/>
          <w:numId w:val="1"/>
        </w:numPr>
        <w:rPr>
          <w:rFonts w:ascii="Arial" w:cs="Arial" w:eastAsia="Arial" w:hAnsi="Arial"/>
          <w:sz w:val="17"/>
          <w:szCs w:val="17"/>
          <w:color w:val="auto"/>
        </w:rPr>
      </w:pPr>
      <w:r>
        <w:rPr>
          <w:rFonts w:ascii="Arial" w:cs="Arial" w:eastAsia="Arial" w:hAnsi="Arial"/>
          <w:sz w:val="17"/>
          <w:szCs w:val="17"/>
          <w:color w:val="auto"/>
        </w:rPr>
        <w:t>The reconciliation illustrates two scenarios that show our projected free cash flow range. The amounts used in the reconciliation are subject to many variables, some of which are not in our control and therefore are not necessarily indicative of what actual results will be.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121" w:lineRule="exact"/>
        <w:rPr>
          <w:sz w:val="20"/>
          <w:szCs w:val="20"/>
          <w:color w:val="auto"/>
        </w:rPr>
      </w:pPr>
    </w:p>
    <w:p>
      <w:pPr>
        <w:ind w:left="260" w:hanging="252"/>
        <w:spacing w:after="0"/>
        <w:tabs>
          <w:tab w:leader="none" w:pos="26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117" w:lineRule="exact"/>
        <w:rPr>
          <w:rFonts w:ascii="Arial" w:cs="Arial" w:eastAsia="Arial" w:hAnsi="Arial"/>
          <w:sz w:val="18"/>
          <w:szCs w:val="18"/>
          <w:color w:val="auto"/>
        </w:rPr>
      </w:pPr>
    </w:p>
    <w:p>
      <w:pPr>
        <w:ind w:left="240"/>
        <w:spacing w:after="0"/>
        <w:rPr>
          <w:rFonts w:ascii="Arial" w:cs="Arial" w:eastAsia="Arial" w:hAnsi="Arial"/>
          <w:sz w:val="18"/>
          <w:szCs w:val="18"/>
          <w:color w:val="auto"/>
        </w:rPr>
      </w:pPr>
      <w:r>
        <w:rPr>
          <w:rFonts w:ascii="Arial" w:cs="Arial" w:eastAsia="Arial" w:hAnsi="Arial"/>
          <w:sz w:val="18"/>
          <w:szCs w:val="18"/>
          <w:color w:val="auto"/>
        </w:rPr>
        <w:t>Exhibit 99.1: Press Release dated April 29,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398780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31"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ind w:right="300" w:firstLine="22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caused this report to be signed on its behalf by the undersigned, 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20" w:type="dxa"/>
            <w:vAlign w:val="bottom"/>
          </w:tcPr>
          <w:p>
            <w:pPr>
              <w:spacing w:after="0"/>
              <w:rPr>
                <w:sz w:val="20"/>
                <w:szCs w:val="20"/>
                <w:color w:val="auto"/>
              </w:rPr>
            </w:pPr>
          </w:p>
        </w:tc>
        <w:tc>
          <w:tcPr>
            <w:tcW w:w="6320" w:type="dxa"/>
            <w:vAlign w:val="bottom"/>
            <w:gridSpan w:val="2"/>
          </w:tcPr>
          <w:p>
            <w:pPr>
              <w:ind w:left="1940"/>
              <w:spacing w:after="0"/>
              <w:rPr>
                <w:sz w:val="20"/>
                <w:szCs w:val="20"/>
                <w:color w:val="auto"/>
              </w:rPr>
            </w:pPr>
            <w:r>
              <w:rPr>
                <w:rFonts w:ascii="Arial" w:cs="Arial" w:eastAsia="Arial" w:hAnsi="Arial"/>
                <w:sz w:val="18"/>
                <w:szCs w:val="18"/>
                <w:color w:val="auto"/>
              </w:rPr>
              <w:t>WASTE MANAGEMENT, INC.</w:t>
            </w:r>
          </w:p>
        </w:tc>
        <w:tc>
          <w:tcPr>
            <w:tcW w:w="1680" w:type="dxa"/>
            <w:vAlign w:val="bottom"/>
          </w:tcPr>
          <w:p>
            <w:pPr>
              <w:spacing w:after="0"/>
              <w:rPr>
                <w:sz w:val="20"/>
                <w:szCs w:val="20"/>
                <w:color w:val="auto"/>
              </w:rPr>
            </w:pPr>
          </w:p>
        </w:tc>
      </w:tr>
      <w:tr>
        <w:trPr>
          <w:trHeight w:val="432"/>
        </w:trPr>
        <w:tc>
          <w:tcPr>
            <w:tcW w:w="3420" w:type="dxa"/>
            <w:vAlign w:val="bottom"/>
          </w:tcPr>
          <w:p>
            <w:pPr>
              <w:spacing w:after="0"/>
              <w:rPr>
                <w:sz w:val="20"/>
                <w:szCs w:val="20"/>
                <w:color w:val="auto"/>
              </w:rPr>
            </w:pPr>
            <w:r>
              <w:rPr>
                <w:rFonts w:ascii="Arial" w:cs="Arial" w:eastAsia="Arial" w:hAnsi="Arial"/>
                <w:sz w:val="18"/>
                <w:szCs w:val="18"/>
                <w:color w:val="auto"/>
              </w:rPr>
              <w:t>Date: April 29, 2009</w:t>
            </w:r>
          </w:p>
        </w:tc>
        <w:tc>
          <w:tcPr>
            <w:tcW w:w="6320" w:type="dxa"/>
            <w:vAlign w:val="bottom"/>
            <w:gridSpan w:val="2"/>
          </w:tcPr>
          <w:p>
            <w:pPr>
              <w:ind w:left="1940"/>
              <w:spacing w:after="0"/>
              <w:rPr>
                <w:sz w:val="20"/>
                <w:szCs w:val="20"/>
                <w:color w:val="auto"/>
              </w:rPr>
            </w:pPr>
            <w:r>
              <w:rPr>
                <w:rFonts w:ascii="Arial" w:cs="Arial" w:eastAsia="Arial" w:hAnsi="Arial"/>
                <w:sz w:val="18"/>
                <w:szCs w:val="18"/>
                <w:color w:val="auto"/>
              </w:rPr>
              <w:t>By: /s/ Rick L Wittenbraker</w:t>
            </w:r>
          </w:p>
        </w:tc>
        <w:tc>
          <w:tcPr>
            <w:tcW w:w="1680" w:type="dxa"/>
            <w:vAlign w:val="bottom"/>
          </w:tcPr>
          <w:p>
            <w:pPr>
              <w:spacing w:after="0"/>
              <w:rPr>
                <w:sz w:val="24"/>
                <w:szCs w:val="24"/>
                <w:color w:val="auto"/>
              </w:rPr>
            </w:pPr>
          </w:p>
        </w:tc>
      </w:tr>
      <w:tr>
        <w:trPr>
          <w:trHeight w:val="195"/>
        </w:trPr>
        <w:tc>
          <w:tcPr>
            <w:tcW w:w="342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40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Rick L Wittenbraker</w:t>
            </w:r>
          </w:p>
        </w:tc>
        <w:tc>
          <w:tcPr>
            <w:tcW w:w="1680" w:type="dxa"/>
            <w:vAlign w:val="bottom"/>
          </w:tcPr>
          <w:p>
            <w:pPr>
              <w:spacing w:after="0"/>
              <w:rPr>
                <w:sz w:val="16"/>
                <w:szCs w:val="16"/>
                <w:color w:val="auto"/>
              </w:rPr>
            </w:pPr>
          </w:p>
        </w:tc>
      </w:tr>
      <w:tr>
        <w:trPr>
          <w:trHeight w:val="230"/>
        </w:trPr>
        <w:tc>
          <w:tcPr>
            <w:tcW w:w="342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Senior Vice President</w:t>
            </w:r>
          </w:p>
        </w:tc>
        <w:tc>
          <w:tcPr>
            <w:tcW w:w="1680" w:type="dxa"/>
            <w:vAlign w:val="bottom"/>
          </w:tcPr>
          <w:p>
            <w:pPr>
              <w:spacing w:after="0"/>
              <w:rPr>
                <w:sz w:val="20"/>
                <w:szCs w:val="20"/>
                <w:color w:val="auto"/>
              </w:rPr>
            </w:pPr>
          </w:p>
        </w:tc>
      </w:tr>
      <w:tr>
        <w:trPr>
          <w:trHeight w:val="632"/>
        </w:trPr>
        <w:tc>
          <w:tcPr>
            <w:tcW w:w="3420" w:type="dxa"/>
            <w:vAlign w:val="bottom"/>
            <w:tcBorders>
              <w:bottom w:val="single" w:sz="8" w:color="808080"/>
            </w:tcBorders>
          </w:tcPr>
          <w:p>
            <w:pPr>
              <w:spacing w:after="0"/>
              <w:rPr>
                <w:sz w:val="24"/>
                <w:szCs w:val="24"/>
                <w:color w:val="auto"/>
              </w:rPr>
            </w:pPr>
          </w:p>
        </w:tc>
        <w:tc>
          <w:tcPr>
            <w:tcW w:w="2280" w:type="dxa"/>
            <w:vAlign w:val="bottom"/>
            <w:tcBorders>
              <w:bottom w:val="single" w:sz="8" w:color="808080"/>
            </w:tcBorders>
          </w:tcPr>
          <w:p>
            <w:pPr>
              <w:spacing w:after="0"/>
              <w:rPr>
                <w:sz w:val="24"/>
                <w:szCs w:val="24"/>
                <w:color w:val="auto"/>
              </w:rPr>
            </w:pPr>
          </w:p>
        </w:tc>
        <w:tc>
          <w:tcPr>
            <w:tcW w:w="4040" w:type="dxa"/>
            <w:vAlign w:val="bottom"/>
            <w:tcBorders>
              <w:bottom w:val="single" w:sz="8" w:color="808080"/>
            </w:tcBorders>
          </w:tcPr>
          <w:p>
            <w:pPr>
              <w:spacing w:after="0"/>
              <w:rPr>
                <w:sz w:val="24"/>
                <w:szCs w:val="24"/>
                <w:color w:val="auto"/>
              </w:rPr>
            </w:pPr>
          </w:p>
        </w:tc>
        <w:tc>
          <w:tcPr>
            <w:tcW w:w="168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u w:val="single" w:color="auto"/>
          <w:color w:val="auto"/>
        </w:rPr>
        <w:t>Exhibit Index</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160" w:type="dxa"/>
            <w:vAlign w:val="bottom"/>
          </w:tcPr>
          <w:p>
            <w:pPr>
              <w:spacing w:after="0"/>
              <w:rPr>
                <w:sz w:val="20"/>
                <w:szCs w:val="20"/>
                <w:color w:val="auto"/>
              </w:rPr>
            </w:pPr>
            <w:r>
              <w:rPr>
                <w:rFonts w:ascii="Arial" w:cs="Arial" w:eastAsia="Arial" w:hAnsi="Arial"/>
                <w:sz w:val="14"/>
                <w:szCs w:val="14"/>
                <w:b w:val="1"/>
                <w:bCs w:val="1"/>
                <w:color w:val="auto"/>
              </w:rPr>
              <w:t>Exhibit Number</w:t>
            </w:r>
          </w:p>
        </w:tc>
        <w:tc>
          <w:tcPr>
            <w:tcW w:w="10260" w:type="dxa"/>
            <w:vAlign w:val="bottom"/>
            <w:gridSpan w:val="2"/>
          </w:tcPr>
          <w:p>
            <w:pPr>
              <w:ind w:left="340"/>
              <w:spacing w:after="0"/>
              <w:rPr>
                <w:sz w:val="20"/>
                <w:szCs w:val="20"/>
                <w:color w:val="auto"/>
              </w:rPr>
            </w:pPr>
            <w:r>
              <w:rPr>
                <w:rFonts w:ascii="Arial" w:cs="Arial" w:eastAsia="Arial" w:hAnsi="Arial"/>
                <w:sz w:val="14"/>
                <w:szCs w:val="14"/>
                <w:b w:val="1"/>
                <w:bCs w:val="1"/>
                <w:color w:val="auto"/>
              </w:rPr>
              <w:t>Description</w:t>
            </w:r>
          </w:p>
        </w:tc>
      </w:tr>
      <w:tr>
        <w:trPr>
          <w:trHeight w:val="20"/>
        </w:trPr>
        <w:tc>
          <w:tcPr>
            <w:tcW w:w="11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920" w:type="dxa"/>
            <w:vAlign w:val="bottom"/>
            <w:shd w:val="clear" w:color="auto" w:fill="000000"/>
          </w:tcPr>
          <w:p>
            <w:pPr>
              <w:spacing w:after="0" w:line="20" w:lineRule="exact"/>
              <w:rPr>
                <w:sz w:val="1"/>
                <w:szCs w:val="1"/>
                <w:color w:val="auto"/>
              </w:rPr>
            </w:pPr>
          </w:p>
        </w:tc>
      </w:tr>
      <w:tr>
        <w:trPr>
          <w:trHeight w:val="426"/>
        </w:trPr>
        <w:tc>
          <w:tcPr>
            <w:tcW w:w="1160" w:type="dxa"/>
            <w:vAlign w:val="bottom"/>
          </w:tcPr>
          <w:p>
            <w:pPr>
              <w:spacing w:after="0"/>
              <w:rPr>
                <w:sz w:val="20"/>
                <w:szCs w:val="20"/>
                <w:color w:val="auto"/>
              </w:rPr>
            </w:pPr>
            <w:r>
              <w:rPr>
                <w:rFonts w:ascii="Arial" w:cs="Arial" w:eastAsia="Arial" w:hAnsi="Arial"/>
                <w:sz w:val="18"/>
                <w:szCs w:val="18"/>
                <w:color w:val="auto"/>
              </w:rPr>
              <w:t>99.1</w:t>
            </w:r>
          </w:p>
        </w:tc>
        <w:tc>
          <w:tcPr>
            <w:tcW w:w="10260" w:type="dxa"/>
            <w:vAlign w:val="bottom"/>
            <w:gridSpan w:val="2"/>
          </w:tcPr>
          <w:p>
            <w:pPr>
              <w:ind w:left="340"/>
              <w:spacing w:after="0"/>
              <w:rPr>
                <w:sz w:val="20"/>
                <w:szCs w:val="20"/>
                <w:color w:val="auto"/>
              </w:rPr>
            </w:pPr>
            <w:r>
              <w:rPr>
                <w:rFonts w:ascii="Arial" w:cs="Arial" w:eastAsia="Arial" w:hAnsi="Arial"/>
                <w:sz w:val="18"/>
                <w:szCs w:val="18"/>
                <w:color w:val="auto"/>
              </w:rPr>
              <w:t>Press Release dated April 29, 2009</w:t>
            </w:r>
          </w:p>
        </w:tc>
      </w:tr>
    </w:tbl>
    <w:p>
      <w:pPr>
        <w:sectPr>
          <w:pgSz w:w="11900" w:h="16838" w:orient="portrait"/>
          <w:cols w:equalWidth="0" w:num="1">
            <w:col w:w="11420"/>
          </w:cols>
          <w:pgMar w:left="240" w:top="1337" w:right="239" w:bottom="1440" w:gutter="0" w:footer="0" w:header="0"/>
        </w:sectPr>
      </w:pPr>
    </w:p>
    <w:bookmarkStart w:id="6" w:name="page7"/>
    <w:bookmarkEnd w:id="6"/>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2809240</wp:posOffset>
            </wp:positionH>
            <wp:positionV relativeFrom="paragraph">
              <wp:posOffset>128905</wp:posOffset>
            </wp:positionV>
            <wp:extent cx="1637665" cy="58293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637665" cy="5829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For Further Information:</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Waste Management, Inc.</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Analysts: Jim Alderson - 713.394.2281</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Media: Lynn Brown - 713.394.5093</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Web site: http://www.wm.com</w:t>
      </w:r>
    </w:p>
    <w:p>
      <w:pPr>
        <w:spacing w:after="0" w:line="20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WMI #09-06</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Waste Management Announces First Quarter 2009 Earnings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Adjusted Income from Operations Margin Expands</w:t>
      </w:r>
    </w:p>
    <w:p>
      <w:pPr>
        <w:spacing w:after="0" w:line="185"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b w:val="1"/>
          <w:bCs w:val="1"/>
          <w:color w:val="auto"/>
        </w:rPr>
        <w:t xml:space="preserve">HOUSTON — April 29, 2009 — </w:t>
      </w:r>
      <w:r>
        <w:rPr>
          <w:rFonts w:ascii="Arial" w:cs="Arial" w:eastAsia="Arial" w:hAnsi="Arial"/>
          <w:sz w:val="18"/>
          <w:szCs w:val="18"/>
          <w:color w:val="auto"/>
        </w:rPr>
        <w:t>Waste Management, Inc. (NYSE: WMI) today announced financial results for the quarter ended March 31, 2009. Net</w:t>
      </w:r>
      <w:r>
        <w:rPr>
          <w:rFonts w:ascii="Arial" w:cs="Arial" w:eastAsia="Arial" w:hAnsi="Arial"/>
          <w:sz w:val="18"/>
          <w:szCs w:val="18"/>
          <w:b w:val="1"/>
          <w:bCs w:val="1"/>
          <w:color w:val="auto"/>
        </w:rPr>
        <w:t xml:space="preserve"> </w:t>
      </w:r>
      <w:r>
        <w:rPr>
          <w:rFonts w:ascii="Arial" w:cs="Arial" w:eastAsia="Arial" w:hAnsi="Arial"/>
          <w:sz w:val="18"/>
          <w:szCs w:val="18"/>
          <w:color w:val="auto"/>
        </w:rPr>
        <w:t>income</w:t>
      </w:r>
      <w:r>
        <w:rPr>
          <w:rFonts w:ascii="Arial" w:cs="Arial" w:eastAsia="Arial" w:hAnsi="Arial"/>
          <w:sz w:val="15"/>
          <w:szCs w:val="15"/>
          <w:color w:val="auto"/>
        </w:rPr>
        <w:t>(a)</w:t>
      </w:r>
      <w:r>
        <w:rPr>
          <w:rFonts w:ascii="Arial" w:cs="Arial" w:eastAsia="Arial" w:hAnsi="Arial"/>
          <w:sz w:val="18"/>
          <w:szCs w:val="18"/>
          <w:color w:val="auto"/>
        </w:rPr>
        <w:t xml:space="preserve"> for the quarter was $155 million, or $0.31 per diluted share, compared with $241 million, or $0.48 per diluted share, for the first quarter of 2008. Revenues for the first quarter of 2009 were $2.81 billion compared with $3.27 billion for the same 2008 period. Of the $456 million decrease in revenue, only $132 million, or 4.7% of revenue, comes from operational impacts to the solid waste collection and disposal business. The balance of the decline is due to commodity impacts related to recycling materials, fuel and energy, and non-operational items including foreign currency translation and one fewer work day during the first quarter of 2009.</w:t>
      </w:r>
    </w:p>
    <w:p>
      <w:pPr>
        <w:spacing w:after="0" w:line="151"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The Company noted certain items that impacted results in the 2009 and 2008 first quarters. Excluding these items, net income would have been $0.42 per diluted share in the first quarter of 2009 compared with $0.47 per diluted share in the first quarter of 2008.</w:t>
      </w:r>
      <w:r>
        <w:rPr>
          <w:rFonts w:ascii="Arial" w:cs="Arial" w:eastAsia="Arial" w:hAnsi="Arial"/>
          <w:sz w:val="15"/>
          <w:szCs w:val="15"/>
          <w:color w:val="auto"/>
        </w:rPr>
        <w:t>(b)</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Results in the first quarter of 2009 included a decrease of $0.11 per diluted share from:</w:t>
      </w:r>
    </w:p>
    <w:p>
      <w:pPr>
        <w:spacing w:after="0" w:line="117" w:lineRule="exact"/>
        <w:rPr>
          <w:sz w:val="20"/>
          <w:szCs w:val="20"/>
          <w:color w:val="auto"/>
        </w:rPr>
      </w:pPr>
    </w:p>
    <w:p>
      <w:pPr>
        <w:ind w:left="660" w:hanging="436"/>
        <w:spacing w:after="0"/>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A $23 million reduction in net income due to charges related to the restructuring announced in February 2009; and</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A $30 million reduction in net income related to the abandonment of SAP software.</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color w:val="auto"/>
        </w:rPr>
        <w:t>Results in the first quarter of 2008 included a net $0.01 per diluted share benefit due to $6 million of net income from income tax audit settlements.</w:t>
      </w:r>
    </w:p>
    <w:p>
      <w:pPr>
        <w:spacing w:after="0" w:line="196"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David P. Steiner, Chief Executive Officer of Waste Management, commented, “I am pleased with the way we are performing during this challenging economic environment. We increased our income from operations margin on an as-adjusted basis by 70 basis points compared to the prior year period, and we generated strong cash flow.</w:t>
      </w:r>
      <w:r>
        <w:rPr>
          <w:rFonts w:ascii="Arial" w:cs="Arial" w:eastAsia="Arial" w:hAnsi="Arial"/>
          <w:sz w:val="14"/>
          <w:szCs w:val="14"/>
          <w:color w:val="auto"/>
        </w:rPr>
        <w:t>(b)</w:t>
      </w:r>
      <w:r>
        <w:rPr>
          <w:rFonts w:ascii="Arial" w:cs="Arial" w:eastAsia="Arial" w:hAnsi="Arial"/>
          <w:sz w:val="17"/>
          <w:szCs w:val="17"/>
          <w:color w:val="auto"/>
        </w:rPr>
        <w:t xml:space="preserve"> The majority of our business relates to commercial and residential sources and is generally recession resistant. Internal revenue growth from volume in our commercial and residential collection lines in the first quarter was consistent with our experience during 2008, at about negative 4% each. The fourth quarter volume declines that we saw in our more economically sensitive industrial collection, landfill, transfer &amp; recycling businesses continued into 2009. We expect volumes in these economically sensitive lines of business to remain soft in 2009 and, as a result, we continue to focus on cost and pricing discipline and driving continued efficiency throughout our organization.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377190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7" w:name="page8"/>
    <w:bookmarkEnd w:id="7"/>
    <w:p>
      <w:pPr>
        <w:ind w:right="180"/>
        <w:spacing w:after="0" w:line="259" w:lineRule="auto"/>
        <w:rPr>
          <w:sz w:val="20"/>
          <w:szCs w:val="20"/>
          <w:color w:val="auto"/>
        </w:rPr>
      </w:pPr>
      <w:r>
        <w:rPr>
          <w:rFonts w:ascii="Arial" w:cs="Arial" w:eastAsia="Arial" w:hAnsi="Arial"/>
          <w:sz w:val="18"/>
          <w:szCs w:val="18"/>
          <w:color w:val="auto"/>
        </w:rPr>
        <w:t>“As we anticipated, we saw a negative impact of $0.09 per diluted share in the first quarter of 2009, compared with the prior year period, as a result of the deterioration of the recycling commodities markets. Conditions have stabilized and prices have been trending upward from the lows reached in January. We continue to expect a negative year-over-year impact from recycling operations of $0.15 to $0.20 per diluted share for the full year 2009, most of which is expected to be in the first half of the year.”</w:t>
      </w:r>
    </w:p>
    <w:p>
      <w:pPr>
        <w:spacing w:after="0" w:line="160"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Steiner concluded, “At the beginning of February we restructured the Company to prepare ourselves for a slower economy, and these actions succeeded, saving us approximately $10 million per month in February and March. Consequently, we expect to exceed $120 million in annualized savings from our restructuring. The recession resistant qualities and strong cash flows of our solid waste business, combined with the proactive steps we are taking to strengthen our pricing programs and reduce our costs, give us confidence that we will continue to generate strong cash returns for our shareholders and emerge from this economic downturn even stronger than before. We remain confident that we will meet the 2009 goals that we announced earlier in the year.”</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Highlights for the First Quarter 2009</w:t>
      </w:r>
    </w:p>
    <w:p>
      <w:pPr>
        <w:spacing w:after="0" w:line="121" w:lineRule="exact"/>
        <w:rPr>
          <w:sz w:val="20"/>
          <w:szCs w:val="20"/>
          <w:color w:val="auto"/>
        </w:rPr>
      </w:pPr>
    </w:p>
    <w:p>
      <w:pPr>
        <w:ind w:left="660" w:right="580" w:hanging="436"/>
        <w:spacing w:after="0" w:line="277" w:lineRule="auto"/>
        <w:tabs>
          <w:tab w:leader="none" w:pos="66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Internal revenue growth from yield on our collection and disposal business was 3.1% when calculated using revenue only from these lines of business.</w:t>
      </w:r>
    </w:p>
    <w:p>
      <w:pPr>
        <w:spacing w:after="0" w:line="75" w:lineRule="exact"/>
        <w:rPr>
          <w:rFonts w:ascii="Arial" w:cs="Arial" w:eastAsia="Arial" w:hAnsi="Arial"/>
          <w:sz w:val="18"/>
          <w:szCs w:val="18"/>
          <w:b w:val="1"/>
          <w:bCs w:val="1"/>
          <w:color w:val="auto"/>
        </w:rPr>
      </w:pPr>
    </w:p>
    <w:p>
      <w:pPr>
        <w:ind w:left="660" w:right="100" w:hanging="436"/>
        <w:spacing w:after="0" w:line="277" w:lineRule="auto"/>
        <w:tabs>
          <w:tab w:leader="none" w:pos="66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Internal revenue growth from volume was negative 8.1%. Adjusting for the effect of one less work day during the first quarter of 2009 compared to the prior year quarter, internal revenue growth from volume was negative 7.4%.</w:t>
      </w:r>
    </w:p>
    <w:p>
      <w:pPr>
        <w:spacing w:after="0" w:line="75" w:lineRule="exact"/>
        <w:rPr>
          <w:rFonts w:ascii="Arial" w:cs="Arial" w:eastAsia="Arial" w:hAnsi="Arial"/>
          <w:sz w:val="18"/>
          <w:szCs w:val="18"/>
          <w:b w:val="1"/>
          <w:bCs w:val="1"/>
          <w:color w:val="auto"/>
        </w:rPr>
      </w:pPr>
    </w:p>
    <w:p>
      <w:pPr>
        <w:ind w:left="660" w:right="60" w:hanging="436"/>
        <w:spacing w:after="0" w:line="264" w:lineRule="auto"/>
        <w:tabs>
          <w:tab w:leader="none" w:pos="66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Operating expenses declined by $367 million, or approximately 17.5%, to $1.73 billion in the first quarter of 2009. As a percentage of revenue, first quarter 2009 operating expenses decreased to 61.4%, which is a 270 basis point improvement compared with the same quarter in 2008, and is a strong performance given the revenue decline.</w:t>
      </w:r>
    </w:p>
    <w:p>
      <w:pPr>
        <w:spacing w:after="0" w:line="86" w:lineRule="exact"/>
        <w:rPr>
          <w:rFonts w:ascii="Arial" w:cs="Arial" w:eastAsia="Arial" w:hAnsi="Arial"/>
          <w:sz w:val="18"/>
          <w:szCs w:val="18"/>
          <w:b w:val="1"/>
          <w:bCs w:val="1"/>
          <w:color w:val="auto"/>
        </w:rPr>
      </w:pPr>
    </w:p>
    <w:p>
      <w:pPr>
        <w:ind w:left="660" w:right="220" w:hanging="436"/>
        <w:spacing w:after="0" w:line="291" w:lineRule="auto"/>
        <w:tabs>
          <w:tab w:leader="none" w:pos="660" w:val="left"/>
        </w:tabs>
        <w:numPr>
          <w:ilvl w:val="0"/>
          <w:numId w:val="4"/>
        </w:numPr>
        <w:rPr>
          <w:rFonts w:ascii="Arial" w:cs="Arial" w:eastAsia="Arial" w:hAnsi="Arial"/>
          <w:sz w:val="16"/>
          <w:szCs w:val="16"/>
          <w:b w:val="1"/>
          <w:bCs w:val="1"/>
          <w:color w:val="auto"/>
        </w:rPr>
      </w:pPr>
      <w:r>
        <w:rPr>
          <w:rFonts w:ascii="Arial" w:cs="Arial" w:eastAsia="Arial" w:hAnsi="Arial"/>
          <w:sz w:val="16"/>
          <w:szCs w:val="16"/>
          <w:color w:val="auto"/>
        </w:rPr>
        <w:t>Cost savings totaling approximately $20 million were realized for the months of February and March related to the restructuring we announced in February and annualized savings are expected to exceed $120 million. A charge of $38 million was incurred for this restructuring and up to</w:t>
      </w:r>
    </w:p>
    <w:p>
      <w:pPr>
        <w:ind w:left="660"/>
        <w:spacing w:after="0"/>
        <w:rPr>
          <w:rFonts w:ascii="Arial" w:cs="Arial" w:eastAsia="Arial" w:hAnsi="Arial"/>
          <w:sz w:val="16"/>
          <w:szCs w:val="16"/>
          <w:b w:val="1"/>
          <w:bCs w:val="1"/>
          <w:color w:val="auto"/>
        </w:rPr>
      </w:pPr>
      <w:r>
        <w:rPr>
          <w:rFonts w:ascii="Arial" w:cs="Arial" w:eastAsia="Arial" w:hAnsi="Arial"/>
          <w:sz w:val="18"/>
          <w:szCs w:val="18"/>
          <w:color w:val="auto"/>
        </w:rPr>
        <w:t>$15 million of additional charges are expected to be incurred in the second and third quarters of 2009.</w:t>
      </w:r>
    </w:p>
    <w:p>
      <w:pPr>
        <w:spacing w:after="0" w:line="116" w:lineRule="exact"/>
        <w:rPr>
          <w:rFonts w:ascii="Arial" w:cs="Arial" w:eastAsia="Arial" w:hAnsi="Arial"/>
          <w:sz w:val="16"/>
          <w:szCs w:val="16"/>
          <w:b w:val="1"/>
          <w:bCs w:val="1"/>
          <w:color w:val="auto"/>
        </w:rPr>
      </w:pPr>
    </w:p>
    <w:p>
      <w:pPr>
        <w:ind w:left="660" w:right="40" w:hanging="436"/>
        <w:spacing w:after="0" w:line="277" w:lineRule="auto"/>
        <w:tabs>
          <w:tab w:leader="none" w:pos="66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A $5 million benefit to net income resulted from the accounting impact of an increase in the 10-year risk free interest rate, which is used to calculate the present value of our remediation liabilities.</w:t>
      </w:r>
    </w:p>
    <w:p>
      <w:pPr>
        <w:spacing w:after="0" w:line="75" w:lineRule="exact"/>
        <w:rPr>
          <w:rFonts w:ascii="Arial" w:cs="Arial" w:eastAsia="Arial" w:hAnsi="Arial"/>
          <w:sz w:val="18"/>
          <w:szCs w:val="18"/>
          <w:b w:val="1"/>
          <w:bCs w:val="1"/>
          <w:color w:val="auto"/>
        </w:rPr>
      </w:pPr>
    </w:p>
    <w:p>
      <w:pPr>
        <w:ind w:left="660" w:hanging="436"/>
        <w:spacing w:after="0"/>
        <w:tabs>
          <w:tab w:leader="none" w:pos="66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Net cash provided by operating activities was $519 million in the quarter.</w:t>
      </w:r>
    </w:p>
    <w:p>
      <w:pPr>
        <w:spacing w:after="0" w:line="130" w:lineRule="exact"/>
        <w:rPr>
          <w:rFonts w:ascii="Arial" w:cs="Arial" w:eastAsia="Arial" w:hAnsi="Arial"/>
          <w:sz w:val="18"/>
          <w:szCs w:val="18"/>
          <w:b w:val="1"/>
          <w:bCs w:val="1"/>
          <w:color w:val="auto"/>
        </w:rPr>
      </w:pPr>
    </w:p>
    <w:p>
      <w:pPr>
        <w:ind w:left="660" w:right="280" w:hanging="436"/>
        <w:spacing w:after="0" w:line="308" w:lineRule="auto"/>
        <w:tabs>
          <w:tab w:leader="none" w:pos="660" w:val="left"/>
        </w:tabs>
        <w:numPr>
          <w:ilvl w:val="0"/>
          <w:numId w:val="4"/>
        </w:numPr>
        <w:rPr>
          <w:rFonts w:ascii="Arial" w:cs="Arial" w:eastAsia="Arial" w:hAnsi="Arial"/>
          <w:sz w:val="17"/>
          <w:szCs w:val="17"/>
          <w:b w:val="1"/>
          <w:bCs w:val="1"/>
          <w:color w:val="auto"/>
        </w:rPr>
      </w:pPr>
      <w:r>
        <w:rPr>
          <w:rFonts w:ascii="Arial" w:cs="Arial" w:eastAsia="Arial" w:hAnsi="Arial"/>
          <w:sz w:val="17"/>
          <w:szCs w:val="17"/>
          <w:color w:val="auto"/>
        </w:rPr>
        <w:t>Capital expenditures were $325 million in the quarter, a $112 million increase from the prior year period. This is primarily the result of paying in 2009 expenditures incurred in 2008. We still expect full year capital expenditures to be in the range of $1.1 billion to $1.2 billion.</w:t>
      </w:r>
    </w:p>
    <w:p>
      <w:pPr>
        <w:spacing w:after="0" w:line="51" w:lineRule="exact"/>
        <w:rPr>
          <w:rFonts w:ascii="Arial" w:cs="Arial" w:eastAsia="Arial" w:hAnsi="Arial"/>
          <w:sz w:val="17"/>
          <w:szCs w:val="17"/>
          <w:b w:val="1"/>
          <w:bCs w:val="1"/>
          <w:color w:val="auto"/>
        </w:rPr>
      </w:pPr>
    </w:p>
    <w:p>
      <w:pPr>
        <w:ind w:left="660" w:hanging="436"/>
        <w:spacing w:after="0"/>
        <w:tabs>
          <w:tab w:leader="none" w:pos="66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$143 million was returned to shareholders through dividend payments in the quarter.</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4"/>
        </w:numPr>
        <w:rPr>
          <w:rFonts w:ascii="Arial" w:cs="Arial" w:eastAsia="Arial" w:hAnsi="Arial"/>
          <w:sz w:val="17"/>
          <w:szCs w:val="17"/>
          <w:b w:val="1"/>
          <w:bCs w:val="1"/>
          <w:color w:val="auto"/>
        </w:rPr>
      </w:pPr>
      <w:r>
        <w:rPr>
          <w:rFonts w:ascii="Arial" w:cs="Arial" w:eastAsia="Arial" w:hAnsi="Arial"/>
          <w:sz w:val="17"/>
          <w:szCs w:val="17"/>
          <w:color w:val="auto"/>
        </w:rPr>
        <w:t>The effective tax rate in the quarter was approximately 37.2%, which reflects the impact of the implementation of an accounting 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405765</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8" w:name="page9"/>
    <w:bookmarkEnd w:id="8"/>
    <w:p>
      <w:pPr>
        <w:ind w:left="460" w:right="60" w:hanging="459"/>
        <w:spacing w:after="0" w:line="259" w:lineRule="auto"/>
        <w:tabs>
          <w:tab w:leader="none" w:pos="440" w:val="left"/>
        </w:tabs>
        <w:rPr>
          <w:sz w:val="20"/>
          <w:szCs w:val="20"/>
          <w:color w:val="auto"/>
        </w:rPr>
      </w:pPr>
      <w:r>
        <w:rPr>
          <w:rFonts w:ascii="Arial" w:cs="Arial" w:eastAsia="Arial" w:hAnsi="Arial"/>
          <w:sz w:val="18"/>
          <w:szCs w:val="18"/>
          <w:color w:val="auto"/>
        </w:rPr>
        <w:t>(a)</w:t>
        <w:tab/>
        <w:t>As a result of the Company’s adoption of Statement of Financial Accounting Standard No. 160 , Noncontrolling Interests in Consolidated Financial Statements — an amendment of ARB No. 51, the financial statement line item that had been entitled “Net income” is now entitled “Net income attributable to Waste Management, Inc.” For purposes of this press release, all references to “Net income” refers to “Net income attributable to Waste Management, Inc.”</w:t>
      </w:r>
    </w:p>
    <w:p>
      <w:pPr>
        <w:spacing w:after="0" w:line="92" w:lineRule="exact"/>
        <w:rPr>
          <w:sz w:val="20"/>
          <w:szCs w:val="20"/>
          <w:color w:val="auto"/>
        </w:rPr>
      </w:pPr>
    </w:p>
    <w:p>
      <w:pPr>
        <w:ind w:left="460" w:right="200" w:hanging="452"/>
        <w:spacing w:after="0" w:line="291" w:lineRule="auto"/>
        <w:tabs>
          <w:tab w:leader="none" w:pos="460" w:val="left"/>
        </w:tabs>
        <w:numPr>
          <w:ilvl w:val="0"/>
          <w:numId w:val="5"/>
        </w:numPr>
        <w:rPr>
          <w:rFonts w:ascii="Arial" w:cs="Arial" w:eastAsia="Arial" w:hAnsi="Arial"/>
          <w:sz w:val="16"/>
          <w:szCs w:val="16"/>
          <w:color w:val="auto"/>
        </w:rPr>
      </w:pPr>
      <w:r>
        <w:rPr>
          <w:rFonts w:ascii="Arial" w:cs="Arial" w:eastAsia="Arial" w:hAnsi="Arial"/>
          <w:sz w:val="16"/>
          <w:szCs w:val="16"/>
          <w:color w:val="auto"/>
        </w:rPr>
        <w:t>This earnings release contains a discussion of non-GAAP measures, as defined in Regulation G of the Securities Exchange Act of 1934, as amended. The Company reports its financial results in compliance with GAAP, but believes that also discussing non-GAAP measures provides investors with</w:t>
      </w:r>
    </w:p>
    <w:p>
      <w:pPr>
        <w:ind w:left="460" w:right="240"/>
        <w:spacing w:after="0" w:line="255" w:lineRule="auto"/>
        <w:rPr>
          <w:rFonts w:ascii="Arial" w:cs="Arial" w:eastAsia="Arial" w:hAnsi="Arial"/>
          <w:sz w:val="16"/>
          <w:szCs w:val="16"/>
          <w:color w:val="auto"/>
        </w:rPr>
      </w:pPr>
      <w:r>
        <w:rPr>
          <w:rFonts w:ascii="Arial" w:cs="Arial" w:eastAsia="Arial" w:hAnsi="Arial"/>
          <w:sz w:val="18"/>
          <w:szCs w:val="18"/>
          <w:color w:val="auto"/>
        </w:rPr>
        <w:t>(i) additional, meaningful comparisons of current results to prior periods’ results by excluding items that the Company does not believe reflect its fundamental business performance and (ii) financial measures the Company uses in the management of its business. GAAP measures that have been adjusted to exclude the impact of certain unusual, non-recurring or otherwise non-operational items include:</w:t>
      </w:r>
    </w:p>
    <w:p>
      <w:pPr>
        <w:spacing w:after="0" w:line="82" w:lineRule="exact"/>
        <w:rPr>
          <w:sz w:val="20"/>
          <w:szCs w:val="20"/>
          <w:color w:val="auto"/>
        </w:rPr>
      </w:pPr>
    </w:p>
    <w:p>
      <w:pPr>
        <w:ind w:left="900" w:hanging="446"/>
        <w:spacing w:after="0"/>
        <w:tabs>
          <w:tab w:leader="none" w:pos="90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Net Income;</w:t>
      </w:r>
    </w:p>
    <w:p>
      <w:pPr>
        <w:spacing w:after="0" w:line="130" w:lineRule="exact"/>
        <w:rPr>
          <w:rFonts w:ascii="Arial" w:cs="Arial" w:eastAsia="Arial" w:hAnsi="Arial"/>
          <w:sz w:val="18"/>
          <w:szCs w:val="18"/>
          <w:b w:val="1"/>
          <w:bCs w:val="1"/>
          <w:color w:val="auto"/>
        </w:rPr>
      </w:pPr>
    </w:p>
    <w:p>
      <w:pPr>
        <w:ind w:left="900" w:hanging="446"/>
        <w:spacing w:after="0"/>
        <w:tabs>
          <w:tab w:leader="none" w:pos="90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Earnings per diluted share; and</w:t>
      </w:r>
    </w:p>
    <w:p>
      <w:pPr>
        <w:spacing w:after="0" w:line="130" w:lineRule="exact"/>
        <w:rPr>
          <w:rFonts w:ascii="Arial" w:cs="Arial" w:eastAsia="Arial" w:hAnsi="Arial"/>
          <w:sz w:val="18"/>
          <w:szCs w:val="18"/>
          <w:b w:val="1"/>
          <w:bCs w:val="1"/>
          <w:color w:val="auto"/>
        </w:rPr>
      </w:pPr>
    </w:p>
    <w:p>
      <w:pPr>
        <w:ind w:left="900" w:hanging="446"/>
        <w:spacing w:after="0"/>
        <w:tabs>
          <w:tab w:leader="none" w:pos="90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Income from operations as a percentage of revenue.</w:t>
      </w:r>
    </w:p>
    <w:p>
      <w:pPr>
        <w:spacing w:after="0" w:line="117" w:lineRule="exact"/>
        <w:rPr>
          <w:sz w:val="20"/>
          <w:szCs w:val="20"/>
          <w:color w:val="auto"/>
        </w:rPr>
      </w:pPr>
    </w:p>
    <w:p>
      <w:pPr>
        <w:ind w:left="460" w:right="440"/>
        <w:spacing w:after="0" w:line="342" w:lineRule="auto"/>
        <w:rPr>
          <w:sz w:val="20"/>
          <w:szCs w:val="20"/>
          <w:color w:val="auto"/>
        </w:rPr>
      </w:pPr>
      <w:r>
        <w:rPr>
          <w:rFonts w:ascii="Arial" w:cs="Arial" w:eastAsia="Arial" w:hAnsi="Arial"/>
          <w:sz w:val="16"/>
          <w:szCs w:val="16"/>
          <w:color w:val="auto"/>
        </w:rPr>
        <w:t>The quantitative reconciliations of each of the non-GAAP measures presented herein to the most comparable GAAP measures are included in the accompanying schedules. Investors are urged to take into account GAAP measures as well as non-GAAP measures in evaluating the Company.</w:t>
      </w:r>
    </w:p>
    <w:p>
      <w:pPr>
        <w:spacing w:after="0" w:line="97"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 xml:space="preserve">The Company has scheduled an investor and analyst conference call for later this morning to discuss the results of today’s earnings announcement. The information in this press release should be read in conjunction with the information on the conference call. The call will begin at 10:00 a.m. Eastern time and is open to the public. To listen to the conference call, which will be broadcast live over the Internet, go to the Waste Management Website at </w:t>
      </w:r>
      <w:r>
        <w:rPr>
          <w:rFonts w:ascii="Arial" w:cs="Arial" w:eastAsia="Arial" w:hAnsi="Arial"/>
          <w:sz w:val="18"/>
          <w:szCs w:val="18"/>
          <w:u w:val="single" w:color="auto"/>
          <w:color w:val="auto"/>
        </w:rPr>
        <w:t>http://www.wm.com</w:t>
      </w:r>
      <w:r>
        <w:rPr>
          <w:rFonts w:ascii="Arial" w:cs="Arial" w:eastAsia="Arial" w:hAnsi="Arial"/>
          <w:sz w:val="18"/>
          <w:szCs w:val="18"/>
          <w:color w:val="auto"/>
        </w:rPr>
        <w:t xml:space="preserve">, and select “Earnings Webcast.” You may also listen to the analyst conference call by telephone by contacting the conference call operator 5 to 10 minutes prior to the scheduled start time and asking for the “Waste Management Conference Call — Call ID 90934084.” US/Canada Dial-In Number: (877) 710-6139. Int’l/Local Dial-In Number: (706) 643-7398. For those unable to listen to the live call, a replay will be available 24 hours a day beginning at approximately 1:00 p.m. Eastern time on April 29th through 5:00 p.m. Eastern time on May 13th. To hear a replay of the call over the Internet, access the Waste Management Website at </w:t>
      </w:r>
      <w:r>
        <w:rPr>
          <w:rFonts w:ascii="Arial" w:cs="Arial" w:eastAsia="Arial" w:hAnsi="Arial"/>
          <w:sz w:val="18"/>
          <w:szCs w:val="18"/>
          <w:u w:val="single" w:color="auto"/>
          <w:color w:val="auto"/>
        </w:rPr>
        <w:t>http://www.wm.com</w:t>
      </w:r>
      <w:r>
        <w:rPr>
          <w:rFonts w:ascii="Arial" w:cs="Arial" w:eastAsia="Arial" w:hAnsi="Arial"/>
          <w:sz w:val="18"/>
          <w:szCs w:val="18"/>
          <w:color w:val="auto"/>
        </w:rPr>
        <w:t>. To hear a telephonic replay of the call, dial (800) 642-1687 or (706) 645-9291 and enter reservation code 90934084.</w:t>
      </w:r>
    </w:p>
    <w:p>
      <w:pPr>
        <w:spacing w:after="0" w:line="15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Waste Management, Inc., based in Houston, Texas, is the leading provider of comprehensive waste management services in North America. Through its subsidiaries, the Company provides collection, transfer, recycling and resource recovery, and disposal services. It is also a leading developer, operator and owner of waste-to-energy and landfill gas-to-energy facilities in the United States. The Company’s customers include residential, commercial, industrial, and municipal customers throughout North America.</w:t>
      </w:r>
    </w:p>
    <w:p>
      <w:pPr>
        <w:spacing w:after="0" w:line="146" w:lineRule="exact"/>
        <w:rPr>
          <w:sz w:val="20"/>
          <w:szCs w:val="20"/>
          <w:color w:val="auto"/>
        </w:rPr>
      </w:pPr>
    </w:p>
    <w:p>
      <w:pPr>
        <w:spacing w:after="0" w:line="290" w:lineRule="auto"/>
        <w:rPr>
          <w:sz w:val="20"/>
          <w:szCs w:val="20"/>
          <w:color w:val="auto"/>
        </w:rPr>
      </w:pPr>
      <w:r>
        <w:rPr>
          <w:rFonts w:ascii="Arial" w:cs="Arial" w:eastAsia="Arial" w:hAnsi="Arial"/>
          <w:sz w:val="16"/>
          <w:szCs w:val="16"/>
          <w:i w:val="1"/>
          <w:iCs w:val="1"/>
          <w:color w:val="auto"/>
        </w:rPr>
        <w:t>The Company, from time to time, provides estimates of financial and other data, comments on expectations relating to future periods and makes statements of opinion, view or belief about current and future events. Statements relating to future events and performance are “forward-looking statements.” The forward-looking statements that the Company makes are the Company’s expectations, opinion, view or belief at the point in time of issuance but may change at some future point in time. By issuing estimates or making statements based on current expectations, opinions, views or beliefs, the Company has no obligation, and is not undertaking any obligation, to update such estimates or statements or to provide any other information relating to such estimates or statements. Outlined below are some of the risks that the Company faces and that could affect our financial statements for 2009 and beyond and that could cause actual results to be materially different from those that may be set forth in forward-looking statements made by the Company. We caution you not to place undue reliance on any forward-looking statements, which speak only as of their dates. The following are some of the risks that we face: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369570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044" w:right="279" w:bottom="1440" w:gutter="0" w:footer="0" w:header="0"/>
        </w:sectPr>
      </w:pPr>
    </w:p>
    <w:bookmarkStart w:id="9" w:name="page10"/>
    <w:bookmarkEnd w:id="9"/>
    <w:p>
      <w:pPr>
        <w:ind w:left="436" w:right="140" w:hanging="436"/>
        <w:spacing w:after="0" w:line="277" w:lineRule="auto"/>
        <w:tabs>
          <w:tab w:leader="none" w:pos="436" w:val="left"/>
        </w:tabs>
        <w:numPr>
          <w:ilvl w:val="0"/>
          <w:numId w:val="7"/>
        </w:numPr>
        <w:rPr>
          <w:rFonts w:ascii="Arial" w:cs="Arial" w:eastAsia="Arial" w:hAnsi="Arial"/>
          <w:sz w:val="18"/>
          <w:szCs w:val="18"/>
          <w:b w:val="1"/>
          <w:bCs w:val="1"/>
          <w:color w:val="auto"/>
        </w:rPr>
      </w:pPr>
      <w:r>
        <w:rPr>
          <w:rFonts w:ascii="Arial" w:cs="Arial" w:eastAsia="Arial" w:hAnsi="Arial"/>
          <w:sz w:val="18"/>
          <w:szCs w:val="18"/>
          <w:i w:val="1"/>
          <w:iCs w:val="1"/>
          <w:color w:val="auto"/>
        </w:rPr>
        <w:t>continued volatility and further deterioration in the credit markets, inflation, higher interest rates and other general and local economic conditions may negatively affect the volumes of waste generated, our liquidity, our financing costs and other expenses;</w:t>
      </w:r>
    </w:p>
    <w:p>
      <w:pPr>
        <w:spacing w:after="0" w:line="75" w:lineRule="exact"/>
        <w:rPr>
          <w:rFonts w:ascii="Arial" w:cs="Arial" w:eastAsia="Arial" w:hAnsi="Arial"/>
          <w:sz w:val="18"/>
          <w:szCs w:val="18"/>
          <w:b w:val="1"/>
          <w:bCs w:val="1"/>
          <w:color w:val="auto"/>
        </w:rPr>
      </w:pPr>
    </w:p>
    <w:p>
      <w:pPr>
        <w:ind w:left="436" w:right="180" w:hanging="436"/>
        <w:spacing w:after="0" w:line="264" w:lineRule="auto"/>
        <w:tabs>
          <w:tab w:leader="none" w:pos="436" w:val="left"/>
        </w:tabs>
        <w:numPr>
          <w:ilvl w:val="0"/>
          <w:numId w:val="7"/>
        </w:numPr>
        <w:rPr>
          <w:rFonts w:ascii="Arial" w:cs="Arial" w:eastAsia="Arial" w:hAnsi="Arial"/>
          <w:sz w:val="18"/>
          <w:szCs w:val="18"/>
          <w:b w:val="1"/>
          <w:bCs w:val="1"/>
          <w:color w:val="auto"/>
        </w:rPr>
      </w:pPr>
      <w:r>
        <w:rPr>
          <w:rFonts w:ascii="Arial" w:cs="Arial" w:eastAsia="Arial" w:hAnsi="Arial"/>
          <w:sz w:val="18"/>
          <w:szCs w:val="18"/>
          <w:i w:val="1"/>
          <w:iCs w:val="1"/>
          <w:color w:val="auto"/>
        </w:rPr>
        <w:t>economic conditions may negatively affect parties with whom we do business, which could result in late payments or the uncollectability of receivables as well as the non-performance of certain agreements, including expected funding under our credit agreement, which could negatively impact our liquidity and results of operations;</w:t>
      </w:r>
    </w:p>
    <w:p>
      <w:pPr>
        <w:spacing w:after="0" w:line="86" w:lineRule="exact"/>
        <w:rPr>
          <w:rFonts w:ascii="Arial" w:cs="Arial" w:eastAsia="Arial" w:hAnsi="Arial"/>
          <w:sz w:val="18"/>
          <w:szCs w:val="18"/>
          <w:b w:val="1"/>
          <w:bCs w:val="1"/>
          <w:color w:val="auto"/>
        </w:rPr>
      </w:pPr>
    </w:p>
    <w:p>
      <w:pPr>
        <w:ind w:left="436" w:right="20" w:hanging="436"/>
        <w:spacing w:after="0" w:line="342" w:lineRule="auto"/>
        <w:tabs>
          <w:tab w:leader="none" w:pos="436" w:val="left"/>
        </w:tabs>
        <w:numPr>
          <w:ilvl w:val="0"/>
          <w:numId w:val="7"/>
        </w:numPr>
        <w:rPr>
          <w:rFonts w:ascii="Arial" w:cs="Arial" w:eastAsia="Arial" w:hAnsi="Arial"/>
          <w:sz w:val="16"/>
          <w:szCs w:val="16"/>
          <w:b w:val="1"/>
          <w:bCs w:val="1"/>
          <w:color w:val="auto"/>
        </w:rPr>
      </w:pPr>
      <w:r>
        <w:rPr>
          <w:rFonts w:ascii="Arial" w:cs="Arial" w:eastAsia="Arial" w:hAnsi="Arial"/>
          <w:sz w:val="16"/>
          <w:szCs w:val="16"/>
          <w:i w:val="1"/>
          <w:iCs w:val="1"/>
          <w:color w:val="auto"/>
        </w:rPr>
        <w:t>competition may negatively affect our profitability or cash flows, our price increases may have negative effects on volumes, and price roll-backs and lower than average pricing to retain and attract customers may negatively affect our average yield on collection and disposal business;</w:t>
      </w:r>
    </w:p>
    <w:p>
      <w:pPr>
        <w:spacing w:after="0" w:line="29" w:lineRule="exact"/>
        <w:rPr>
          <w:rFonts w:ascii="Arial" w:cs="Arial" w:eastAsia="Arial" w:hAnsi="Arial"/>
          <w:sz w:val="16"/>
          <w:szCs w:val="16"/>
          <w:b w:val="1"/>
          <w:bCs w:val="1"/>
          <w:color w:val="auto"/>
        </w:rPr>
      </w:pPr>
    </w:p>
    <w:p>
      <w:pPr>
        <w:ind w:left="436" w:hanging="436"/>
        <w:spacing w:after="0"/>
        <w:tabs>
          <w:tab w:leader="none" w:pos="436" w:val="left"/>
        </w:tabs>
        <w:numPr>
          <w:ilvl w:val="0"/>
          <w:numId w:val="7"/>
        </w:numPr>
        <w:rPr>
          <w:rFonts w:ascii="Arial" w:cs="Arial" w:eastAsia="Arial" w:hAnsi="Arial"/>
          <w:sz w:val="18"/>
          <w:szCs w:val="18"/>
          <w:b w:val="1"/>
          <w:bCs w:val="1"/>
          <w:color w:val="auto"/>
        </w:rPr>
      </w:pPr>
      <w:r>
        <w:rPr>
          <w:rFonts w:ascii="Arial" w:cs="Arial" w:eastAsia="Arial" w:hAnsi="Arial"/>
          <w:sz w:val="18"/>
          <w:szCs w:val="18"/>
          <w:i w:val="1"/>
          <w:iCs w:val="1"/>
          <w:color w:val="auto"/>
        </w:rPr>
        <w:t>we may be unable to maintain or expand margins if we are unable to control costs or raise prices;</w:t>
      </w:r>
    </w:p>
    <w:p>
      <w:pPr>
        <w:spacing w:after="0" w:line="130" w:lineRule="exact"/>
        <w:rPr>
          <w:rFonts w:ascii="Arial" w:cs="Arial" w:eastAsia="Arial" w:hAnsi="Arial"/>
          <w:sz w:val="18"/>
          <w:szCs w:val="18"/>
          <w:b w:val="1"/>
          <w:bCs w:val="1"/>
          <w:color w:val="auto"/>
        </w:rPr>
      </w:pPr>
    </w:p>
    <w:p>
      <w:pPr>
        <w:ind w:left="436" w:right="40" w:hanging="436"/>
        <w:spacing w:after="0" w:line="264" w:lineRule="auto"/>
        <w:tabs>
          <w:tab w:leader="none" w:pos="436" w:val="left"/>
        </w:tabs>
        <w:numPr>
          <w:ilvl w:val="0"/>
          <w:numId w:val="7"/>
        </w:numPr>
        <w:rPr>
          <w:rFonts w:ascii="Arial" w:cs="Arial" w:eastAsia="Arial" w:hAnsi="Arial"/>
          <w:sz w:val="18"/>
          <w:szCs w:val="18"/>
          <w:b w:val="1"/>
          <w:bCs w:val="1"/>
          <w:color w:val="auto"/>
        </w:rPr>
      </w:pPr>
      <w:r>
        <w:rPr>
          <w:rFonts w:ascii="Arial" w:cs="Arial" w:eastAsia="Arial" w:hAnsi="Arial"/>
          <w:sz w:val="18"/>
          <w:szCs w:val="18"/>
          <w:i w:val="1"/>
          <w:iCs w:val="1"/>
          <w:color w:val="auto"/>
        </w:rPr>
        <w:t>we may not be able to successfully execute or continue our operational or other margin improvement plans and programs, including: pricing increases; passing on increased costs to our customers; reducing costs; and divesting under-performing assets and purchasing accretive businesses, any failures of which could negatively affect our revenues and margins;</w:t>
      </w:r>
    </w:p>
    <w:p>
      <w:pPr>
        <w:spacing w:after="0" w:line="86" w:lineRule="exact"/>
        <w:rPr>
          <w:rFonts w:ascii="Arial" w:cs="Arial" w:eastAsia="Arial" w:hAnsi="Arial"/>
          <w:sz w:val="18"/>
          <w:szCs w:val="18"/>
          <w:b w:val="1"/>
          <w:bCs w:val="1"/>
          <w:color w:val="auto"/>
        </w:rPr>
      </w:pPr>
    </w:p>
    <w:p>
      <w:pPr>
        <w:ind w:left="436" w:right="80" w:hanging="436"/>
        <w:spacing w:after="0" w:line="277" w:lineRule="auto"/>
        <w:tabs>
          <w:tab w:leader="none" w:pos="436" w:val="left"/>
        </w:tabs>
        <w:numPr>
          <w:ilvl w:val="0"/>
          <w:numId w:val="7"/>
        </w:numPr>
        <w:rPr>
          <w:rFonts w:ascii="Arial" w:cs="Arial" w:eastAsia="Arial" w:hAnsi="Arial"/>
          <w:sz w:val="18"/>
          <w:szCs w:val="18"/>
          <w:b w:val="1"/>
          <w:bCs w:val="1"/>
          <w:color w:val="auto"/>
        </w:rPr>
      </w:pPr>
      <w:r>
        <w:rPr>
          <w:rFonts w:ascii="Arial" w:cs="Arial" w:eastAsia="Arial" w:hAnsi="Arial"/>
          <w:sz w:val="18"/>
          <w:szCs w:val="18"/>
          <w:i w:val="1"/>
          <w:iCs w:val="1"/>
          <w:color w:val="auto"/>
        </w:rPr>
        <w:t>weather conditions cause our quarter-to-quarter results to fluctuate, and harsh weather or natural disasters may cause us to temporarily shut down operations;</w:t>
      </w:r>
    </w:p>
    <w:p>
      <w:pPr>
        <w:spacing w:after="0" w:line="75" w:lineRule="exact"/>
        <w:rPr>
          <w:rFonts w:ascii="Arial" w:cs="Arial" w:eastAsia="Arial" w:hAnsi="Arial"/>
          <w:sz w:val="18"/>
          <w:szCs w:val="18"/>
          <w:b w:val="1"/>
          <w:bCs w:val="1"/>
          <w:color w:val="auto"/>
        </w:rPr>
      </w:pPr>
    </w:p>
    <w:p>
      <w:pPr>
        <w:ind w:left="436" w:right="280" w:hanging="436"/>
        <w:spacing w:after="0" w:line="277" w:lineRule="auto"/>
        <w:tabs>
          <w:tab w:leader="none" w:pos="436" w:val="left"/>
        </w:tabs>
        <w:numPr>
          <w:ilvl w:val="0"/>
          <w:numId w:val="7"/>
        </w:numPr>
        <w:rPr>
          <w:rFonts w:ascii="Arial" w:cs="Arial" w:eastAsia="Arial" w:hAnsi="Arial"/>
          <w:sz w:val="18"/>
          <w:szCs w:val="18"/>
          <w:b w:val="1"/>
          <w:bCs w:val="1"/>
          <w:color w:val="auto"/>
        </w:rPr>
      </w:pPr>
      <w:r>
        <w:rPr>
          <w:rFonts w:ascii="Arial" w:cs="Arial" w:eastAsia="Arial" w:hAnsi="Arial"/>
          <w:sz w:val="18"/>
          <w:szCs w:val="18"/>
          <w:i w:val="1"/>
          <w:iCs w:val="1"/>
          <w:color w:val="auto"/>
        </w:rPr>
        <w:t>possible changes in our estimates of costs for site remediation requirements, final capping, closure and post-closure obligations, compliance and regulatory developments may increase our expenses;</w:t>
      </w:r>
    </w:p>
    <w:p>
      <w:pPr>
        <w:spacing w:after="0" w:line="75" w:lineRule="exact"/>
        <w:rPr>
          <w:rFonts w:ascii="Arial" w:cs="Arial" w:eastAsia="Arial" w:hAnsi="Arial"/>
          <w:sz w:val="18"/>
          <w:szCs w:val="18"/>
          <w:b w:val="1"/>
          <w:bCs w:val="1"/>
          <w:color w:val="auto"/>
        </w:rPr>
      </w:pPr>
    </w:p>
    <w:p>
      <w:pPr>
        <w:ind w:left="436" w:right="500" w:hanging="436"/>
        <w:spacing w:after="0" w:line="277" w:lineRule="auto"/>
        <w:tabs>
          <w:tab w:leader="none" w:pos="436" w:val="left"/>
        </w:tabs>
        <w:numPr>
          <w:ilvl w:val="0"/>
          <w:numId w:val="7"/>
        </w:numPr>
        <w:rPr>
          <w:rFonts w:ascii="Arial" w:cs="Arial" w:eastAsia="Arial" w:hAnsi="Arial"/>
          <w:sz w:val="18"/>
          <w:szCs w:val="18"/>
          <w:b w:val="1"/>
          <w:bCs w:val="1"/>
          <w:color w:val="auto"/>
        </w:rPr>
      </w:pPr>
      <w:r>
        <w:rPr>
          <w:rFonts w:ascii="Arial" w:cs="Arial" w:eastAsia="Arial" w:hAnsi="Arial"/>
          <w:sz w:val="18"/>
          <w:szCs w:val="18"/>
          <w:i w:val="1"/>
          <w:iCs w:val="1"/>
          <w:color w:val="auto"/>
        </w:rPr>
        <w:t>regulations may negatively impact our business by, among other things, restricting our operations, increasing costs of operations or requiring additional capital expenditures;</w:t>
      </w:r>
    </w:p>
    <w:p>
      <w:pPr>
        <w:spacing w:after="0" w:line="75" w:lineRule="exact"/>
        <w:rPr>
          <w:rFonts w:ascii="Arial" w:cs="Arial" w:eastAsia="Arial" w:hAnsi="Arial"/>
          <w:sz w:val="18"/>
          <w:szCs w:val="18"/>
          <w:b w:val="1"/>
          <w:bCs w:val="1"/>
          <w:color w:val="auto"/>
        </w:rPr>
      </w:pPr>
    </w:p>
    <w:p>
      <w:pPr>
        <w:ind w:left="436" w:right="240" w:hanging="436"/>
        <w:spacing w:after="0" w:line="264" w:lineRule="auto"/>
        <w:tabs>
          <w:tab w:leader="none" w:pos="436" w:val="left"/>
        </w:tabs>
        <w:numPr>
          <w:ilvl w:val="0"/>
          <w:numId w:val="7"/>
        </w:numPr>
        <w:rPr>
          <w:rFonts w:ascii="Arial" w:cs="Arial" w:eastAsia="Arial" w:hAnsi="Arial"/>
          <w:sz w:val="18"/>
          <w:szCs w:val="18"/>
          <w:b w:val="1"/>
          <w:bCs w:val="1"/>
          <w:color w:val="auto"/>
        </w:rPr>
      </w:pPr>
      <w:r>
        <w:rPr>
          <w:rFonts w:ascii="Arial" w:cs="Arial" w:eastAsia="Arial" w:hAnsi="Arial"/>
          <w:sz w:val="18"/>
          <w:szCs w:val="18"/>
          <w:i w:val="1"/>
          <w:iCs w:val="1"/>
          <w:color w:val="auto"/>
        </w:rPr>
        <w:t>climate change legislation, including possible limits on carbon emissions, may negatively impact our results of operations by increasing expenses related to tracking, measuring and reporting our greenhouse gas emissions and increasing operating costs and capital expenditures that may be required to comply with any such legislation;</w:t>
      </w:r>
    </w:p>
    <w:p>
      <w:pPr>
        <w:spacing w:after="0" w:line="86" w:lineRule="exact"/>
        <w:rPr>
          <w:rFonts w:ascii="Arial" w:cs="Arial" w:eastAsia="Arial" w:hAnsi="Arial"/>
          <w:sz w:val="18"/>
          <w:szCs w:val="18"/>
          <w:b w:val="1"/>
          <w:bCs w:val="1"/>
          <w:color w:val="auto"/>
        </w:rPr>
      </w:pPr>
    </w:p>
    <w:p>
      <w:pPr>
        <w:ind w:left="436" w:right="260" w:hanging="436"/>
        <w:spacing w:after="0" w:line="277" w:lineRule="auto"/>
        <w:tabs>
          <w:tab w:leader="none" w:pos="436" w:val="left"/>
        </w:tabs>
        <w:numPr>
          <w:ilvl w:val="0"/>
          <w:numId w:val="7"/>
        </w:numPr>
        <w:rPr>
          <w:rFonts w:ascii="Arial" w:cs="Arial" w:eastAsia="Arial" w:hAnsi="Arial"/>
          <w:sz w:val="18"/>
          <w:szCs w:val="18"/>
          <w:b w:val="1"/>
          <w:bCs w:val="1"/>
          <w:color w:val="auto"/>
        </w:rPr>
      </w:pPr>
      <w:r>
        <w:rPr>
          <w:rFonts w:ascii="Arial" w:cs="Arial" w:eastAsia="Arial" w:hAnsi="Arial"/>
          <w:sz w:val="18"/>
          <w:szCs w:val="18"/>
          <w:i w:val="1"/>
          <w:iCs w:val="1"/>
          <w:color w:val="auto"/>
        </w:rPr>
        <w:t>if we are unable to obtain and maintain permits needed to open, operate, and/or expand our facilities, our results of operations will be negatively impacted;</w:t>
      </w:r>
    </w:p>
    <w:p>
      <w:pPr>
        <w:spacing w:after="0" w:line="75" w:lineRule="exact"/>
        <w:rPr>
          <w:rFonts w:ascii="Arial" w:cs="Arial" w:eastAsia="Arial" w:hAnsi="Arial"/>
          <w:sz w:val="18"/>
          <w:szCs w:val="18"/>
          <w:b w:val="1"/>
          <w:bCs w:val="1"/>
          <w:color w:val="auto"/>
        </w:rPr>
      </w:pPr>
    </w:p>
    <w:p>
      <w:pPr>
        <w:ind w:left="436" w:right="60" w:hanging="436"/>
        <w:spacing w:after="0" w:line="277" w:lineRule="auto"/>
        <w:tabs>
          <w:tab w:leader="none" w:pos="436" w:val="left"/>
        </w:tabs>
        <w:numPr>
          <w:ilvl w:val="0"/>
          <w:numId w:val="7"/>
        </w:numPr>
        <w:rPr>
          <w:rFonts w:ascii="Arial" w:cs="Arial" w:eastAsia="Arial" w:hAnsi="Arial"/>
          <w:sz w:val="18"/>
          <w:szCs w:val="18"/>
          <w:b w:val="1"/>
          <w:bCs w:val="1"/>
          <w:color w:val="auto"/>
        </w:rPr>
      </w:pPr>
      <w:r>
        <w:rPr>
          <w:rFonts w:ascii="Arial" w:cs="Arial" w:eastAsia="Arial" w:hAnsi="Arial"/>
          <w:sz w:val="18"/>
          <w:szCs w:val="18"/>
          <w:i w:val="1"/>
          <w:iCs w:val="1"/>
          <w:color w:val="auto"/>
        </w:rPr>
        <w:t>limitations or bans on disposal or transportation of out-of-state, cross-border, or certain categories of waste, as well as mandates on the disposal of waste, can increase our expenses and reduce our revenue;</w:t>
      </w:r>
    </w:p>
    <w:p>
      <w:pPr>
        <w:spacing w:after="0" w:line="75" w:lineRule="exact"/>
        <w:rPr>
          <w:rFonts w:ascii="Arial" w:cs="Arial" w:eastAsia="Arial" w:hAnsi="Arial"/>
          <w:sz w:val="18"/>
          <w:szCs w:val="18"/>
          <w:b w:val="1"/>
          <w:bCs w:val="1"/>
          <w:color w:val="auto"/>
        </w:rPr>
      </w:pPr>
    </w:p>
    <w:p>
      <w:pPr>
        <w:ind w:left="436" w:hanging="436"/>
        <w:spacing w:after="0"/>
        <w:tabs>
          <w:tab w:leader="none" w:pos="436" w:val="left"/>
        </w:tabs>
        <w:numPr>
          <w:ilvl w:val="0"/>
          <w:numId w:val="7"/>
        </w:numPr>
        <w:rPr>
          <w:rFonts w:ascii="Arial" w:cs="Arial" w:eastAsia="Arial" w:hAnsi="Arial"/>
          <w:sz w:val="18"/>
          <w:szCs w:val="18"/>
          <w:b w:val="1"/>
          <w:bCs w:val="1"/>
          <w:color w:val="auto"/>
        </w:rPr>
      </w:pPr>
      <w:r>
        <w:rPr>
          <w:rFonts w:ascii="Arial" w:cs="Arial" w:eastAsia="Arial" w:hAnsi="Arial"/>
          <w:sz w:val="18"/>
          <w:szCs w:val="18"/>
          <w:i w:val="1"/>
          <w:iCs w:val="1"/>
          <w:color w:val="auto"/>
        </w:rPr>
        <w:t>fuel price increases or fuel supply shortages may increase our expenses or restrict our ability to operate;</w:t>
      </w:r>
    </w:p>
    <w:p>
      <w:pPr>
        <w:spacing w:after="0" w:line="130" w:lineRule="exact"/>
        <w:rPr>
          <w:rFonts w:ascii="Arial" w:cs="Arial" w:eastAsia="Arial" w:hAnsi="Arial"/>
          <w:sz w:val="18"/>
          <w:szCs w:val="18"/>
          <w:b w:val="1"/>
          <w:bCs w:val="1"/>
          <w:color w:val="auto"/>
        </w:rPr>
      </w:pPr>
    </w:p>
    <w:p>
      <w:pPr>
        <w:ind w:left="436" w:hanging="436"/>
        <w:spacing w:after="0" w:line="277" w:lineRule="auto"/>
        <w:tabs>
          <w:tab w:leader="none" w:pos="436" w:val="left"/>
        </w:tabs>
        <w:numPr>
          <w:ilvl w:val="0"/>
          <w:numId w:val="7"/>
        </w:numPr>
        <w:rPr>
          <w:rFonts w:ascii="Arial" w:cs="Arial" w:eastAsia="Arial" w:hAnsi="Arial"/>
          <w:sz w:val="18"/>
          <w:szCs w:val="18"/>
          <w:b w:val="1"/>
          <w:bCs w:val="1"/>
          <w:color w:val="auto"/>
        </w:rPr>
      </w:pPr>
      <w:r>
        <w:rPr>
          <w:rFonts w:ascii="Arial" w:cs="Arial" w:eastAsia="Arial" w:hAnsi="Arial"/>
          <w:sz w:val="18"/>
          <w:szCs w:val="18"/>
          <w:i w:val="1"/>
          <w:iCs w:val="1"/>
          <w:color w:val="auto"/>
        </w:rPr>
        <w:t>increased costs or the inability to obtain financial assurance or the inadequacy of our insurance coverages could negatively impact our liquidity and increase our liabilities;</w:t>
      </w:r>
    </w:p>
    <w:p>
      <w:pPr>
        <w:spacing w:after="0" w:line="75" w:lineRule="exact"/>
        <w:rPr>
          <w:rFonts w:ascii="Arial" w:cs="Arial" w:eastAsia="Arial" w:hAnsi="Arial"/>
          <w:sz w:val="18"/>
          <w:szCs w:val="18"/>
          <w:b w:val="1"/>
          <w:bCs w:val="1"/>
          <w:color w:val="auto"/>
        </w:rPr>
      </w:pPr>
    </w:p>
    <w:p>
      <w:pPr>
        <w:ind w:left="436" w:right="680" w:hanging="436"/>
        <w:spacing w:after="0" w:line="277" w:lineRule="auto"/>
        <w:tabs>
          <w:tab w:leader="none" w:pos="436" w:val="left"/>
        </w:tabs>
        <w:numPr>
          <w:ilvl w:val="0"/>
          <w:numId w:val="7"/>
        </w:numPr>
        <w:rPr>
          <w:rFonts w:ascii="Arial" w:cs="Arial" w:eastAsia="Arial" w:hAnsi="Arial"/>
          <w:sz w:val="18"/>
          <w:szCs w:val="18"/>
          <w:b w:val="1"/>
          <w:bCs w:val="1"/>
          <w:color w:val="auto"/>
        </w:rPr>
      </w:pPr>
      <w:r>
        <w:rPr>
          <w:rFonts w:ascii="Arial" w:cs="Arial" w:eastAsia="Arial" w:hAnsi="Arial"/>
          <w:sz w:val="18"/>
          <w:szCs w:val="18"/>
          <w:i w:val="1"/>
          <w:iCs w:val="1"/>
          <w:color w:val="auto"/>
        </w:rPr>
        <w:t>possible charges as a result of shut-down operations, uncompleted development or expansion projects or other events may negatively affect earnings;</w:t>
      </w:r>
    </w:p>
    <w:p>
      <w:pPr>
        <w:spacing w:after="0" w:line="75" w:lineRule="exact"/>
        <w:rPr>
          <w:rFonts w:ascii="Arial" w:cs="Arial" w:eastAsia="Arial" w:hAnsi="Arial"/>
          <w:sz w:val="18"/>
          <w:szCs w:val="18"/>
          <w:b w:val="1"/>
          <w:bCs w:val="1"/>
          <w:color w:val="auto"/>
        </w:rPr>
      </w:pPr>
    </w:p>
    <w:p>
      <w:pPr>
        <w:ind w:left="436" w:hanging="436"/>
        <w:spacing w:after="0"/>
        <w:tabs>
          <w:tab w:leader="none" w:pos="436" w:val="left"/>
        </w:tabs>
        <w:numPr>
          <w:ilvl w:val="0"/>
          <w:numId w:val="7"/>
        </w:numPr>
        <w:rPr>
          <w:rFonts w:ascii="Arial" w:cs="Arial" w:eastAsia="Arial" w:hAnsi="Arial"/>
          <w:sz w:val="18"/>
          <w:szCs w:val="18"/>
          <w:b w:val="1"/>
          <w:bCs w:val="1"/>
          <w:color w:val="auto"/>
        </w:rPr>
      </w:pPr>
      <w:r>
        <w:rPr>
          <w:rFonts w:ascii="Arial" w:cs="Arial" w:eastAsia="Arial" w:hAnsi="Arial"/>
          <w:sz w:val="18"/>
          <w:szCs w:val="18"/>
          <w:i w:val="1"/>
          <w:iCs w:val="1"/>
          <w:color w:val="auto"/>
        </w:rPr>
        <w:t>fluctuations in commodity prices may have negative effects on our operating results;</w:t>
      </w:r>
    </w:p>
    <w:p>
      <w:pPr>
        <w:spacing w:after="0" w:line="130" w:lineRule="exact"/>
        <w:rPr>
          <w:rFonts w:ascii="Arial" w:cs="Arial" w:eastAsia="Arial" w:hAnsi="Arial"/>
          <w:sz w:val="18"/>
          <w:szCs w:val="18"/>
          <w:b w:val="1"/>
          <w:bCs w:val="1"/>
          <w:color w:val="auto"/>
        </w:rPr>
      </w:pPr>
    </w:p>
    <w:p>
      <w:pPr>
        <w:ind w:left="436" w:right="580" w:hanging="436"/>
        <w:spacing w:after="0" w:line="277" w:lineRule="auto"/>
        <w:tabs>
          <w:tab w:leader="none" w:pos="436" w:val="left"/>
        </w:tabs>
        <w:numPr>
          <w:ilvl w:val="0"/>
          <w:numId w:val="7"/>
        </w:numPr>
        <w:rPr>
          <w:rFonts w:ascii="Arial" w:cs="Arial" w:eastAsia="Arial" w:hAnsi="Arial"/>
          <w:sz w:val="18"/>
          <w:szCs w:val="18"/>
          <w:b w:val="1"/>
          <w:bCs w:val="1"/>
          <w:color w:val="auto"/>
        </w:rPr>
      </w:pPr>
      <w:r>
        <w:rPr>
          <w:rFonts w:ascii="Arial" w:cs="Arial" w:eastAsia="Arial" w:hAnsi="Arial"/>
          <w:sz w:val="18"/>
          <w:szCs w:val="18"/>
          <w:i w:val="1"/>
          <w:iCs w:val="1"/>
          <w:color w:val="auto"/>
        </w:rPr>
        <w:t>trends requiring recycling, waste reduction at the source and prohibiting the disposal of certain types of waste could have negative effects on volumes of waste going to landfills and waste-to-energy facilities;</w:t>
      </w:r>
    </w:p>
    <w:p>
      <w:pPr>
        <w:spacing w:after="0" w:line="75" w:lineRule="exact"/>
        <w:rPr>
          <w:rFonts w:ascii="Arial" w:cs="Arial" w:eastAsia="Arial" w:hAnsi="Arial"/>
          <w:sz w:val="18"/>
          <w:szCs w:val="18"/>
          <w:b w:val="1"/>
          <w:bCs w:val="1"/>
          <w:color w:val="auto"/>
        </w:rPr>
      </w:pPr>
    </w:p>
    <w:p>
      <w:pPr>
        <w:ind w:left="436" w:right="200" w:hanging="436"/>
        <w:spacing w:after="0" w:line="264" w:lineRule="auto"/>
        <w:tabs>
          <w:tab w:leader="none" w:pos="436" w:val="left"/>
        </w:tabs>
        <w:numPr>
          <w:ilvl w:val="0"/>
          <w:numId w:val="7"/>
        </w:numPr>
        <w:rPr>
          <w:rFonts w:ascii="Arial" w:cs="Arial" w:eastAsia="Arial" w:hAnsi="Arial"/>
          <w:sz w:val="18"/>
          <w:szCs w:val="18"/>
          <w:b w:val="1"/>
          <w:bCs w:val="1"/>
          <w:color w:val="auto"/>
        </w:rPr>
      </w:pPr>
      <w:r>
        <w:rPr>
          <w:rFonts w:ascii="Arial" w:cs="Arial" w:eastAsia="Arial" w:hAnsi="Arial"/>
          <w:sz w:val="18"/>
          <w:szCs w:val="18"/>
          <w:i w:val="1"/>
          <w:iCs w:val="1"/>
          <w:color w:val="auto"/>
        </w:rPr>
        <w:t>efforts by labor unions to organize our employees may increase operating expenses and we may be unable to negotiate acceptable collective bargaining agreements with those who have chosen to be represented by unions, which could lead to labor disruptions, including strikes and lock-outs, which could adversely affect our results of operations and cash flows;</w:t>
      </w:r>
    </w:p>
    <w:p>
      <w:pPr>
        <w:spacing w:after="0" w:line="86" w:lineRule="exact"/>
        <w:rPr>
          <w:rFonts w:ascii="Arial" w:cs="Arial" w:eastAsia="Arial" w:hAnsi="Arial"/>
          <w:sz w:val="18"/>
          <w:szCs w:val="18"/>
          <w:b w:val="1"/>
          <w:bCs w:val="1"/>
          <w:color w:val="auto"/>
        </w:rPr>
      </w:pPr>
    </w:p>
    <w:p>
      <w:pPr>
        <w:ind w:left="436" w:right="140" w:hanging="436"/>
        <w:spacing w:after="0" w:line="277" w:lineRule="auto"/>
        <w:tabs>
          <w:tab w:leader="none" w:pos="436" w:val="left"/>
        </w:tabs>
        <w:numPr>
          <w:ilvl w:val="0"/>
          <w:numId w:val="7"/>
        </w:numPr>
        <w:rPr>
          <w:rFonts w:ascii="Arial" w:cs="Arial" w:eastAsia="Arial" w:hAnsi="Arial"/>
          <w:sz w:val="18"/>
          <w:szCs w:val="18"/>
          <w:b w:val="1"/>
          <w:bCs w:val="1"/>
          <w:color w:val="auto"/>
        </w:rPr>
      </w:pPr>
      <w:r>
        <w:rPr>
          <w:rFonts w:ascii="Arial" w:cs="Arial" w:eastAsia="Arial" w:hAnsi="Arial"/>
          <w:sz w:val="18"/>
          <w:szCs w:val="18"/>
          <w:i w:val="1"/>
          <w:iCs w:val="1"/>
          <w:color w:val="auto"/>
        </w:rPr>
        <w:t>negative outcomes of litigation or threatened litigation or governmental proceedings may increase our costs, limit our ability to conduct or expand our operations, or limit our ability to execute our business plans and strategies;</w:t>
      </w:r>
    </w:p>
    <w:p>
      <w:pPr>
        <w:spacing w:after="0" w:line="75" w:lineRule="exact"/>
        <w:rPr>
          <w:rFonts w:ascii="Arial" w:cs="Arial" w:eastAsia="Arial" w:hAnsi="Arial"/>
          <w:sz w:val="18"/>
          <w:szCs w:val="18"/>
          <w:b w:val="1"/>
          <w:bCs w:val="1"/>
          <w:color w:val="auto"/>
        </w:rPr>
      </w:pPr>
    </w:p>
    <w:p>
      <w:pPr>
        <w:ind w:left="436" w:right="180" w:hanging="436"/>
        <w:spacing w:after="0" w:line="277" w:lineRule="auto"/>
        <w:tabs>
          <w:tab w:leader="none" w:pos="436" w:val="left"/>
        </w:tabs>
        <w:numPr>
          <w:ilvl w:val="0"/>
          <w:numId w:val="7"/>
        </w:numPr>
        <w:rPr>
          <w:rFonts w:ascii="Arial" w:cs="Arial" w:eastAsia="Arial" w:hAnsi="Arial"/>
          <w:sz w:val="18"/>
          <w:szCs w:val="18"/>
          <w:b w:val="1"/>
          <w:bCs w:val="1"/>
          <w:color w:val="auto"/>
        </w:rPr>
      </w:pPr>
      <w:r>
        <w:rPr>
          <w:rFonts w:ascii="Arial" w:cs="Arial" w:eastAsia="Arial" w:hAnsi="Arial"/>
          <w:sz w:val="18"/>
          <w:szCs w:val="18"/>
          <w:i w:val="1"/>
          <w:iCs w:val="1"/>
          <w:color w:val="auto"/>
        </w:rPr>
        <w:t>problems with the operation of our current information technology or the development and deployment of new information systems could decrease our efficiencies and increase our costs;</w:t>
      </w:r>
    </w:p>
    <w:p>
      <w:pPr>
        <w:spacing w:after="0" w:line="75" w:lineRule="exact"/>
        <w:rPr>
          <w:rFonts w:ascii="Arial" w:cs="Arial" w:eastAsia="Arial" w:hAnsi="Arial"/>
          <w:sz w:val="18"/>
          <w:szCs w:val="18"/>
          <w:b w:val="1"/>
          <w:bCs w:val="1"/>
          <w:color w:val="auto"/>
        </w:rPr>
      </w:pPr>
    </w:p>
    <w:p>
      <w:pPr>
        <w:ind w:left="436" w:right="160" w:hanging="436"/>
        <w:spacing w:after="0" w:line="277" w:lineRule="auto"/>
        <w:tabs>
          <w:tab w:leader="none" w:pos="436" w:val="left"/>
        </w:tabs>
        <w:numPr>
          <w:ilvl w:val="0"/>
          <w:numId w:val="7"/>
        </w:numPr>
        <w:rPr>
          <w:rFonts w:ascii="Arial" w:cs="Arial" w:eastAsia="Arial" w:hAnsi="Arial"/>
          <w:sz w:val="18"/>
          <w:szCs w:val="18"/>
          <w:b w:val="1"/>
          <w:bCs w:val="1"/>
          <w:color w:val="auto"/>
        </w:rPr>
      </w:pPr>
      <w:r>
        <w:rPr>
          <w:rFonts w:ascii="Arial" w:cs="Arial" w:eastAsia="Arial" w:hAnsi="Arial"/>
          <w:sz w:val="18"/>
          <w:szCs w:val="18"/>
          <w:i w:val="1"/>
          <w:iCs w:val="1"/>
          <w:color w:val="auto"/>
        </w:rPr>
        <w:t>the adoption of new accounting standards or interpretations may cause fluctuations in reported quarterly results of operations or adversely impact our reported results of operations;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-138430</wp:posOffset>
            </wp:positionH>
            <wp:positionV relativeFrom="paragraph">
              <wp:posOffset>372745</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76"/>
          </w:cols>
          <w:pgMar w:left="464" w:top="935" w:right="259" w:bottom="1440" w:gutter="0" w:footer="0" w:header="0"/>
        </w:sectPr>
      </w:pPr>
    </w:p>
    <w:bookmarkStart w:id="10" w:name="page11"/>
    <w:bookmarkEnd w:id="10"/>
    <w:p>
      <w:pPr>
        <w:ind w:left="440" w:hanging="436"/>
        <w:spacing w:after="0" w:line="264" w:lineRule="auto"/>
        <w:tabs>
          <w:tab w:leader="none" w:pos="440" w:val="left"/>
        </w:tabs>
        <w:numPr>
          <w:ilvl w:val="0"/>
          <w:numId w:val="8"/>
        </w:numPr>
        <w:rPr>
          <w:rFonts w:ascii="Arial" w:cs="Arial" w:eastAsia="Arial" w:hAnsi="Arial"/>
          <w:sz w:val="18"/>
          <w:szCs w:val="18"/>
          <w:b w:val="1"/>
          <w:bCs w:val="1"/>
          <w:color w:val="auto"/>
        </w:rPr>
      </w:pPr>
      <w:r>
        <w:rPr>
          <w:rFonts w:ascii="Arial" w:cs="Arial" w:eastAsia="Arial" w:hAnsi="Arial"/>
          <w:sz w:val="18"/>
          <w:szCs w:val="18"/>
          <w:i w:val="1"/>
          <w:iCs w:val="1"/>
          <w:color w:val="auto"/>
        </w:rPr>
        <w:t>we may reduce or permanently eliminate our dividend or share repurchase program, reduce capital spending or cease acquisitions if cash flows are less than we expect and we are not able to obtain capital needed to refinance our debt obligations, including near-term maturities, on acceptable terms.</w:t>
      </w:r>
    </w:p>
    <w:p>
      <w:pPr>
        <w:spacing w:after="0" w:line="73" w:lineRule="exact"/>
        <w:rPr>
          <w:sz w:val="20"/>
          <w:szCs w:val="20"/>
          <w:color w:val="auto"/>
        </w:rPr>
      </w:pPr>
    </w:p>
    <w:p>
      <w:pPr>
        <w:ind w:left="20" w:right="500"/>
        <w:spacing w:after="0" w:line="342" w:lineRule="auto"/>
        <w:rPr>
          <w:sz w:val="20"/>
          <w:szCs w:val="20"/>
          <w:color w:val="auto"/>
        </w:rPr>
      </w:pPr>
      <w:r>
        <w:rPr>
          <w:rFonts w:ascii="Arial" w:cs="Arial" w:eastAsia="Arial" w:hAnsi="Arial"/>
          <w:sz w:val="16"/>
          <w:szCs w:val="16"/>
          <w:i w:val="1"/>
          <w:iCs w:val="1"/>
          <w:color w:val="auto"/>
        </w:rPr>
        <w:t>Additional information regarding these and/or other factors that could materially affect results and the accuracy of the forward-looking statements contained herein may be found in Part I, Item 1 of the Company’s Annual Report on Form 10-K for the year ended December 31, 2008.</w:t>
      </w:r>
    </w:p>
    <w:p>
      <w:pPr>
        <w:spacing w:after="0" w:line="97" w:lineRule="exact"/>
        <w:rPr>
          <w:sz w:val="20"/>
          <w:szCs w:val="20"/>
          <w:color w:val="auto"/>
        </w:rPr>
      </w:pPr>
    </w:p>
    <w:p>
      <w:pPr>
        <w:jc w:val="center"/>
        <w:ind w:right="12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-135890</wp:posOffset>
            </wp:positionH>
            <wp:positionV relativeFrom="paragraph">
              <wp:posOffset>398780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00"/>
          </w:cols>
          <w:pgMar w:left="460" w:top="935" w:right="3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6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0" w:type="dxa"/>
            <w:vAlign w:val="bottom"/>
            <w:gridSpan w:val="6"/>
          </w:tcPr>
          <w:p>
            <w:pPr>
              <w:jc w:val="right"/>
              <w:ind w:right="300"/>
              <w:spacing w:after="0"/>
              <w:rPr>
                <w:sz w:val="20"/>
                <w:szCs w:val="20"/>
                <w:color w:val="auto"/>
              </w:rPr>
            </w:pPr>
            <w:r>
              <w:rPr>
                <w:rFonts w:ascii="Arial" w:cs="Arial" w:eastAsia="Arial" w:hAnsi="Arial"/>
                <w:sz w:val="14"/>
                <w:szCs w:val="14"/>
                <w:b w:val="1"/>
                <w:bCs w:val="1"/>
                <w:color w:val="auto"/>
                <w:w w:val="96"/>
              </w:rPr>
              <w:t>Quarters Ended March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62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2009</w:t>
            </w:r>
          </w:p>
        </w:tc>
        <w:tc>
          <w:tcPr>
            <w:tcW w:w="36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20" w:type="dxa"/>
            <w:vAlign w:val="bottom"/>
            <w:shd w:val="clear" w:color="auto" w:fill="CCEEFF"/>
          </w:tcPr>
          <w:p>
            <w:pPr>
              <w:spacing w:after="0"/>
              <w:rPr>
                <w:sz w:val="20"/>
                <w:szCs w:val="20"/>
                <w:color w:val="auto"/>
              </w:rPr>
            </w:pPr>
            <w:r>
              <w:rPr>
                <w:rFonts w:ascii="Arial" w:cs="Arial" w:eastAsia="Arial" w:hAnsi="Arial"/>
                <w:sz w:val="18"/>
                <w:szCs w:val="18"/>
                <w:color w:val="auto"/>
              </w:rPr>
              <w:t>Operating revenues</w:t>
            </w:r>
          </w:p>
        </w:tc>
        <w:tc>
          <w:tcPr>
            <w:tcW w:w="1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2,810</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3,266</w:t>
            </w:r>
          </w:p>
        </w:tc>
        <w:tc>
          <w:tcPr>
            <w:tcW w:w="0" w:type="dxa"/>
            <w:vAlign w:val="bottom"/>
          </w:tcPr>
          <w:p>
            <w:pPr>
              <w:spacing w:after="0"/>
              <w:rPr>
                <w:sz w:val="1"/>
                <w:szCs w:val="1"/>
                <w:color w:val="auto"/>
              </w:rPr>
            </w:pPr>
          </w:p>
        </w:tc>
      </w:tr>
      <w:tr>
        <w:trPr>
          <w:trHeight w:val="432"/>
        </w:trPr>
        <w:tc>
          <w:tcPr>
            <w:tcW w:w="7640" w:type="dxa"/>
            <w:vAlign w:val="bottom"/>
            <w:gridSpan w:val="2"/>
          </w:tcPr>
          <w:p>
            <w:pPr>
              <w:spacing w:after="0"/>
              <w:rPr>
                <w:sz w:val="20"/>
                <w:szCs w:val="20"/>
                <w:color w:val="auto"/>
              </w:rPr>
            </w:pPr>
            <w:r>
              <w:rPr>
                <w:rFonts w:ascii="Arial" w:cs="Arial" w:eastAsia="Arial" w:hAnsi="Arial"/>
                <w:sz w:val="18"/>
                <w:szCs w:val="18"/>
                <w:color w:val="auto"/>
              </w:rPr>
              <w:t>Costs and expenses:</w:t>
            </w:r>
          </w:p>
        </w:tc>
        <w:tc>
          <w:tcPr>
            <w:tcW w:w="1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Operating</w:t>
            </w:r>
          </w:p>
        </w:tc>
        <w:tc>
          <w:tcPr>
            <w:tcW w:w="1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1,725</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tcPr>
          <w:p>
            <w:pPr>
              <w:ind w:left="200"/>
              <w:spacing w:after="0"/>
              <w:rPr>
                <w:sz w:val="20"/>
                <w:szCs w:val="20"/>
                <w:color w:val="auto"/>
              </w:rPr>
            </w:pPr>
            <w:r>
              <w:rPr>
                <w:rFonts w:ascii="Arial" w:cs="Arial" w:eastAsia="Arial" w:hAnsi="Arial"/>
                <w:sz w:val="18"/>
                <w:szCs w:val="18"/>
                <w:color w:val="auto"/>
              </w:rPr>
              <w:t>Selling, general and administrative</w:t>
            </w:r>
          </w:p>
        </w:tc>
        <w:tc>
          <w:tcPr>
            <w:tcW w:w="1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337</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368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Depreciation and amortization</w:t>
            </w:r>
          </w:p>
        </w:tc>
        <w:tc>
          <w:tcPr>
            <w:tcW w:w="1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289</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tcPr>
          <w:p>
            <w:pPr>
              <w:ind w:left="200"/>
              <w:spacing w:after="0"/>
              <w:rPr>
                <w:sz w:val="20"/>
                <w:szCs w:val="20"/>
                <w:color w:val="auto"/>
              </w:rPr>
            </w:pPr>
            <w:r>
              <w:rPr>
                <w:rFonts w:ascii="Arial" w:cs="Arial" w:eastAsia="Arial" w:hAnsi="Arial"/>
                <w:sz w:val="18"/>
                <w:szCs w:val="18"/>
                <w:color w:val="auto"/>
              </w:rPr>
              <w:t>Restructuring</w:t>
            </w:r>
          </w:p>
        </w:tc>
        <w:tc>
          <w:tcPr>
            <w:tcW w:w="1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38</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(Income) expense from divestitures, asset impairments and unusual items</w:t>
            </w:r>
          </w:p>
        </w:tc>
        <w:tc>
          <w:tcPr>
            <w:tcW w:w="1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49</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62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2,438</w:t>
            </w:r>
          </w:p>
        </w:tc>
        <w:tc>
          <w:tcPr>
            <w:tcW w:w="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2,755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1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372</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511</w:t>
            </w:r>
          </w:p>
        </w:tc>
        <w:tc>
          <w:tcPr>
            <w:tcW w:w="0" w:type="dxa"/>
            <w:vAlign w:val="bottom"/>
          </w:tcPr>
          <w:p>
            <w:pPr>
              <w:spacing w:after="0"/>
              <w:rPr>
                <w:sz w:val="1"/>
                <w:szCs w:val="1"/>
                <w:color w:val="auto"/>
              </w:rPr>
            </w:pPr>
          </w:p>
        </w:tc>
      </w:tr>
      <w:tr>
        <w:trPr>
          <w:trHeight w:val="439"/>
        </w:trPr>
        <w:tc>
          <w:tcPr>
            <w:tcW w:w="7640" w:type="dxa"/>
            <w:vAlign w:val="bottom"/>
            <w:gridSpan w:val="2"/>
          </w:tcPr>
          <w:p>
            <w:pPr>
              <w:spacing w:after="0"/>
              <w:rPr>
                <w:sz w:val="20"/>
                <w:szCs w:val="20"/>
                <w:color w:val="auto"/>
              </w:rPr>
            </w:pPr>
            <w:r>
              <w:rPr>
                <w:rFonts w:ascii="Arial" w:cs="Arial" w:eastAsia="Arial" w:hAnsi="Arial"/>
                <w:sz w:val="18"/>
                <w:szCs w:val="18"/>
                <w:color w:val="auto"/>
              </w:rPr>
              <w:t>Other income (expense):</w:t>
            </w:r>
          </w:p>
        </w:tc>
        <w:tc>
          <w:tcPr>
            <w:tcW w:w="164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expense</w:t>
            </w:r>
          </w:p>
        </w:tc>
        <w:tc>
          <w:tcPr>
            <w:tcW w:w="1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(105)</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tcPr>
          <w:p>
            <w:pPr>
              <w:ind w:left="200"/>
              <w:spacing w:after="0"/>
              <w:rPr>
                <w:sz w:val="20"/>
                <w:szCs w:val="20"/>
                <w:color w:val="auto"/>
              </w:rPr>
            </w:pPr>
            <w:r>
              <w:rPr>
                <w:rFonts w:ascii="Arial" w:cs="Arial" w:eastAsia="Arial" w:hAnsi="Arial"/>
                <w:sz w:val="18"/>
                <w:szCs w:val="18"/>
                <w:color w:val="auto"/>
              </w:rPr>
              <w:t>Interest income</w:t>
            </w:r>
          </w:p>
        </w:tc>
        <w:tc>
          <w:tcPr>
            <w:tcW w:w="1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4</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net</w:t>
            </w:r>
          </w:p>
        </w:tc>
        <w:tc>
          <w:tcPr>
            <w:tcW w:w="1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62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(101)</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762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2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1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271</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1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101</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144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6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20" w:type="dxa"/>
            <w:vAlign w:val="bottom"/>
            <w:shd w:val="clear" w:color="auto" w:fill="CCEEFF"/>
          </w:tcPr>
          <w:p>
            <w:pPr>
              <w:spacing w:after="0"/>
              <w:rPr>
                <w:sz w:val="20"/>
                <w:szCs w:val="20"/>
                <w:color w:val="auto"/>
              </w:rPr>
            </w:pPr>
            <w:r>
              <w:rPr>
                <w:rFonts w:ascii="Arial" w:cs="Arial" w:eastAsia="Arial" w:hAnsi="Arial"/>
                <w:sz w:val="18"/>
                <w:szCs w:val="18"/>
                <w:color w:val="auto"/>
              </w:rPr>
              <w:t>Consolidated net income</w:t>
            </w:r>
          </w:p>
        </w:tc>
        <w:tc>
          <w:tcPr>
            <w:tcW w:w="1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170</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tcPr>
          <w:p>
            <w:pPr>
              <w:ind w:left="200"/>
              <w:spacing w:after="0"/>
              <w:rPr>
                <w:sz w:val="20"/>
                <w:szCs w:val="20"/>
                <w:color w:val="auto"/>
              </w:rPr>
            </w:pPr>
            <w:r>
              <w:rPr>
                <w:rFonts w:ascii="Arial" w:cs="Arial" w:eastAsia="Arial" w:hAnsi="Arial"/>
                <w:sz w:val="18"/>
                <w:szCs w:val="18"/>
                <w:color w:val="auto"/>
              </w:rPr>
              <w:t>Less — Net income attributable to noncontrolling interests</w:t>
            </w:r>
          </w:p>
        </w:tc>
        <w:tc>
          <w:tcPr>
            <w:tcW w:w="1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(15)</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6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20" w:type="dxa"/>
            <w:vAlign w:val="bottom"/>
            <w:shd w:val="clear" w:color="auto" w:fill="CCEEFF"/>
          </w:tcPr>
          <w:p>
            <w:pPr>
              <w:spacing w:after="0"/>
              <w:rPr>
                <w:sz w:val="20"/>
                <w:szCs w:val="20"/>
                <w:color w:val="auto"/>
              </w:rPr>
            </w:pPr>
            <w:r>
              <w:rPr>
                <w:rFonts w:ascii="Arial" w:cs="Arial" w:eastAsia="Arial" w:hAnsi="Arial"/>
                <w:sz w:val="18"/>
                <w:szCs w:val="18"/>
                <w:color w:val="auto"/>
              </w:rPr>
              <w:t>Net income attributable to Waste Management, Inc.</w:t>
            </w:r>
          </w:p>
        </w:tc>
        <w:tc>
          <w:tcPr>
            <w:tcW w:w="1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155</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241</w:t>
            </w:r>
          </w:p>
        </w:tc>
        <w:tc>
          <w:tcPr>
            <w:tcW w:w="0" w:type="dxa"/>
            <w:vAlign w:val="bottom"/>
          </w:tcPr>
          <w:p>
            <w:pPr>
              <w:spacing w:after="0"/>
              <w:rPr>
                <w:sz w:val="1"/>
                <w:szCs w:val="1"/>
                <w:color w:val="auto"/>
              </w:rPr>
            </w:pPr>
          </w:p>
        </w:tc>
      </w:tr>
      <w:tr>
        <w:trPr>
          <w:trHeight w:val="20"/>
        </w:trPr>
        <w:tc>
          <w:tcPr>
            <w:tcW w:w="7640" w:type="dxa"/>
            <w:vAlign w:val="bottom"/>
            <w:gridSpan w:val="2"/>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7640" w:type="dxa"/>
            <w:vAlign w:val="bottom"/>
            <w:gridSpan w:val="2"/>
          </w:tcPr>
          <w:p>
            <w:pPr>
              <w:spacing w:after="0"/>
              <w:rPr>
                <w:sz w:val="20"/>
                <w:szCs w:val="20"/>
                <w:color w:val="auto"/>
              </w:rPr>
            </w:pPr>
            <w:r>
              <w:rPr>
                <w:rFonts w:ascii="Arial" w:cs="Arial" w:eastAsia="Arial" w:hAnsi="Arial"/>
                <w:sz w:val="18"/>
                <w:szCs w:val="18"/>
                <w:color w:val="auto"/>
              </w:rPr>
              <w:t>Basic earnings per common share</w:t>
            </w:r>
          </w:p>
        </w:tc>
        <w:tc>
          <w:tcPr>
            <w:tcW w:w="17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0.31</w:t>
            </w: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0.49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76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20" w:type="dxa"/>
            <w:vAlign w:val="bottom"/>
            <w:shd w:val="clear" w:color="auto" w:fill="CCEEFF"/>
          </w:tcPr>
          <w:p>
            <w:pPr>
              <w:spacing w:after="0"/>
              <w:rPr>
                <w:sz w:val="20"/>
                <w:szCs w:val="20"/>
                <w:color w:val="auto"/>
              </w:rPr>
            </w:pPr>
            <w:r>
              <w:rPr>
                <w:rFonts w:ascii="Arial" w:cs="Arial" w:eastAsia="Arial" w:hAnsi="Arial"/>
                <w:sz w:val="18"/>
                <w:szCs w:val="18"/>
                <w:color w:val="auto"/>
              </w:rPr>
              <w:t>Diluted earnings per common share</w:t>
            </w:r>
          </w:p>
        </w:tc>
        <w:tc>
          <w:tcPr>
            <w:tcW w:w="1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0.31</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0.48</w:t>
            </w:r>
          </w:p>
        </w:tc>
        <w:tc>
          <w:tcPr>
            <w:tcW w:w="0" w:type="dxa"/>
            <w:vAlign w:val="bottom"/>
          </w:tcPr>
          <w:p>
            <w:pPr>
              <w:spacing w:after="0"/>
              <w:rPr>
                <w:sz w:val="1"/>
                <w:szCs w:val="1"/>
                <w:color w:val="auto"/>
              </w:rPr>
            </w:pPr>
          </w:p>
        </w:tc>
      </w:tr>
      <w:tr>
        <w:trPr>
          <w:trHeight w:val="20"/>
        </w:trPr>
        <w:tc>
          <w:tcPr>
            <w:tcW w:w="7640" w:type="dxa"/>
            <w:vAlign w:val="bottom"/>
            <w:gridSpan w:val="2"/>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7640" w:type="dxa"/>
            <w:vAlign w:val="bottom"/>
            <w:gridSpan w:val="2"/>
          </w:tcPr>
          <w:p>
            <w:pPr>
              <w:spacing w:after="0"/>
              <w:rPr>
                <w:sz w:val="20"/>
                <w:szCs w:val="20"/>
                <w:color w:val="auto"/>
              </w:rPr>
            </w:pPr>
            <w:r>
              <w:rPr>
                <w:rFonts w:ascii="Arial" w:cs="Arial" w:eastAsia="Arial" w:hAnsi="Arial"/>
                <w:sz w:val="18"/>
                <w:szCs w:val="18"/>
                <w:color w:val="auto"/>
              </w:rPr>
              <w:t>Basic common shares outstanding</w:t>
            </w:r>
          </w:p>
        </w:tc>
        <w:tc>
          <w:tcPr>
            <w:tcW w:w="1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491.8</w:t>
            </w: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496.0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76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20" w:type="dxa"/>
            <w:vAlign w:val="bottom"/>
            <w:shd w:val="clear" w:color="auto" w:fill="CCEEFF"/>
          </w:tcPr>
          <w:p>
            <w:pPr>
              <w:spacing w:after="0"/>
              <w:rPr>
                <w:sz w:val="20"/>
                <w:szCs w:val="20"/>
                <w:color w:val="auto"/>
              </w:rPr>
            </w:pPr>
            <w:r>
              <w:rPr>
                <w:rFonts w:ascii="Arial" w:cs="Arial" w:eastAsia="Arial" w:hAnsi="Arial"/>
                <w:sz w:val="18"/>
                <w:szCs w:val="18"/>
                <w:color w:val="auto"/>
              </w:rPr>
              <w:t>Diluted common shares outstanding</w:t>
            </w:r>
          </w:p>
        </w:tc>
        <w:tc>
          <w:tcPr>
            <w:tcW w:w="1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493.0</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498.3</w:t>
            </w:r>
          </w:p>
        </w:tc>
        <w:tc>
          <w:tcPr>
            <w:tcW w:w="0" w:type="dxa"/>
            <w:vAlign w:val="bottom"/>
          </w:tcPr>
          <w:p>
            <w:pPr>
              <w:spacing w:after="0"/>
              <w:rPr>
                <w:sz w:val="1"/>
                <w:szCs w:val="1"/>
                <w:color w:val="auto"/>
              </w:rPr>
            </w:pPr>
          </w:p>
        </w:tc>
      </w:tr>
      <w:tr>
        <w:trPr>
          <w:trHeight w:val="20"/>
        </w:trPr>
        <w:tc>
          <w:tcPr>
            <w:tcW w:w="7640" w:type="dxa"/>
            <w:vAlign w:val="bottom"/>
            <w:gridSpan w:val="2"/>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7640" w:type="dxa"/>
            <w:vAlign w:val="bottom"/>
            <w:gridSpan w:val="2"/>
          </w:tcPr>
          <w:p>
            <w:pPr>
              <w:spacing w:after="0"/>
              <w:rPr>
                <w:sz w:val="20"/>
                <w:szCs w:val="20"/>
                <w:color w:val="auto"/>
              </w:rPr>
            </w:pPr>
            <w:r>
              <w:rPr>
                <w:rFonts w:ascii="Arial" w:cs="Arial" w:eastAsia="Arial" w:hAnsi="Arial"/>
                <w:sz w:val="18"/>
                <w:szCs w:val="18"/>
                <w:color w:val="auto"/>
              </w:rPr>
              <w:t>Cash dividends declared per common share</w:t>
            </w:r>
          </w:p>
        </w:tc>
        <w:tc>
          <w:tcPr>
            <w:tcW w:w="17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0.29</w:t>
            </w: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0.27</w:t>
            </w:r>
          </w:p>
        </w:tc>
        <w:tc>
          <w:tcPr>
            <w:tcW w:w="0" w:type="dxa"/>
            <w:vAlign w:val="bottom"/>
          </w:tcPr>
          <w:p>
            <w:pPr>
              <w:spacing w:after="0"/>
              <w:rPr>
                <w:sz w:val="1"/>
                <w:szCs w:val="1"/>
                <w:color w:val="auto"/>
              </w:rPr>
            </w:pPr>
          </w:p>
        </w:tc>
      </w:tr>
      <w:tr>
        <w:trPr>
          <w:trHeight w:val="20"/>
        </w:trPr>
        <w:tc>
          <w:tcPr>
            <w:tcW w:w="7640" w:type="dxa"/>
            <w:vAlign w:val="bottom"/>
            <w:gridSpan w:val="2"/>
            <w:vMerge w:val="restart"/>
          </w:tcPr>
          <w:p>
            <w:pPr>
              <w:spacing w:after="0"/>
              <w:rPr>
                <w:sz w:val="20"/>
                <w:szCs w:val="20"/>
                <w:color w:val="auto"/>
              </w:rPr>
            </w:pPr>
            <w:r>
              <w:rPr>
                <w:rFonts w:ascii="Arial" w:cs="Arial" w:eastAsia="Arial" w:hAnsi="Arial"/>
                <w:sz w:val="18"/>
                <w:szCs w:val="18"/>
                <w:color w:val="auto"/>
              </w:rPr>
              <w:t>Note: Prior year information has been reclassified to conform to 2009 presentation.</w:t>
            </w:r>
          </w:p>
        </w:tc>
        <w:tc>
          <w:tcPr>
            <w:tcW w:w="16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7640" w:type="dxa"/>
            <w:vAlign w:val="bottom"/>
            <w:gridSpan w:val="2"/>
            <w:vMerge w:val="continue"/>
          </w:tcPr>
          <w:p>
            <w:pPr>
              <w:spacing w:after="0"/>
              <w:rPr>
                <w:sz w:val="24"/>
                <w:szCs w:val="24"/>
                <w:color w:val="auto"/>
              </w:rPr>
            </w:pPr>
          </w:p>
        </w:tc>
        <w:tc>
          <w:tcPr>
            <w:tcW w:w="1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7640" w:type="dxa"/>
            <w:vAlign w:val="bottom"/>
            <w:gridSpan w:val="2"/>
          </w:tcPr>
          <w:p>
            <w:pPr>
              <w:ind w:left="5600"/>
              <w:spacing w:after="0"/>
              <w:rPr>
                <w:sz w:val="20"/>
                <w:szCs w:val="20"/>
                <w:color w:val="auto"/>
              </w:rPr>
            </w:pPr>
            <w:r>
              <w:rPr>
                <w:rFonts w:ascii="Arial" w:cs="Arial" w:eastAsia="Arial" w:hAnsi="Arial"/>
                <w:sz w:val="18"/>
                <w:szCs w:val="18"/>
                <w:color w:val="auto"/>
              </w:rPr>
              <w:t>(1)</w:t>
            </w:r>
          </w:p>
        </w:tc>
        <w:tc>
          <w:tcPr>
            <w:tcW w:w="1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7620" w:type="dxa"/>
            <w:vAlign w:val="bottom"/>
            <w:tcBorders>
              <w:bottom w:val="single" w:sz="8" w:color="808080"/>
            </w:tcBorders>
          </w:tcPr>
          <w:p>
            <w:pPr>
              <w:spacing w:after="0"/>
              <w:rPr>
                <w:sz w:val="19"/>
                <w:szCs w:val="19"/>
                <w:color w:val="auto"/>
              </w:rPr>
            </w:pPr>
          </w:p>
        </w:tc>
        <w:tc>
          <w:tcPr>
            <w:tcW w:w="164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Earnings Per Share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0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0" w:type="dxa"/>
            <w:vAlign w:val="bottom"/>
            <w:gridSpan w:val="6"/>
          </w:tcPr>
          <w:p>
            <w:pPr>
              <w:jc w:val="right"/>
              <w:ind w:right="300"/>
              <w:spacing w:after="0"/>
              <w:rPr>
                <w:sz w:val="20"/>
                <w:szCs w:val="20"/>
                <w:color w:val="auto"/>
              </w:rPr>
            </w:pPr>
            <w:r>
              <w:rPr>
                <w:rFonts w:ascii="Arial" w:cs="Arial" w:eastAsia="Arial" w:hAnsi="Arial"/>
                <w:sz w:val="14"/>
                <w:szCs w:val="14"/>
                <w:b w:val="1"/>
                <w:bCs w:val="1"/>
                <w:color w:val="auto"/>
                <w:w w:val="96"/>
              </w:rPr>
              <w:t>Quarters Ended March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0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2009</w:t>
            </w:r>
          </w:p>
        </w:tc>
        <w:tc>
          <w:tcPr>
            <w:tcW w:w="36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EPS Calculation:</w:t>
            </w:r>
          </w:p>
        </w:tc>
        <w:tc>
          <w:tcPr>
            <w:tcW w:w="1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8040" w:type="dxa"/>
            <w:vAlign w:val="bottom"/>
            <w:gridSpan w:val="2"/>
          </w:tcPr>
          <w:p>
            <w:pPr>
              <w:spacing w:after="0"/>
              <w:rPr>
                <w:sz w:val="20"/>
                <w:szCs w:val="20"/>
                <w:color w:val="auto"/>
              </w:rPr>
            </w:pPr>
            <w:r>
              <w:rPr>
                <w:rFonts w:ascii="Arial" w:cs="Arial" w:eastAsia="Arial" w:hAnsi="Arial"/>
                <w:sz w:val="18"/>
                <w:szCs w:val="18"/>
                <w:color w:val="auto"/>
              </w:rPr>
              <w:t>Net income attributable to Waste Management, Inc.</w:t>
            </w:r>
          </w:p>
        </w:tc>
        <w:tc>
          <w:tcPr>
            <w:tcW w:w="13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155</w:t>
            </w: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241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80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Number of common shares outstanding at end of period</w:t>
            </w:r>
          </w:p>
        </w:tc>
        <w:tc>
          <w:tcPr>
            <w:tcW w:w="1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491.9</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ind w:left="200"/>
              <w:spacing w:after="0"/>
              <w:rPr>
                <w:sz w:val="20"/>
                <w:szCs w:val="20"/>
                <w:color w:val="auto"/>
              </w:rPr>
            </w:pPr>
            <w:r>
              <w:rPr>
                <w:rFonts w:ascii="Arial" w:cs="Arial" w:eastAsia="Arial" w:hAnsi="Arial"/>
                <w:sz w:val="18"/>
                <w:szCs w:val="18"/>
                <w:color w:val="auto"/>
              </w:rPr>
              <w:t>Effect of using weighted average common shares outstanding</w:t>
            </w: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(0.1)</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0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basic common shares outstanding</w:t>
            </w:r>
          </w:p>
        </w:tc>
        <w:tc>
          <w:tcPr>
            <w:tcW w:w="1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491.8</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ind w:left="200"/>
              <w:spacing w:after="0"/>
              <w:rPr>
                <w:sz w:val="20"/>
                <w:szCs w:val="20"/>
                <w:color w:val="auto"/>
              </w:rPr>
            </w:pPr>
            <w:r>
              <w:rPr>
                <w:rFonts w:ascii="Arial" w:cs="Arial" w:eastAsia="Arial" w:hAnsi="Arial"/>
                <w:sz w:val="18"/>
                <w:szCs w:val="18"/>
                <w:color w:val="auto"/>
              </w:rPr>
              <w:t>Dilutive effect of equity-based compensation awards and other contingently issuable shares</w:t>
            </w: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1.2</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0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diluted common shares outstanding</w:t>
            </w:r>
          </w:p>
        </w:tc>
        <w:tc>
          <w:tcPr>
            <w:tcW w:w="1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493.0</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498.3</w:t>
            </w:r>
          </w:p>
        </w:tc>
        <w:tc>
          <w:tcPr>
            <w:tcW w:w="0" w:type="dxa"/>
            <w:vAlign w:val="bottom"/>
          </w:tcPr>
          <w:p>
            <w:pPr>
              <w:spacing w:after="0"/>
              <w:rPr>
                <w:sz w:val="1"/>
                <w:szCs w:val="1"/>
                <w:color w:val="auto"/>
              </w:rPr>
            </w:pPr>
          </w:p>
        </w:tc>
      </w:tr>
      <w:tr>
        <w:trPr>
          <w:trHeight w:val="20"/>
        </w:trPr>
        <w:tc>
          <w:tcPr>
            <w:tcW w:w="8040" w:type="dxa"/>
            <w:vAlign w:val="bottom"/>
            <w:gridSpan w:val="2"/>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8040" w:type="dxa"/>
            <w:vAlign w:val="bottom"/>
            <w:gridSpan w:val="2"/>
          </w:tcPr>
          <w:p>
            <w:pPr>
              <w:spacing w:after="0"/>
              <w:rPr>
                <w:sz w:val="20"/>
                <w:szCs w:val="20"/>
                <w:color w:val="auto"/>
              </w:rPr>
            </w:pPr>
            <w:r>
              <w:rPr>
                <w:rFonts w:ascii="Arial" w:cs="Arial" w:eastAsia="Arial" w:hAnsi="Arial"/>
                <w:sz w:val="18"/>
                <w:szCs w:val="18"/>
                <w:color w:val="auto"/>
              </w:rPr>
              <w:t>Basic earnings per common share</w:t>
            </w:r>
          </w:p>
        </w:tc>
        <w:tc>
          <w:tcPr>
            <w:tcW w:w="13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0.31</w:t>
            </w: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0.49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80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Diluted earnings per common share</w:t>
            </w:r>
          </w:p>
        </w:tc>
        <w:tc>
          <w:tcPr>
            <w:tcW w:w="1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0.31</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0.48</w:t>
            </w:r>
          </w:p>
        </w:tc>
        <w:tc>
          <w:tcPr>
            <w:tcW w:w="0" w:type="dxa"/>
            <w:vAlign w:val="bottom"/>
          </w:tcPr>
          <w:p>
            <w:pPr>
              <w:spacing w:after="0"/>
              <w:rPr>
                <w:sz w:val="1"/>
                <w:szCs w:val="1"/>
                <w:color w:val="auto"/>
              </w:rPr>
            </w:pPr>
          </w:p>
        </w:tc>
      </w:tr>
      <w:tr>
        <w:trPr>
          <w:trHeight w:val="20"/>
        </w:trPr>
        <w:tc>
          <w:tcPr>
            <w:tcW w:w="8040" w:type="dxa"/>
            <w:vAlign w:val="bottom"/>
            <w:gridSpan w:val="2"/>
            <w:vMerge w:val="restart"/>
          </w:tcPr>
          <w:p>
            <w:pPr>
              <w:jc w:val="right"/>
              <w:ind w:right="2130"/>
              <w:spacing w:after="0"/>
              <w:rPr>
                <w:sz w:val="20"/>
                <w:szCs w:val="20"/>
                <w:color w:val="auto"/>
              </w:rPr>
            </w:pPr>
            <w:r>
              <w:rPr>
                <w:rFonts w:ascii="Arial" w:cs="Arial" w:eastAsia="Arial" w:hAnsi="Arial"/>
                <w:sz w:val="18"/>
                <w:szCs w:val="18"/>
                <w:color w:val="auto"/>
              </w:rPr>
              <w:t>(2)</w:t>
            </w:r>
          </w:p>
        </w:tc>
        <w:tc>
          <w:tcPr>
            <w:tcW w:w="1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8040" w:type="dxa"/>
            <w:vAlign w:val="bottom"/>
            <w:gridSpan w:val="2"/>
            <w:vMerge w:val="continue"/>
          </w:tcPr>
          <w:p>
            <w:pPr>
              <w:spacing w:after="0"/>
              <w:rPr>
                <w:sz w:val="24"/>
                <w:szCs w:val="24"/>
                <w:color w:val="auto"/>
              </w:rPr>
            </w:pPr>
          </w:p>
        </w:tc>
        <w:tc>
          <w:tcPr>
            <w:tcW w:w="1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8020" w:type="dxa"/>
            <w:vAlign w:val="bottom"/>
            <w:tcBorders>
              <w:bottom w:val="single" w:sz="8" w:color="808080"/>
            </w:tcBorders>
          </w:tcPr>
          <w:p>
            <w:pPr>
              <w:spacing w:after="0"/>
              <w:rPr>
                <w:sz w:val="19"/>
                <w:szCs w:val="19"/>
                <w:color w:val="auto"/>
              </w:rPr>
            </w:pPr>
          </w:p>
        </w:tc>
        <w:tc>
          <w:tcPr>
            <w:tcW w:w="124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040" w:type="dxa"/>
            <w:vAlign w:val="bottom"/>
          </w:tcPr>
          <w:p>
            <w:pPr>
              <w:spacing w:after="0"/>
              <w:rPr>
                <w:sz w:val="14"/>
                <w:szCs w:val="14"/>
                <w:color w:val="auto"/>
              </w:rPr>
            </w:pPr>
          </w:p>
        </w:tc>
        <w:tc>
          <w:tcPr>
            <w:tcW w:w="1420" w:type="dxa"/>
            <w:vAlign w:val="bottom"/>
            <w:gridSpan w:val="4"/>
          </w:tcPr>
          <w:p>
            <w:pPr>
              <w:ind w:left="60"/>
              <w:spacing w:after="0"/>
              <w:rPr>
                <w:sz w:val="20"/>
                <w:szCs w:val="20"/>
                <w:color w:val="auto"/>
              </w:rPr>
            </w:pPr>
            <w:r>
              <w:rPr>
                <w:rFonts w:ascii="Arial" w:cs="Arial" w:eastAsia="Arial" w:hAnsi="Arial"/>
                <w:sz w:val="14"/>
                <w:szCs w:val="14"/>
                <w:b w:val="1"/>
                <w:bCs w:val="1"/>
                <w:color w:val="auto"/>
              </w:rPr>
              <w:t>March 31,</w:t>
            </w: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90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31"/>
              <w:spacing w:after="0"/>
              <w:rPr>
                <w:sz w:val="20"/>
                <w:szCs w:val="20"/>
                <w:color w:val="auto"/>
              </w:rPr>
            </w:pPr>
            <w:r>
              <w:rPr>
                <w:rFonts w:ascii="Arial" w:cs="Arial" w:eastAsia="Arial" w:hAnsi="Arial"/>
                <w:sz w:val="14"/>
                <w:szCs w:val="14"/>
                <w:b w:val="1"/>
                <w:bCs w:val="1"/>
                <w:color w:val="auto"/>
              </w:rPr>
              <w:t>2009</w:t>
            </w:r>
          </w:p>
        </w:tc>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040" w:type="dxa"/>
            <w:vAlign w:val="bottom"/>
          </w:tcPr>
          <w:p>
            <w:pPr>
              <w:spacing w:after="0"/>
              <w:rPr>
                <w:sz w:val="12"/>
                <w:szCs w:val="12"/>
                <w:color w:val="auto"/>
              </w:rPr>
            </w:pPr>
          </w:p>
        </w:tc>
        <w:tc>
          <w:tcPr>
            <w:tcW w:w="74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92"/>
              </w:rPr>
              <w:t>(Unaudited)</w:t>
            </w:r>
          </w:p>
        </w:tc>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906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Cash and cash equivalents</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947</w:t>
            </w: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tcPr>
          <w:p>
            <w:pPr>
              <w:ind w:left="200"/>
              <w:spacing w:after="0"/>
              <w:rPr>
                <w:sz w:val="20"/>
                <w:szCs w:val="20"/>
                <w:color w:val="auto"/>
              </w:rPr>
            </w:pPr>
            <w:r>
              <w:rPr>
                <w:rFonts w:ascii="Arial" w:cs="Arial" w:eastAsia="Arial" w:hAnsi="Arial"/>
                <w:sz w:val="18"/>
                <w:szCs w:val="18"/>
                <w:color w:val="auto"/>
              </w:rPr>
              <w:t>Receivables, net</w:t>
            </w:r>
          </w:p>
        </w:tc>
        <w:tc>
          <w:tcPr>
            <w:tcW w:w="16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1,468</w:t>
            </w: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1,610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w:t>
            </w:r>
          </w:p>
        </w:tc>
        <w:tc>
          <w:tcPr>
            <w:tcW w:w="1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289</w:t>
            </w: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245</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9040" w:type="dxa"/>
            <w:vAlign w:val="bottom"/>
          </w:tcPr>
          <w:p>
            <w:pPr>
              <w:ind w:left="400"/>
              <w:spacing w:after="0"/>
              <w:rPr>
                <w:sz w:val="20"/>
                <w:szCs w:val="20"/>
                <w:color w:val="auto"/>
              </w:rPr>
            </w:pPr>
            <w:r>
              <w:rPr>
                <w:rFonts w:ascii="Arial" w:cs="Arial" w:eastAsia="Arial" w:hAnsi="Arial"/>
                <w:sz w:val="18"/>
                <w:szCs w:val="18"/>
                <w:color w:val="auto"/>
              </w:rPr>
              <w:t>Total current assets</w:t>
            </w:r>
          </w:p>
        </w:tc>
        <w:tc>
          <w:tcPr>
            <w:tcW w:w="16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2,704</w:t>
            </w: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2,335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9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4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1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11,206</w:t>
            </w: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11,402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tcPr>
          <w:p>
            <w:pPr>
              <w:spacing w:after="0"/>
              <w:rPr>
                <w:sz w:val="20"/>
                <w:szCs w:val="20"/>
                <w:color w:val="auto"/>
              </w:rPr>
            </w:pPr>
            <w:r>
              <w:rPr>
                <w:rFonts w:ascii="Arial" w:cs="Arial" w:eastAsia="Arial" w:hAnsi="Arial"/>
                <w:sz w:val="18"/>
                <w:szCs w:val="18"/>
                <w:color w:val="auto"/>
              </w:rPr>
              <w:t>Goodwill</w:t>
            </w:r>
          </w:p>
        </w:tc>
        <w:tc>
          <w:tcPr>
            <w:tcW w:w="16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5,471</w:t>
            </w: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5,462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shd w:val="clear" w:color="auto" w:fill="CCEEFF"/>
          </w:tcPr>
          <w:p>
            <w:pPr>
              <w:spacing w:after="0"/>
              <w:rPr>
                <w:sz w:val="20"/>
                <w:szCs w:val="20"/>
                <w:color w:val="auto"/>
              </w:rPr>
            </w:pPr>
            <w:r>
              <w:rPr>
                <w:rFonts w:ascii="Arial" w:cs="Arial" w:eastAsia="Arial" w:hAnsi="Arial"/>
                <w:sz w:val="18"/>
                <w:szCs w:val="18"/>
                <w:color w:val="auto"/>
              </w:rPr>
              <w:t>Other intangible assets, net</w:t>
            </w:r>
          </w:p>
        </w:tc>
        <w:tc>
          <w:tcPr>
            <w:tcW w:w="1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162</w:t>
            </w: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040" w:type="dxa"/>
            <w:vAlign w:val="bottom"/>
          </w:tcPr>
          <w:p>
            <w:pPr>
              <w:spacing w:after="0"/>
              <w:rPr>
                <w:sz w:val="20"/>
                <w:szCs w:val="20"/>
                <w:color w:val="auto"/>
              </w:rPr>
            </w:pPr>
            <w:r>
              <w:rPr>
                <w:rFonts w:ascii="Arial" w:cs="Arial" w:eastAsia="Arial" w:hAnsi="Arial"/>
                <w:sz w:val="18"/>
                <w:szCs w:val="18"/>
                <w:color w:val="auto"/>
              </w:rPr>
              <w:t>Other assets</w:t>
            </w:r>
          </w:p>
        </w:tc>
        <w:tc>
          <w:tcPr>
            <w:tcW w:w="1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857</w:t>
            </w: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 assets</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20,400</w:t>
            </w: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20,227</w:t>
            </w:r>
          </w:p>
        </w:tc>
        <w:tc>
          <w:tcPr>
            <w:tcW w:w="0" w:type="dxa"/>
            <w:vAlign w:val="bottom"/>
          </w:tcPr>
          <w:p>
            <w:pPr>
              <w:spacing w:after="0"/>
              <w:rPr>
                <w:sz w:val="1"/>
                <w:szCs w:val="1"/>
                <w:color w:val="auto"/>
              </w:rPr>
            </w:pPr>
          </w:p>
        </w:tc>
      </w:tr>
      <w:tr>
        <w:trPr>
          <w:trHeight w:val="20"/>
        </w:trPr>
        <w:tc>
          <w:tcPr>
            <w:tcW w:w="90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Liabilities and Equity</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9060" w:type="dxa"/>
            <w:vAlign w:val="bottom"/>
            <w:gridSpan w:val="2"/>
            <w:vMerge w:val="continue"/>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4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tcPr>
          <w:p>
            <w:pPr>
              <w:ind w:left="200"/>
              <w:spacing w:after="0"/>
              <w:rPr>
                <w:sz w:val="20"/>
                <w:szCs w:val="20"/>
                <w:color w:val="auto"/>
              </w:rPr>
            </w:pPr>
            <w:r>
              <w:rPr>
                <w:rFonts w:ascii="Arial" w:cs="Arial" w:eastAsia="Arial" w:hAnsi="Arial"/>
                <w:sz w:val="18"/>
                <w:szCs w:val="18"/>
                <w:color w:val="auto"/>
              </w:rPr>
              <w:t>Accounts payable, accrued liabilities, and deferred revenues</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1,893</w:t>
            </w:r>
          </w:p>
        </w:tc>
        <w:tc>
          <w:tcPr>
            <w:tcW w:w="66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2,201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Current portion of long-term debt</w:t>
            </w:r>
          </w:p>
        </w:tc>
        <w:tc>
          <w:tcPr>
            <w:tcW w:w="1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693</w:t>
            </w: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835</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9040" w:type="dxa"/>
            <w:vAlign w:val="bottom"/>
          </w:tcPr>
          <w:p>
            <w:pPr>
              <w:ind w:left="400"/>
              <w:spacing w:after="0"/>
              <w:rPr>
                <w:sz w:val="20"/>
                <w:szCs w:val="20"/>
                <w:color w:val="auto"/>
              </w:rPr>
            </w:pPr>
            <w:r>
              <w:rPr>
                <w:rFonts w:ascii="Arial" w:cs="Arial" w:eastAsia="Arial" w:hAnsi="Arial"/>
                <w:sz w:val="18"/>
                <w:szCs w:val="18"/>
                <w:color w:val="auto"/>
              </w:rPr>
              <w:t>Total current liabilities</w:t>
            </w:r>
          </w:p>
        </w:tc>
        <w:tc>
          <w:tcPr>
            <w:tcW w:w="16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2,586</w:t>
            </w: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3,036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9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40" w:type="dxa"/>
            <w:vAlign w:val="bottom"/>
            <w:shd w:val="clear" w:color="auto" w:fill="CCEEFF"/>
          </w:tcPr>
          <w:p>
            <w:pPr>
              <w:spacing w:after="0"/>
              <w:rPr>
                <w:sz w:val="20"/>
                <w:szCs w:val="20"/>
                <w:color w:val="auto"/>
              </w:rPr>
            </w:pPr>
            <w:r>
              <w:rPr>
                <w:rFonts w:ascii="Arial" w:cs="Arial" w:eastAsia="Arial" w:hAnsi="Arial"/>
                <w:sz w:val="18"/>
                <w:szCs w:val="18"/>
                <w:color w:val="auto"/>
              </w:rPr>
              <w:t>Long-term debt, less current portion</w:t>
            </w:r>
          </w:p>
        </w:tc>
        <w:tc>
          <w:tcPr>
            <w:tcW w:w="1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8,096</w:t>
            </w: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7,491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040" w:type="dxa"/>
            <w:vAlign w:val="bottom"/>
          </w:tcPr>
          <w:p>
            <w:pPr>
              <w:spacing w:after="0"/>
              <w:rPr>
                <w:sz w:val="20"/>
                <w:szCs w:val="20"/>
                <w:color w:val="auto"/>
              </w:rPr>
            </w:pPr>
            <w:r>
              <w:rPr>
                <w:rFonts w:ascii="Arial" w:cs="Arial" w:eastAsia="Arial" w:hAnsi="Arial"/>
                <w:sz w:val="18"/>
                <w:szCs w:val="18"/>
                <w:color w:val="auto"/>
              </w:rPr>
              <w:t>Other liabilities</w:t>
            </w:r>
          </w:p>
        </w:tc>
        <w:tc>
          <w:tcPr>
            <w:tcW w:w="1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3,525</w:t>
            </w: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3,515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 liabilities</w:t>
            </w:r>
          </w:p>
        </w:tc>
        <w:tc>
          <w:tcPr>
            <w:tcW w:w="1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14,207</w:t>
            </w: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14,042</w:t>
            </w:r>
          </w:p>
        </w:tc>
        <w:tc>
          <w:tcPr>
            <w:tcW w:w="0" w:type="dxa"/>
            <w:vAlign w:val="bottom"/>
          </w:tcPr>
          <w:p>
            <w:pPr>
              <w:spacing w:after="0"/>
              <w:rPr>
                <w:sz w:val="1"/>
                <w:szCs w:val="1"/>
                <w:color w:val="auto"/>
              </w:rPr>
            </w:pPr>
          </w:p>
        </w:tc>
      </w:tr>
      <w:tr>
        <w:trPr>
          <w:trHeight w:val="432"/>
        </w:trPr>
        <w:tc>
          <w:tcPr>
            <w:tcW w:w="9060" w:type="dxa"/>
            <w:vAlign w:val="bottom"/>
            <w:gridSpan w:val="2"/>
          </w:tcPr>
          <w:p>
            <w:pPr>
              <w:spacing w:after="0"/>
              <w:rPr>
                <w:sz w:val="20"/>
                <w:szCs w:val="20"/>
                <w:color w:val="auto"/>
              </w:rPr>
            </w:pPr>
            <w:r>
              <w:rPr>
                <w:rFonts w:ascii="Arial" w:cs="Arial" w:eastAsia="Arial" w:hAnsi="Arial"/>
                <w:sz w:val="18"/>
                <w:szCs w:val="18"/>
                <w:color w:val="auto"/>
              </w:rPr>
              <w:t>Equity:</w:t>
            </w: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Waste Management, Inc. stockholders’ equity</w:t>
            </w:r>
          </w:p>
        </w:tc>
        <w:tc>
          <w:tcPr>
            <w:tcW w:w="1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5,903</w:t>
            </w: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5,902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040" w:type="dxa"/>
            <w:vAlign w:val="bottom"/>
          </w:tcPr>
          <w:p>
            <w:pPr>
              <w:ind w:left="200"/>
              <w:spacing w:after="0"/>
              <w:rPr>
                <w:sz w:val="20"/>
                <w:szCs w:val="20"/>
                <w:color w:val="auto"/>
              </w:rPr>
            </w:pPr>
            <w:r>
              <w:rPr>
                <w:rFonts w:ascii="Arial" w:cs="Arial" w:eastAsia="Arial" w:hAnsi="Arial"/>
                <w:sz w:val="18"/>
                <w:szCs w:val="18"/>
                <w:color w:val="auto"/>
              </w:rPr>
              <w:t>Noncontrolling interests</w:t>
            </w:r>
          </w:p>
        </w:tc>
        <w:tc>
          <w:tcPr>
            <w:tcW w:w="1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290</w:t>
            </w: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shd w:val="clear" w:color="auto" w:fill="CCEEFF"/>
          </w:tcPr>
          <w:p>
            <w:pPr>
              <w:ind w:left="600"/>
              <w:spacing w:after="0"/>
              <w:rPr>
                <w:sz w:val="20"/>
                <w:szCs w:val="20"/>
                <w:color w:val="auto"/>
              </w:rPr>
            </w:pPr>
            <w:r>
              <w:rPr>
                <w:rFonts w:ascii="Arial" w:cs="Arial" w:eastAsia="Arial" w:hAnsi="Arial"/>
                <w:sz w:val="18"/>
                <w:szCs w:val="18"/>
                <w:color w:val="auto"/>
              </w:rPr>
              <w:t>Total equity</w:t>
            </w:r>
          </w:p>
        </w:tc>
        <w:tc>
          <w:tcPr>
            <w:tcW w:w="1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6,193</w:t>
            </w: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6,185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040" w:type="dxa"/>
            <w:vAlign w:val="bottom"/>
          </w:tcPr>
          <w:p>
            <w:pPr>
              <w:ind w:left="400"/>
              <w:spacing w:after="0"/>
              <w:rPr>
                <w:sz w:val="20"/>
                <w:szCs w:val="20"/>
                <w:color w:val="auto"/>
              </w:rPr>
            </w:pPr>
            <w:r>
              <w:rPr>
                <w:rFonts w:ascii="Arial" w:cs="Arial" w:eastAsia="Arial" w:hAnsi="Arial"/>
                <w:sz w:val="18"/>
                <w:szCs w:val="18"/>
                <w:color w:val="auto"/>
              </w:rPr>
              <w:t>Total liabilities and equity</w:t>
            </w: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20,400</w:t>
            </w:r>
          </w:p>
        </w:tc>
        <w:tc>
          <w:tcPr>
            <w:tcW w:w="20" w:type="dxa"/>
            <w:vAlign w:val="bottom"/>
            <w:tcBorders>
              <w:bottom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20,227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Note: Prior year information has been reclassified to conform to 2009 presentation.</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0" w:type="dxa"/>
            <w:vAlign w:val="bottom"/>
            <w:gridSpan w:val="6"/>
          </w:tcPr>
          <w:p>
            <w:pPr>
              <w:jc w:val="right"/>
              <w:ind w:right="300"/>
              <w:spacing w:after="0"/>
              <w:rPr>
                <w:sz w:val="20"/>
                <w:szCs w:val="20"/>
                <w:color w:val="auto"/>
              </w:rPr>
            </w:pPr>
            <w:r>
              <w:rPr>
                <w:rFonts w:ascii="Arial" w:cs="Arial" w:eastAsia="Arial" w:hAnsi="Arial"/>
                <w:sz w:val="14"/>
                <w:szCs w:val="14"/>
                <w:b w:val="1"/>
                <w:bCs w:val="1"/>
                <w:color w:val="auto"/>
                <w:w w:val="96"/>
              </w:rPr>
              <w:t>Quarters Ended March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2009</w:t>
            </w:r>
          </w:p>
        </w:tc>
        <w:tc>
          <w:tcPr>
            <w:tcW w:w="36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2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tcPr>
          <w:p>
            <w:pPr>
              <w:ind w:left="200"/>
              <w:spacing w:after="0"/>
              <w:rPr>
                <w:sz w:val="20"/>
                <w:szCs w:val="20"/>
                <w:color w:val="auto"/>
              </w:rPr>
            </w:pPr>
            <w:r>
              <w:rPr>
                <w:rFonts w:ascii="Arial" w:cs="Arial" w:eastAsia="Arial" w:hAnsi="Arial"/>
                <w:sz w:val="18"/>
                <w:szCs w:val="18"/>
                <w:color w:val="auto"/>
              </w:rPr>
              <w:t>Consolidated net income</w:t>
            </w: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170</w:t>
            </w: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248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Adjustments to reconcile consolidated net income to net cash provided by operating activities:</w:t>
            </w: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tcPr>
          <w:p>
            <w:pPr>
              <w:ind w:left="400"/>
              <w:spacing w:after="0"/>
              <w:rPr>
                <w:sz w:val="20"/>
                <w:szCs w:val="20"/>
                <w:color w:val="auto"/>
              </w:rPr>
            </w:pPr>
            <w:r>
              <w:rPr>
                <w:rFonts w:ascii="Arial" w:cs="Arial" w:eastAsia="Arial" w:hAnsi="Arial"/>
                <w:sz w:val="18"/>
                <w:szCs w:val="18"/>
                <w:color w:val="auto"/>
              </w:rPr>
              <w:t>Depreciation and amortization</w:t>
            </w: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289</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297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Other</w:t>
            </w: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73</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tcPr>
          <w:p>
            <w:pPr>
              <w:ind w:left="400"/>
              <w:spacing w:after="0"/>
              <w:rPr>
                <w:sz w:val="20"/>
                <w:szCs w:val="20"/>
                <w:color w:val="auto"/>
              </w:rPr>
            </w:pPr>
            <w:r>
              <w:rPr>
                <w:rFonts w:ascii="Arial" w:cs="Arial" w:eastAsia="Arial" w:hAnsi="Arial"/>
                <w:sz w:val="18"/>
                <w:szCs w:val="18"/>
                <w:color w:val="auto"/>
              </w:rPr>
              <w:t>Change in operating assets and liabilities, net of effects of acquisitions and divestitures</w:t>
            </w: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(13)</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2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519</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561</w:t>
            </w:r>
          </w:p>
        </w:tc>
        <w:tc>
          <w:tcPr>
            <w:tcW w:w="0" w:type="dxa"/>
            <w:vAlign w:val="bottom"/>
          </w:tcPr>
          <w:p>
            <w:pPr>
              <w:spacing w:after="0"/>
              <w:rPr>
                <w:sz w:val="1"/>
                <w:szCs w:val="1"/>
                <w:color w:val="auto"/>
              </w:rPr>
            </w:pPr>
          </w:p>
        </w:tc>
      </w:tr>
      <w:tr>
        <w:trPr>
          <w:trHeight w:val="439"/>
        </w:trPr>
        <w:tc>
          <w:tcPr>
            <w:tcW w:w="8140" w:type="dxa"/>
            <w:vAlign w:val="bottom"/>
            <w:gridSpan w:val="2"/>
          </w:tcPr>
          <w:p>
            <w:pPr>
              <w:spacing w:after="0"/>
              <w:rPr>
                <w:sz w:val="20"/>
                <w:szCs w:val="20"/>
                <w:color w:val="auto"/>
              </w:rPr>
            </w:pPr>
            <w:r>
              <w:rPr>
                <w:rFonts w:ascii="Arial" w:cs="Arial" w:eastAsia="Arial" w:hAnsi="Arial"/>
                <w:sz w:val="18"/>
                <w:szCs w:val="18"/>
                <w:color w:val="auto"/>
              </w:rPr>
              <w:t>Cash flows from investing activities:</w:t>
            </w:r>
          </w:p>
        </w:tc>
        <w:tc>
          <w:tcPr>
            <w:tcW w:w="114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Acquisitions of businesses, net of cash acquired</w:t>
            </w: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(22)</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tcPr>
          <w:p>
            <w:pPr>
              <w:ind w:left="200"/>
              <w:spacing w:after="0"/>
              <w:rPr>
                <w:sz w:val="20"/>
                <w:szCs w:val="20"/>
                <w:color w:val="auto"/>
              </w:rPr>
            </w:pPr>
            <w:r>
              <w:rPr>
                <w:rFonts w:ascii="Arial" w:cs="Arial" w:eastAsia="Arial" w:hAnsi="Arial"/>
                <w:sz w:val="18"/>
                <w:szCs w:val="18"/>
                <w:color w:val="auto"/>
              </w:rPr>
              <w:t>Capital expenditures</w:t>
            </w: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(325)</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(213)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Proceeds from divestitures of businesses (net of cash divested) and other sales of assets</w:t>
            </w: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tcPr>
          <w:p>
            <w:pPr>
              <w:ind w:left="200"/>
              <w:spacing w:after="0"/>
              <w:rPr>
                <w:sz w:val="20"/>
                <w:szCs w:val="20"/>
                <w:color w:val="auto"/>
              </w:rPr>
            </w:pPr>
            <w:r>
              <w:rPr>
                <w:rFonts w:ascii="Arial" w:cs="Arial" w:eastAsia="Arial" w:hAnsi="Arial"/>
                <w:sz w:val="18"/>
                <w:szCs w:val="18"/>
                <w:color w:val="auto"/>
              </w:rPr>
              <w:t>Net receipts from restricted trust and escrow accounts, and other</w:t>
            </w: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46</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2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investing activities</w:t>
            </w: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(296)</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439"/>
        </w:trPr>
        <w:tc>
          <w:tcPr>
            <w:tcW w:w="8140" w:type="dxa"/>
            <w:vAlign w:val="bottom"/>
            <w:gridSpan w:val="2"/>
          </w:tcPr>
          <w:p>
            <w:pPr>
              <w:spacing w:after="0"/>
              <w:rPr>
                <w:sz w:val="20"/>
                <w:szCs w:val="20"/>
                <w:color w:val="auto"/>
              </w:rPr>
            </w:pPr>
            <w:r>
              <w:rPr>
                <w:rFonts w:ascii="Arial" w:cs="Arial" w:eastAsia="Arial" w:hAnsi="Arial"/>
                <w:sz w:val="18"/>
                <w:szCs w:val="18"/>
                <w:color w:val="auto"/>
              </w:rPr>
              <w:t>Cash flows from financing activities:</w:t>
            </w:r>
          </w:p>
        </w:tc>
        <w:tc>
          <w:tcPr>
            <w:tcW w:w="114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New borrowings</w:t>
            </w: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895</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tcPr>
          <w:p>
            <w:pPr>
              <w:ind w:left="200"/>
              <w:spacing w:after="0"/>
              <w:rPr>
                <w:sz w:val="20"/>
                <w:szCs w:val="20"/>
                <w:color w:val="auto"/>
              </w:rPr>
            </w:pPr>
            <w:r>
              <w:rPr>
                <w:rFonts w:ascii="Arial" w:cs="Arial" w:eastAsia="Arial" w:hAnsi="Arial"/>
                <w:sz w:val="18"/>
                <w:szCs w:val="18"/>
                <w:color w:val="auto"/>
              </w:rPr>
              <w:t>Debt repayments</w:t>
            </w: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(452)</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(544)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Common stock repurchases</w:t>
            </w: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tcPr>
          <w:p>
            <w:pPr>
              <w:ind w:left="200"/>
              <w:spacing w:after="0"/>
              <w:rPr>
                <w:sz w:val="20"/>
                <w:szCs w:val="20"/>
                <w:color w:val="auto"/>
              </w:rPr>
            </w:pPr>
            <w:r>
              <w:rPr>
                <w:rFonts w:ascii="Arial" w:cs="Arial" w:eastAsia="Arial" w:hAnsi="Arial"/>
                <w:sz w:val="18"/>
                <w:szCs w:val="18"/>
                <w:color w:val="auto"/>
              </w:rPr>
              <w:t>Cash dividends</w:t>
            </w: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(143)</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Exercise of common stock options</w:t>
            </w: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tcPr>
          <w:p>
            <w:pPr>
              <w:ind w:left="200"/>
              <w:spacing w:after="0"/>
              <w:rPr>
                <w:sz w:val="20"/>
                <w:szCs w:val="20"/>
                <w:color w:val="auto"/>
              </w:rPr>
            </w:pPr>
            <w:r>
              <w:rPr>
                <w:rFonts w:ascii="Arial" w:cs="Arial" w:eastAsia="Arial" w:hAnsi="Arial"/>
                <w:sz w:val="18"/>
                <w:szCs w:val="18"/>
                <w:color w:val="auto"/>
              </w:rPr>
              <w:t>Other, net</w:t>
            </w: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(59)</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2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(used in) financing activities</w:t>
            </w: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245</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(243)</w:t>
            </w:r>
          </w:p>
        </w:tc>
        <w:tc>
          <w:tcPr>
            <w:tcW w:w="0" w:type="dxa"/>
            <w:vAlign w:val="bottom"/>
          </w:tcPr>
          <w:p>
            <w:pPr>
              <w:spacing w:after="0"/>
              <w:rPr>
                <w:sz w:val="1"/>
                <w:szCs w:val="1"/>
                <w:color w:val="auto"/>
              </w:rPr>
            </w:pPr>
          </w:p>
        </w:tc>
      </w:tr>
      <w:tr>
        <w:trPr>
          <w:trHeight w:val="20"/>
        </w:trPr>
        <w:tc>
          <w:tcPr>
            <w:tcW w:w="8140" w:type="dxa"/>
            <w:vAlign w:val="bottom"/>
            <w:gridSpan w:val="2"/>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8140" w:type="dxa"/>
            <w:vAlign w:val="bottom"/>
            <w:gridSpan w:val="2"/>
          </w:tcPr>
          <w:p>
            <w:pPr>
              <w:spacing w:after="0"/>
              <w:rPr>
                <w:sz w:val="20"/>
                <w:szCs w:val="20"/>
                <w:color w:val="auto"/>
              </w:rPr>
            </w:pPr>
            <w:r>
              <w:rPr>
                <w:rFonts w:ascii="Arial" w:cs="Arial" w:eastAsia="Arial" w:hAnsi="Arial"/>
                <w:sz w:val="18"/>
                <w:szCs w:val="18"/>
                <w:color w:val="auto"/>
              </w:rPr>
              <w:t>Effect of exchange rate changes on cash and cash equivalents</w:t>
            </w:r>
          </w:p>
        </w:tc>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(1)</w:t>
            </w: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8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20" w:type="dxa"/>
            <w:vAlign w:val="bottom"/>
            <w:shd w:val="clear" w:color="auto" w:fill="CCEEFF"/>
          </w:tcPr>
          <w:p>
            <w:pPr>
              <w:spacing w:after="0"/>
              <w:rPr>
                <w:sz w:val="20"/>
                <w:szCs w:val="20"/>
                <w:color w:val="auto"/>
              </w:rPr>
            </w:pPr>
            <w:r>
              <w:rPr>
                <w:rFonts w:ascii="Arial" w:cs="Arial" w:eastAsia="Arial" w:hAnsi="Arial"/>
                <w:sz w:val="18"/>
                <w:szCs w:val="18"/>
                <w:color w:val="auto"/>
              </w:rPr>
              <w:t>Increase in cash and cash equivalents</w:t>
            </w: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467</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tcPr>
          <w:p>
            <w:pPr>
              <w:spacing w:after="0"/>
              <w:rPr>
                <w:sz w:val="20"/>
                <w:szCs w:val="20"/>
                <w:color w:val="auto"/>
              </w:rPr>
            </w:pPr>
            <w:r>
              <w:rPr>
                <w:rFonts w:ascii="Arial" w:cs="Arial" w:eastAsia="Arial" w:hAnsi="Arial"/>
                <w:sz w:val="18"/>
                <w:szCs w:val="18"/>
                <w:color w:val="auto"/>
              </w:rPr>
              <w:t>Cash and cash equivalents at beginning of period</w:t>
            </w: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480</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348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end of period</w:t>
            </w:r>
          </w:p>
        </w:tc>
        <w:tc>
          <w:tcPr>
            <w:tcW w:w="1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947</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Note: Prior year information has been reclassified to conform to 2009 presentation.</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Summary Data Sheet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 Amounts in Millions)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7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6"/>
          </w:tcPr>
          <w:p>
            <w:pPr>
              <w:jc w:val="right"/>
              <w:ind w:right="300"/>
              <w:spacing w:after="0"/>
              <w:rPr>
                <w:sz w:val="20"/>
                <w:szCs w:val="20"/>
                <w:color w:val="auto"/>
              </w:rPr>
            </w:pPr>
            <w:r>
              <w:rPr>
                <w:rFonts w:ascii="Arial" w:cs="Arial" w:eastAsia="Arial" w:hAnsi="Arial"/>
                <w:sz w:val="14"/>
                <w:szCs w:val="14"/>
                <w:b w:val="1"/>
                <w:bCs w:val="1"/>
                <w:color w:val="auto"/>
              </w:rPr>
              <w:t>Quarters Ended</w:t>
            </w:r>
          </w:p>
        </w:tc>
        <w:tc>
          <w:tcPr>
            <w:tcW w:w="3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7760" w:type="dxa"/>
            <w:vAlign w:val="bottom"/>
          </w:tcPr>
          <w:p>
            <w:pPr>
              <w:spacing w:after="0"/>
              <w:rPr>
                <w:sz w:val="10"/>
                <w:szCs w:val="10"/>
                <w:color w:val="auto"/>
              </w:rPr>
            </w:pPr>
          </w:p>
        </w:tc>
        <w:tc>
          <w:tcPr>
            <w:tcW w:w="1060" w:type="dxa"/>
            <w:vAlign w:val="bottom"/>
            <w:gridSpan w:val="5"/>
          </w:tcPr>
          <w:p>
            <w:pPr>
              <w:ind w:left="20"/>
              <w:spacing w:after="0" w:line="119" w:lineRule="exact"/>
              <w:rPr>
                <w:sz w:val="20"/>
                <w:szCs w:val="20"/>
                <w:color w:val="auto"/>
              </w:rPr>
            </w:pPr>
            <w:r>
              <w:rPr>
                <w:rFonts w:ascii="Arial" w:cs="Arial" w:eastAsia="Arial" w:hAnsi="Arial"/>
                <w:sz w:val="13"/>
                <w:szCs w:val="13"/>
                <w:b w:val="1"/>
                <w:bCs w:val="1"/>
                <w:color w:val="auto"/>
              </w:rPr>
              <w:t>March 31,</w:t>
            </w:r>
          </w:p>
        </w:tc>
        <w:tc>
          <w:tcPr>
            <w:tcW w:w="1500" w:type="dxa"/>
            <w:vAlign w:val="bottom"/>
            <w:gridSpan w:val="6"/>
          </w:tcPr>
          <w:p>
            <w:pPr>
              <w:ind w:left="280"/>
              <w:spacing w:after="0" w:line="119" w:lineRule="exact"/>
              <w:rPr>
                <w:sz w:val="20"/>
                <w:szCs w:val="20"/>
                <w:color w:val="auto"/>
              </w:rPr>
            </w:pPr>
            <w:r>
              <w:rPr>
                <w:rFonts w:ascii="Arial" w:cs="Arial" w:eastAsia="Arial" w:hAnsi="Arial"/>
                <w:sz w:val="13"/>
                <w:szCs w:val="13"/>
                <w:b w:val="1"/>
                <w:bCs w:val="1"/>
                <w:color w:val="auto"/>
              </w:rPr>
              <w:t>December 31,</w:t>
            </w:r>
          </w:p>
        </w:tc>
        <w:tc>
          <w:tcPr>
            <w:tcW w:w="300" w:type="dxa"/>
            <w:vAlign w:val="bottom"/>
          </w:tcPr>
          <w:p>
            <w:pPr>
              <w:spacing w:after="0"/>
              <w:rPr>
                <w:sz w:val="10"/>
                <w:szCs w:val="10"/>
                <w:color w:val="auto"/>
              </w:rPr>
            </w:pPr>
          </w:p>
        </w:tc>
        <w:tc>
          <w:tcPr>
            <w:tcW w:w="680" w:type="dxa"/>
            <w:vAlign w:val="bottom"/>
            <w:gridSpan w:val="2"/>
          </w:tcPr>
          <w:p>
            <w:pPr>
              <w:jc w:val="right"/>
              <w:spacing w:after="0" w:line="119" w:lineRule="exact"/>
              <w:rPr>
                <w:sz w:val="20"/>
                <w:szCs w:val="20"/>
                <w:color w:val="auto"/>
              </w:rPr>
            </w:pPr>
            <w:r>
              <w:rPr>
                <w:rFonts w:ascii="Arial" w:cs="Arial" w:eastAsia="Arial" w:hAnsi="Arial"/>
                <w:sz w:val="13"/>
                <w:szCs w:val="13"/>
                <w:b w:val="1"/>
                <w:bCs w:val="1"/>
                <w:color w:val="auto"/>
              </w:rPr>
              <w:t>March 31,</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760" w:type="dxa"/>
            <w:vAlign w:val="bottom"/>
          </w:tcPr>
          <w:p>
            <w:pPr>
              <w:spacing w:after="0"/>
              <w:rPr>
                <w:sz w:val="14"/>
                <w:szCs w:val="14"/>
                <w:color w:val="auto"/>
              </w:rPr>
            </w:pPr>
          </w:p>
        </w:tc>
        <w:tc>
          <w:tcPr>
            <w:tcW w:w="660" w:type="dxa"/>
            <w:vAlign w:val="bottom"/>
            <w:tcBorders>
              <w:bottom w:val="single" w:sz="8" w:color="auto"/>
            </w:tcBorders>
            <w:gridSpan w:val="3"/>
          </w:tcPr>
          <w:p>
            <w:pPr>
              <w:ind w:left="180"/>
              <w:spacing w:after="0"/>
              <w:rPr>
                <w:sz w:val="20"/>
                <w:szCs w:val="20"/>
                <w:color w:val="auto"/>
              </w:rPr>
            </w:pPr>
            <w:r>
              <w:rPr>
                <w:rFonts w:ascii="Arial" w:cs="Arial" w:eastAsia="Arial" w:hAnsi="Arial"/>
                <w:sz w:val="14"/>
                <w:szCs w:val="14"/>
                <w:b w:val="1"/>
                <w:bCs w:val="1"/>
                <w:color w:val="auto"/>
              </w:rPr>
              <w:t>2009</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w w:val="89"/>
              </w:rPr>
              <w:t>2008</w:t>
            </w:r>
          </w:p>
        </w:tc>
        <w:tc>
          <w:tcPr>
            <w:tcW w:w="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Revenues by Lines of Business</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tcBorders>
              <w:right w:val="single" w:sz="8" w:color="CCEEFF"/>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ind w:left="200"/>
              <w:spacing w:after="0"/>
              <w:rPr>
                <w:sz w:val="20"/>
                <w:szCs w:val="20"/>
                <w:color w:val="auto"/>
              </w:rPr>
            </w:pPr>
            <w:r>
              <w:rPr>
                <w:rFonts w:ascii="Arial" w:cs="Arial" w:eastAsia="Arial" w:hAnsi="Arial"/>
                <w:sz w:val="18"/>
                <w:szCs w:val="18"/>
                <w:color w:val="auto"/>
              </w:rPr>
              <w:t>Collection</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93"/>
              </w:rPr>
              <w:t>1,952</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gridSpan w:val="2"/>
          </w:tcPr>
          <w:p>
            <w:pPr>
              <w:ind w:left="280"/>
              <w:spacing w:after="0"/>
              <w:rPr>
                <w:sz w:val="20"/>
                <w:szCs w:val="20"/>
                <w:color w:val="auto"/>
              </w:rPr>
            </w:pPr>
            <w:r>
              <w:rPr>
                <w:rFonts w:ascii="Arial" w:cs="Arial" w:eastAsia="Arial" w:hAnsi="Arial"/>
                <w:sz w:val="18"/>
                <w:szCs w:val="18"/>
                <w:color w:val="auto"/>
                <w:w w:val="99"/>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380"/>
              <w:spacing w:after="0"/>
              <w:rPr>
                <w:sz w:val="20"/>
                <w:szCs w:val="20"/>
                <w:color w:val="auto"/>
              </w:rPr>
            </w:pPr>
            <w:r>
              <w:rPr>
                <w:rFonts w:ascii="Arial" w:cs="Arial" w:eastAsia="Arial" w:hAnsi="Arial"/>
                <w:sz w:val="18"/>
                <w:szCs w:val="18"/>
                <w:color w:val="auto"/>
              </w:rPr>
              <w:t>2,071</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2,138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Landfill</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600</w:t>
            </w: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697</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ind w:left="200"/>
              <w:spacing w:after="0"/>
              <w:rPr>
                <w:sz w:val="20"/>
                <w:szCs w:val="20"/>
                <w:color w:val="auto"/>
              </w:rPr>
            </w:pPr>
            <w:r>
              <w:rPr>
                <w:rFonts w:ascii="Arial" w:cs="Arial" w:eastAsia="Arial" w:hAnsi="Arial"/>
                <w:sz w:val="18"/>
                <w:szCs w:val="18"/>
                <w:color w:val="auto"/>
              </w:rPr>
              <w:t>Transfer</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8"/>
                <w:szCs w:val="18"/>
                <w:color w:val="auto"/>
              </w:rPr>
              <w:t>321</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380"/>
              <w:spacing w:after="0"/>
              <w:rPr>
                <w:sz w:val="20"/>
                <w:szCs w:val="20"/>
                <w:color w:val="auto"/>
              </w:rPr>
            </w:pPr>
            <w:r>
              <w:rPr>
                <w:rFonts w:ascii="Arial" w:cs="Arial" w:eastAsia="Arial" w:hAnsi="Arial"/>
                <w:sz w:val="18"/>
                <w:szCs w:val="18"/>
                <w:color w:val="auto"/>
              </w:rPr>
              <w:t>368</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380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Wheelabrator</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201</w:t>
            </w: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229</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ind w:left="200"/>
              <w:spacing w:after="0"/>
              <w:rPr>
                <w:sz w:val="20"/>
                <w:szCs w:val="20"/>
                <w:color w:val="auto"/>
              </w:rPr>
            </w:pPr>
            <w:r>
              <w:rPr>
                <w:rFonts w:ascii="Arial" w:cs="Arial" w:eastAsia="Arial" w:hAnsi="Arial"/>
                <w:sz w:val="18"/>
                <w:szCs w:val="18"/>
                <w:color w:val="auto"/>
              </w:rPr>
              <w:t>Recycling</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8"/>
                <w:szCs w:val="18"/>
                <w:color w:val="auto"/>
              </w:rPr>
              <w:t>143</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380"/>
              <w:spacing w:after="0"/>
              <w:rPr>
                <w:sz w:val="20"/>
                <w:szCs w:val="20"/>
                <w:color w:val="auto"/>
              </w:rPr>
            </w:pPr>
            <w:r>
              <w:rPr>
                <w:rFonts w:ascii="Arial" w:cs="Arial" w:eastAsia="Arial" w:hAnsi="Arial"/>
                <w:sz w:val="18"/>
                <w:szCs w:val="18"/>
                <w:color w:val="auto"/>
              </w:rPr>
              <w:t>192</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320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51</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ind w:left="200"/>
              <w:spacing w:after="0"/>
              <w:rPr>
                <w:sz w:val="20"/>
                <w:szCs w:val="20"/>
                <w:color w:val="auto"/>
              </w:rPr>
            </w:pPr>
            <w:r>
              <w:rPr>
                <w:rFonts w:ascii="Arial" w:cs="Arial" w:eastAsia="Arial" w:hAnsi="Arial"/>
                <w:sz w:val="18"/>
                <w:szCs w:val="18"/>
                <w:color w:val="auto"/>
              </w:rPr>
              <w:t xml:space="preserve">Intercompany </w:t>
            </w:r>
            <w:r>
              <w:rPr>
                <w:rFonts w:ascii="Arial" w:cs="Arial" w:eastAsia="Arial" w:hAnsi="Arial"/>
                <w:sz w:val="18"/>
                <w:szCs w:val="18"/>
                <w:b w:val="1"/>
                <w:bCs w:val="1"/>
                <w:color w:val="auto"/>
              </w:rPr>
              <w:t>(a)</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(454)</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(500)</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(515)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7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tcBorders>
              <w:right w:val="single" w:sz="8" w:color="auto"/>
            </w:tcBorders>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Operating revenues</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2,810</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3,108</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3,266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6"/>
        </w:trPr>
        <w:tc>
          <w:tcPr>
            <w:tcW w:w="20" w:type="dxa"/>
            <w:vAlign w:val="bottom"/>
          </w:tcPr>
          <w:p>
            <w:pPr>
              <w:spacing w:after="0"/>
              <w:rPr>
                <w:sz w:val="24"/>
                <w:szCs w:val="24"/>
                <w:color w:val="auto"/>
              </w:rPr>
            </w:pPr>
          </w:p>
        </w:tc>
        <w:tc>
          <w:tcPr>
            <w:tcW w:w="7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gridSpan w:val="4"/>
            <w:vMerge w:val="restart"/>
          </w:tcPr>
          <w:p>
            <w:pPr>
              <w:ind w:left="80"/>
              <w:spacing w:after="0"/>
              <w:rPr>
                <w:sz w:val="20"/>
                <w:szCs w:val="20"/>
                <w:color w:val="auto"/>
              </w:rPr>
            </w:pPr>
            <w:r>
              <w:rPr>
                <w:rFonts w:ascii="Arial" w:cs="Arial" w:eastAsia="Arial" w:hAnsi="Arial"/>
                <w:sz w:val="14"/>
                <w:szCs w:val="14"/>
                <w:b w:val="1"/>
                <w:bCs w:val="1"/>
                <w:color w:val="auto"/>
              </w:rPr>
              <w:t>Amount</w:t>
            </w: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gridSpan w:val="4"/>
          </w:tcPr>
          <w:p>
            <w:pPr>
              <w:jc w:val="right"/>
              <w:ind w:right="460"/>
              <w:spacing w:after="0"/>
              <w:rPr>
                <w:sz w:val="20"/>
                <w:szCs w:val="20"/>
                <w:color w:val="auto"/>
              </w:rPr>
            </w:pPr>
            <w:r>
              <w:rPr>
                <w:rFonts w:ascii="Arial" w:cs="Arial" w:eastAsia="Arial" w:hAnsi="Arial"/>
                <w:sz w:val="14"/>
                <w:szCs w:val="14"/>
                <w:b w:val="1"/>
                <w:bCs w:val="1"/>
                <w:color w:val="auto"/>
                <w:w w:val="98"/>
              </w:rPr>
              <w:t>As a % of</w:t>
            </w: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4"/>
            <w:vMerge w:val="continue"/>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60" w:type="dxa"/>
            <w:vAlign w:val="bottom"/>
            <w:gridSpan w:val="3"/>
          </w:tcPr>
          <w:p>
            <w:pPr>
              <w:jc w:val="right"/>
              <w:ind w:right="560"/>
              <w:spacing w:after="0"/>
              <w:rPr>
                <w:sz w:val="20"/>
                <w:szCs w:val="20"/>
                <w:color w:val="auto"/>
              </w:rPr>
            </w:pPr>
            <w:r>
              <w:rPr>
                <w:rFonts w:ascii="Arial" w:cs="Arial" w:eastAsia="Arial" w:hAnsi="Arial"/>
                <w:sz w:val="14"/>
                <w:szCs w:val="14"/>
                <w:b w:val="1"/>
                <w:bCs w:val="1"/>
                <w:color w:val="auto"/>
                <w:w w:val="97"/>
              </w:rPr>
              <w:t>change</w:t>
            </w: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Analysis of Change in Year Over Year Revenue</w:t>
            </w:r>
          </w:p>
        </w:tc>
        <w:tc>
          <w:tcPr>
            <w:tcW w:w="1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right w:val="single" w:sz="8" w:color="CCEEFF"/>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ind w:left="200"/>
              <w:spacing w:after="0"/>
              <w:rPr>
                <w:sz w:val="20"/>
                <w:szCs w:val="20"/>
                <w:color w:val="auto"/>
              </w:rPr>
            </w:pPr>
            <w:r>
              <w:rPr>
                <w:rFonts w:ascii="Arial" w:cs="Arial" w:eastAsia="Arial" w:hAnsi="Arial"/>
                <w:sz w:val="18"/>
                <w:szCs w:val="18"/>
                <w:color w:val="auto"/>
              </w:rPr>
              <w:t xml:space="preserve">Recycling </w:t>
            </w:r>
            <w:r>
              <w:rPr>
                <w:rFonts w:ascii="Arial" w:cs="Arial" w:eastAsia="Arial" w:hAnsi="Arial"/>
                <w:sz w:val="18"/>
                <w:szCs w:val="18"/>
                <w:b w:val="1"/>
                <w:bCs w:val="1"/>
                <w:color w:val="auto"/>
              </w:rPr>
              <w:t>(b)</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3"/>
          </w:tcPr>
          <w:p>
            <w:pPr>
              <w:jc w:val="right"/>
              <w:ind w:right="140"/>
              <w:spacing w:after="0"/>
              <w:rPr>
                <w:sz w:val="20"/>
                <w:szCs w:val="20"/>
                <w:color w:val="auto"/>
              </w:rPr>
            </w:pPr>
            <w:r>
              <w:rPr>
                <w:rFonts w:ascii="Arial" w:cs="Arial" w:eastAsia="Arial" w:hAnsi="Arial"/>
                <w:sz w:val="18"/>
                <w:szCs w:val="18"/>
                <w:color w:val="auto"/>
              </w:rPr>
              <w:t>(193)</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Electricity</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(9)</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tcBorders>
              <w:right w:val="single" w:sz="8" w:color="CCEEFF"/>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ind w:left="200"/>
              <w:spacing w:after="0"/>
              <w:rPr>
                <w:sz w:val="20"/>
                <w:szCs w:val="20"/>
                <w:color w:val="auto"/>
              </w:rPr>
            </w:pPr>
            <w:r>
              <w:rPr>
                <w:rFonts w:ascii="Arial" w:cs="Arial" w:eastAsia="Arial" w:hAnsi="Arial"/>
                <w:sz w:val="18"/>
                <w:szCs w:val="18"/>
                <w:color w:val="auto"/>
              </w:rPr>
              <w:t>Fuel surcharge</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3"/>
          </w:tcPr>
          <w:p>
            <w:pPr>
              <w:jc w:val="right"/>
              <w:ind w:right="140"/>
              <w:spacing w:after="0"/>
              <w:rPr>
                <w:sz w:val="20"/>
                <w:szCs w:val="20"/>
                <w:color w:val="auto"/>
              </w:rPr>
            </w:pPr>
            <w:r>
              <w:rPr>
                <w:rFonts w:ascii="Arial" w:cs="Arial" w:eastAsia="Arial" w:hAnsi="Arial"/>
                <w:sz w:val="18"/>
                <w:szCs w:val="18"/>
                <w:color w:val="auto"/>
              </w:rPr>
              <w:t>(64)</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Foreign currency translation</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(35)</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tcBorders>
              <w:right w:val="single" w:sz="8" w:color="CCEEFF"/>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ind w:left="200"/>
              <w:spacing w:after="0"/>
              <w:rPr>
                <w:sz w:val="20"/>
                <w:szCs w:val="20"/>
                <w:color w:val="auto"/>
              </w:rPr>
            </w:pPr>
            <w:r>
              <w:rPr>
                <w:rFonts w:ascii="Arial" w:cs="Arial" w:eastAsia="Arial" w:hAnsi="Arial"/>
                <w:sz w:val="18"/>
                <w:szCs w:val="18"/>
                <w:color w:val="auto"/>
              </w:rPr>
              <w:t>Volume workday difference</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3"/>
          </w:tcPr>
          <w:p>
            <w:pPr>
              <w:jc w:val="right"/>
              <w:ind w:right="140"/>
              <w:spacing w:after="0"/>
              <w:rPr>
                <w:sz w:val="20"/>
                <w:szCs w:val="20"/>
                <w:color w:val="auto"/>
              </w:rPr>
            </w:pPr>
            <w:r>
              <w:rPr>
                <w:rFonts w:ascii="Arial" w:cs="Arial" w:eastAsia="Arial" w:hAnsi="Arial"/>
                <w:sz w:val="18"/>
                <w:szCs w:val="18"/>
                <w:color w:val="auto"/>
              </w:rPr>
              <w:t>(23)</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Decline from commodity and non-operational items</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(324)</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71.1%</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7760" w:type="dxa"/>
            <w:vAlign w:val="bottom"/>
          </w:tcPr>
          <w:p>
            <w:pPr>
              <w:ind w:left="200"/>
              <w:spacing w:after="0"/>
              <w:rPr>
                <w:sz w:val="20"/>
                <w:szCs w:val="20"/>
                <w:color w:val="auto"/>
              </w:rPr>
            </w:pPr>
            <w:r>
              <w:rPr>
                <w:rFonts w:ascii="Arial" w:cs="Arial" w:eastAsia="Arial" w:hAnsi="Arial"/>
                <w:sz w:val="18"/>
                <w:szCs w:val="18"/>
                <w:color w:val="auto"/>
              </w:rPr>
              <w:t>Collection, landfill, and transfer yield</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84</w:t>
            </w: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Volumes, exclusive of workday difference</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(227)</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tcBorders>
              <w:right w:val="single" w:sz="8" w:color="CCEEFF"/>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60" w:type="dxa"/>
            <w:vAlign w:val="bottom"/>
          </w:tcPr>
          <w:p>
            <w:pPr>
              <w:ind w:left="200"/>
              <w:spacing w:after="0"/>
              <w:rPr>
                <w:sz w:val="20"/>
                <w:szCs w:val="20"/>
                <w:color w:val="auto"/>
              </w:rPr>
            </w:pPr>
            <w:r>
              <w:rPr>
                <w:rFonts w:ascii="Arial" w:cs="Arial" w:eastAsia="Arial" w:hAnsi="Arial"/>
                <w:sz w:val="18"/>
                <w:szCs w:val="18"/>
                <w:color w:val="auto"/>
              </w:rPr>
              <w:t>Acquisition, net of divestitures</w:t>
            </w: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11</w:t>
            </w: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Collection and disposal</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(132)</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28.9%</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gridSpan w:val="2"/>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(456</w:t>
            </w:r>
          </w:p>
        </w:tc>
        <w:tc>
          <w:tcPr>
            <w:tcW w:w="280" w:type="dxa"/>
            <w:vAlign w:val="bottom"/>
          </w:tcPr>
          <w:p>
            <w:pPr>
              <w:jc w:val="right"/>
              <w:ind w:right="140"/>
              <w:spacing w:after="0"/>
              <w:rPr>
                <w:sz w:val="20"/>
                <w:szCs w:val="20"/>
                <w:color w:val="auto"/>
              </w:rPr>
            </w:pPr>
            <w:r>
              <w:rPr>
                <w:rFonts w:ascii="Arial" w:cs="Arial" w:eastAsia="Arial" w:hAnsi="Arial"/>
                <w:sz w:val="16"/>
                <w:szCs w:val="16"/>
                <w:color w:val="auto"/>
                <w:w w:val="74"/>
              </w:rPr>
              <w:t>)</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8"/>
                <w:szCs w:val="18"/>
                <w:color w:val="auto"/>
              </w:rPr>
              <w:t>100.0%</w:t>
            </w: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7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Acquisition Summary (c)</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tcBorders>
              <w:right w:val="single" w:sz="8" w:color="CCEEFF"/>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7760" w:type="dxa"/>
            <w:vAlign w:val="bottom"/>
          </w:tcPr>
          <w:p>
            <w:pPr>
              <w:ind w:left="200"/>
              <w:spacing w:after="0"/>
              <w:rPr>
                <w:sz w:val="20"/>
                <w:szCs w:val="20"/>
                <w:color w:val="auto"/>
              </w:rPr>
            </w:pPr>
            <w:r>
              <w:rPr>
                <w:rFonts w:ascii="Arial" w:cs="Arial" w:eastAsia="Arial" w:hAnsi="Arial"/>
                <w:sz w:val="18"/>
                <w:szCs w:val="18"/>
                <w:color w:val="auto"/>
              </w:rPr>
              <w:t>Gross annualized revenue acquired</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23</w:t>
            </w:r>
          </w:p>
        </w:tc>
        <w:tc>
          <w:tcPr>
            <w:tcW w:w="280" w:type="dxa"/>
            <w:vAlign w:val="bottom"/>
          </w:tcPr>
          <w:p>
            <w:pPr>
              <w:spacing w:after="0"/>
              <w:rPr>
                <w:sz w:val="24"/>
                <w:szCs w:val="24"/>
                <w:color w:val="auto"/>
              </w:rPr>
            </w:pPr>
          </w:p>
        </w:tc>
        <w:tc>
          <w:tcPr>
            <w:tcW w:w="54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33</w:t>
            </w:r>
          </w:p>
        </w:tc>
        <w:tc>
          <w:tcPr>
            <w:tcW w:w="380" w:type="dxa"/>
            <w:vAlign w:val="bottom"/>
          </w:tcPr>
          <w:p>
            <w:pPr>
              <w:spacing w:after="0"/>
              <w:rPr>
                <w:sz w:val="24"/>
                <w:szCs w:val="24"/>
                <w:color w:val="auto"/>
              </w:rPr>
            </w:pP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consideration</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280" w:type="dxa"/>
            <w:vAlign w:val="bottom"/>
            <w:shd w:val="clear" w:color="auto" w:fill="CCEEFF"/>
          </w:tcPr>
          <w:p>
            <w:pPr>
              <w:spacing w:after="0"/>
              <w:rPr>
                <w:sz w:val="18"/>
                <w:szCs w:val="18"/>
                <w:color w:val="auto"/>
              </w:rPr>
            </w:pPr>
          </w:p>
        </w:tc>
        <w:tc>
          <w:tcPr>
            <w:tcW w:w="5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3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20" w:type="dxa"/>
            <w:vAlign w:val="bottom"/>
          </w:tcPr>
          <w:p>
            <w:pPr>
              <w:spacing w:after="0"/>
              <w:rPr>
                <w:sz w:val="24"/>
                <w:szCs w:val="24"/>
                <w:color w:val="auto"/>
              </w:rPr>
            </w:pPr>
          </w:p>
        </w:tc>
        <w:tc>
          <w:tcPr>
            <w:tcW w:w="7760" w:type="dxa"/>
            <w:vAlign w:val="bottom"/>
          </w:tcPr>
          <w:p>
            <w:pPr>
              <w:ind w:left="200"/>
              <w:spacing w:after="0"/>
              <w:rPr>
                <w:sz w:val="20"/>
                <w:szCs w:val="20"/>
                <w:color w:val="auto"/>
              </w:rPr>
            </w:pPr>
            <w:r>
              <w:rPr>
                <w:rFonts w:ascii="Arial" w:cs="Arial" w:eastAsia="Arial" w:hAnsi="Arial"/>
                <w:sz w:val="18"/>
                <w:szCs w:val="18"/>
                <w:color w:val="auto"/>
              </w:rPr>
              <w:t>Cash paid for acquisitions</w:t>
            </w:r>
          </w:p>
        </w:tc>
        <w:tc>
          <w:tcPr>
            <w:tcW w:w="1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21</w:t>
            </w:r>
          </w:p>
        </w:tc>
        <w:tc>
          <w:tcPr>
            <w:tcW w:w="280" w:type="dxa"/>
            <w:vAlign w:val="bottom"/>
          </w:tcPr>
          <w:p>
            <w:pPr>
              <w:spacing w:after="0"/>
              <w:rPr>
                <w:sz w:val="24"/>
                <w:szCs w:val="24"/>
                <w:color w:val="auto"/>
              </w:rPr>
            </w:pPr>
          </w:p>
        </w:tc>
        <w:tc>
          <w:tcPr>
            <w:tcW w:w="54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46</w:t>
            </w:r>
          </w:p>
        </w:tc>
        <w:tc>
          <w:tcPr>
            <w:tcW w:w="380" w:type="dxa"/>
            <w:vAlign w:val="bottom"/>
          </w:tcPr>
          <w:p>
            <w:pPr>
              <w:spacing w:after="0"/>
              <w:rPr>
                <w:sz w:val="24"/>
                <w:szCs w:val="24"/>
                <w:color w:val="auto"/>
              </w:rPr>
            </w:pP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68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7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40" w:type="dxa"/>
            <w:vAlign w:val="bottom"/>
            <w:gridSpan w:val="6"/>
          </w:tcPr>
          <w:p>
            <w:pPr>
              <w:jc w:val="right"/>
              <w:ind w:right="300"/>
              <w:spacing w:after="0"/>
              <w:rPr>
                <w:sz w:val="20"/>
                <w:szCs w:val="20"/>
                <w:color w:val="auto"/>
              </w:rPr>
            </w:pPr>
            <w:r>
              <w:rPr>
                <w:rFonts w:ascii="Arial" w:cs="Arial" w:eastAsia="Arial" w:hAnsi="Arial"/>
                <w:sz w:val="14"/>
                <w:szCs w:val="14"/>
                <w:b w:val="1"/>
                <w:bCs w:val="1"/>
                <w:color w:val="auto"/>
                <w:w w:val="99"/>
              </w:rPr>
              <w:t>Quarters Ended March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2009</w:t>
            </w:r>
          </w:p>
        </w:tc>
        <w:tc>
          <w:tcPr>
            <w:tcW w:w="38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Free Cash Flow Analysis (d)</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tcBorders>
              <w:right w:val="single" w:sz="8" w:color="CCEEFF"/>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Net cash provided by operating activities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4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380"/>
              <w:spacing w:after="0"/>
              <w:rPr>
                <w:sz w:val="20"/>
                <w:szCs w:val="20"/>
                <w:color w:val="auto"/>
              </w:rPr>
            </w:pPr>
            <w:r>
              <w:rPr>
                <w:rFonts w:ascii="Arial" w:cs="Arial" w:eastAsia="Arial" w:hAnsi="Arial"/>
                <w:sz w:val="18"/>
                <w:szCs w:val="18"/>
                <w:color w:val="auto"/>
              </w:rPr>
              <w:t>519</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561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CCEEFF"/>
          </w:tcPr>
          <w:p>
            <w:pPr>
              <w:spacing w:after="0"/>
              <w:rPr>
                <w:sz w:val="20"/>
                <w:szCs w:val="20"/>
                <w:color w:val="auto"/>
              </w:rPr>
            </w:pPr>
            <w:r>
              <w:rPr>
                <w:rFonts w:ascii="Arial" w:cs="Arial" w:eastAsia="Arial" w:hAnsi="Arial"/>
                <w:sz w:val="18"/>
                <w:szCs w:val="18"/>
                <w:color w:val="auto"/>
              </w:rPr>
              <w:t>Capital expenditures</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(325)</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Proceeds from divestitures of businesses (net of cash divested) and other sales of assets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380"/>
              <w:spacing w:after="0"/>
              <w:rPr>
                <w:sz w:val="20"/>
                <w:szCs w:val="20"/>
                <w:color w:val="auto"/>
              </w:rPr>
            </w:pPr>
            <w:r>
              <w:rPr>
                <w:rFonts w:ascii="Arial" w:cs="Arial" w:eastAsia="Arial" w:hAnsi="Arial"/>
                <w:sz w:val="18"/>
                <w:szCs w:val="18"/>
                <w:color w:val="auto"/>
              </w:rPr>
              <w:t>5</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tcBorders>
              <w:right w:val="single" w:sz="8" w:color="auto"/>
            </w:tcBorders>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60" w:type="dxa"/>
            <w:vAlign w:val="bottom"/>
            <w:shd w:val="clear" w:color="auto" w:fill="CCEEFF"/>
          </w:tcPr>
          <w:p>
            <w:pPr>
              <w:spacing w:after="0"/>
              <w:rPr>
                <w:sz w:val="20"/>
                <w:szCs w:val="20"/>
                <w:color w:val="auto"/>
              </w:rPr>
            </w:pPr>
            <w:r>
              <w:rPr>
                <w:rFonts w:ascii="Arial" w:cs="Arial" w:eastAsia="Arial" w:hAnsi="Arial"/>
                <w:sz w:val="18"/>
                <w:szCs w:val="18"/>
                <w:color w:val="auto"/>
              </w:rPr>
              <w:t>Free cash flow</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199</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0365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57" w:lineRule="exact"/>
        <w:rPr>
          <w:sz w:val="20"/>
          <w:szCs w:val="20"/>
          <w:color w:val="auto"/>
        </w:rPr>
      </w:pPr>
    </w:p>
    <w:p>
      <w:pPr>
        <w:ind w:left="460" w:hanging="452"/>
        <w:spacing w:after="0"/>
        <w:tabs>
          <w:tab w:leader="none" w:pos="460" w:val="left"/>
        </w:tabs>
        <w:numPr>
          <w:ilvl w:val="0"/>
          <w:numId w:val="9"/>
        </w:numPr>
        <w:rPr>
          <w:rFonts w:ascii="Arial" w:cs="Arial" w:eastAsia="Arial" w:hAnsi="Arial"/>
          <w:sz w:val="17"/>
          <w:szCs w:val="17"/>
          <w:color w:val="auto"/>
        </w:rPr>
      </w:pPr>
      <w:r>
        <w:rPr>
          <w:rFonts w:ascii="Arial" w:cs="Arial" w:eastAsia="Arial" w:hAnsi="Arial"/>
          <w:sz w:val="17"/>
          <w:szCs w:val="17"/>
          <w:color w:val="auto"/>
        </w:rPr>
        <w:t>Intercompany revenues between lines of business are eliminated within the Condensed Consolidated Financial Statements included herein.</w:t>
      </w:r>
    </w:p>
    <w:p>
      <w:pPr>
        <w:spacing w:after="0" w:line="88" w:lineRule="exact"/>
        <w:rPr>
          <w:rFonts w:ascii="Arial" w:cs="Arial" w:eastAsia="Arial" w:hAnsi="Arial"/>
          <w:sz w:val="17"/>
          <w:szCs w:val="17"/>
          <w:color w:val="auto"/>
        </w:rPr>
      </w:pPr>
    </w:p>
    <w:p>
      <w:pPr>
        <w:ind w:left="460" w:hanging="452"/>
        <w:spacing w:after="0"/>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Includes volume related decline of $15 million.</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Represents amounts associated with business acquisitions consummated during the indicated periods.</w:t>
      </w:r>
    </w:p>
    <w:p>
      <w:pPr>
        <w:spacing w:after="0" w:line="76" w:lineRule="exact"/>
        <w:rPr>
          <w:rFonts w:ascii="Arial" w:cs="Arial" w:eastAsia="Arial" w:hAnsi="Arial"/>
          <w:sz w:val="18"/>
          <w:szCs w:val="18"/>
          <w:color w:val="auto"/>
        </w:rPr>
      </w:pPr>
    </w:p>
    <w:p>
      <w:pPr>
        <w:ind w:left="460" w:right="80" w:hanging="452"/>
        <w:spacing w:after="0" w:line="264" w:lineRule="auto"/>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summary of free cash flows has been prepared to highlight and facilitate understanding of the principal cash flow elements. Free cash flow is not a measure of financial performance under generally accepted accounting principles and is not intended to replace the consolidated statement of cash flows that was prepared in accordance with generally accepted accounting principles.</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16" w:name="page17"/>
    <w:bookmarkEnd w:id="16"/>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Summary Data Sheet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 Amounts in Millions)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4"/>
          </w:tcPr>
          <w:p>
            <w:pPr>
              <w:jc w:val="center"/>
              <w:ind w:right="100"/>
              <w:spacing w:after="0"/>
              <w:rPr>
                <w:sz w:val="20"/>
                <w:szCs w:val="20"/>
                <w:color w:val="auto"/>
              </w:rPr>
            </w:pPr>
            <w:r>
              <w:rPr>
                <w:rFonts w:ascii="Arial" w:cs="Arial" w:eastAsia="Arial" w:hAnsi="Arial"/>
                <w:sz w:val="14"/>
                <w:szCs w:val="14"/>
                <w:b w:val="1"/>
                <w:bCs w:val="1"/>
                <w:color w:val="auto"/>
                <w:w w:val="93"/>
              </w:rPr>
              <w:t>Quarters Ended</w:t>
            </w:r>
          </w:p>
        </w:tc>
        <w:tc>
          <w:tcPr>
            <w:tcW w:w="2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7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60" w:type="dxa"/>
            <w:vAlign w:val="bottom"/>
            <w:gridSpan w:val="3"/>
          </w:tcPr>
          <w:p>
            <w:pPr>
              <w:jc w:val="right"/>
              <w:ind w:right="400"/>
              <w:spacing w:after="0" w:line="119" w:lineRule="exact"/>
              <w:rPr>
                <w:sz w:val="20"/>
                <w:szCs w:val="20"/>
                <w:color w:val="auto"/>
              </w:rPr>
            </w:pPr>
            <w:r>
              <w:rPr>
                <w:rFonts w:ascii="Arial" w:cs="Arial" w:eastAsia="Arial" w:hAnsi="Arial"/>
                <w:sz w:val="13"/>
                <w:szCs w:val="13"/>
                <w:b w:val="1"/>
                <w:bCs w:val="1"/>
                <w:color w:val="auto"/>
              </w:rPr>
              <w:t>March 31,</w:t>
            </w:r>
          </w:p>
        </w:tc>
        <w:tc>
          <w:tcPr>
            <w:tcW w:w="320" w:type="dxa"/>
            <w:vAlign w:val="bottom"/>
          </w:tcPr>
          <w:p>
            <w:pPr>
              <w:spacing w:after="0"/>
              <w:rPr>
                <w:sz w:val="10"/>
                <w:szCs w:val="10"/>
                <w:color w:val="auto"/>
              </w:rPr>
            </w:pPr>
          </w:p>
        </w:tc>
        <w:tc>
          <w:tcPr>
            <w:tcW w:w="128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December 31,</w:t>
            </w:r>
          </w:p>
        </w:tc>
        <w:tc>
          <w:tcPr>
            <w:tcW w:w="280" w:type="dxa"/>
            <w:vAlign w:val="bottom"/>
          </w:tcPr>
          <w:p>
            <w:pPr>
              <w:spacing w:after="0"/>
              <w:rPr>
                <w:sz w:val="10"/>
                <w:szCs w:val="10"/>
                <w:color w:val="auto"/>
              </w:rPr>
            </w:pPr>
          </w:p>
        </w:tc>
        <w:tc>
          <w:tcPr>
            <w:tcW w:w="680" w:type="dxa"/>
            <w:vAlign w:val="bottom"/>
            <w:gridSpan w:val="2"/>
          </w:tcPr>
          <w:p>
            <w:pPr>
              <w:jc w:val="right"/>
              <w:spacing w:after="0" w:line="119" w:lineRule="exact"/>
              <w:rPr>
                <w:sz w:val="20"/>
                <w:szCs w:val="20"/>
                <w:color w:val="auto"/>
              </w:rPr>
            </w:pPr>
            <w:r>
              <w:rPr>
                <w:rFonts w:ascii="Arial" w:cs="Arial" w:eastAsia="Arial" w:hAnsi="Arial"/>
                <w:sz w:val="13"/>
                <w:szCs w:val="13"/>
                <w:b w:val="1"/>
                <w:bCs w:val="1"/>
                <w:color w:val="auto"/>
              </w:rPr>
              <w:t>March 31,</w:t>
            </w: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b w:val="1"/>
                <w:bCs w:val="1"/>
                <w:color w:val="auto"/>
              </w:rPr>
              <w:t>2009</w:t>
            </w:r>
          </w:p>
        </w:tc>
        <w:tc>
          <w:tcPr>
            <w:tcW w:w="3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b w:val="1"/>
                <w:bCs w:val="1"/>
                <w:color w:val="auto"/>
              </w:rPr>
              <w:t>2008</w:t>
            </w:r>
          </w:p>
        </w:tc>
        <w:tc>
          <w:tcPr>
            <w:tcW w:w="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b w:val="1"/>
                <w:bCs w:val="1"/>
                <w:color w:val="auto"/>
              </w:rPr>
              <w:t>2008</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Sheet Data</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tcPr>
          <w:p>
            <w:pPr>
              <w:spacing w:after="0"/>
              <w:rPr>
                <w:sz w:val="20"/>
                <w:szCs w:val="20"/>
                <w:color w:val="auto"/>
              </w:rPr>
            </w:pPr>
            <w:r>
              <w:rPr>
                <w:rFonts w:ascii="Arial" w:cs="Arial" w:eastAsia="Arial" w:hAnsi="Arial"/>
                <w:sz w:val="18"/>
                <w:szCs w:val="18"/>
                <w:color w:val="auto"/>
              </w:rPr>
              <w:t>Cash, cash equivalents and short-term investments available for use (a)</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380"/>
              <w:spacing w:after="0"/>
              <w:rPr>
                <w:sz w:val="20"/>
                <w:szCs w:val="20"/>
                <w:color w:val="auto"/>
              </w:rPr>
            </w:pPr>
            <w:r>
              <w:rPr>
                <w:rFonts w:ascii="Arial" w:cs="Arial" w:eastAsia="Arial" w:hAnsi="Arial"/>
                <w:sz w:val="18"/>
                <w:szCs w:val="18"/>
                <w:color w:val="auto"/>
              </w:rPr>
              <w:t>947</w:t>
            </w:r>
          </w:p>
        </w:tc>
        <w:tc>
          <w:tcPr>
            <w:tcW w:w="52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440"/>
              <w:spacing w:after="0"/>
              <w:rPr>
                <w:sz w:val="20"/>
                <w:szCs w:val="20"/>
                <w:color w:val="auto"/>
              </w:rPr>
            </w:pPr>
            <w:r>
              <w:rPr>
                <w:rFonts w:ascii="Arial" w:cs="Arial" w:eastAsia="Arial" w:hAnsi="Arial"/>
                <w:sz w:val="18"/>
                <w:szCs w:val="18"/>
                <w:color w:val="auto"/>
              </w:rPr>
              <w:t>480</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466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7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Debt-to-total capital ratio:</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tcPr>
          <w:p>
            <w:pPr>
              <w:ind w:left="200"/>
              <w:spacing w:after="0"/>
              <w:rPr>
                <w:sz w:val="20"/>
                <w:szCs w:val="20"/>
                <w:color w:val="auto"/>
              </w:rPr>
            </w:pPr>
            <w:r>
              <w:rPr>
                <w:rFonts w:ascii="Arial" w:cs="Arial" w:eastAsia="Arial" w:hAnsi="Arial"/>
                <w:sz w:val="18"/>
                <w:szCs w:val="18"/>
                <w:color w:val="auto"/>
              </w:rPr>
              <w:t>Long-term indebtedness, including current portion</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380"/>
              <w:spacing w:after="0"/>
              <w:rPr>
                <w:sz w:val="20"/>
                <w:szCs w:val="20"/>
                <w:color w:val="auto"/>
              </w:rPr>
            </w:pPr>
            <w:r>
              <w:rPr>
                <w:rFonts w:ascii="Arial" w:cs="Arial" w:eastAsia="Arial" w:hAnsi="Arial"/>
                <w:sz w:val="18"/>
                <w:szCs w:val="18"/>
                <w:color w:val="auto"/>
              </w:rPr>
              <w:t>8,789</w:t>
            </w:r>
          </w:p>
        </w:tc>
        <w:tc>
          <w:tcPr>
            <w:tcW w:w="52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440"/>
              <w:spacing w:after="0"/>
              <w:rPr>
                <w:sz w:val="20"/>
                <w:szCs w:val="20"/>
                <w:color w:val="auto"/>
              </w:rPr>
            </w:pPr>
            <w:r>
              <w:rPr>
                <w:rFonts w:ascii="Arial" w:cs="Arial" w:eastAsia="Arial" w:hAnsi="Arial"/>
                <w:sz w:val="18"/>
                <w:szCs w:val="18"/>
                <w:color w:val="auto"/>
              </w:rPr>
              <w:t>8,326</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8,719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equity (b)</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6,193</w:t>
            </w: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6,185</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5,918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100" w:type="dxa"/>
            <w:vAlign w:val="bottom"/>
          </w:tcPr>
          <w:p>
            <w:pPr>
              <w:ind w:left="400"/>
              <w:spacing w:after="0"/>
              <w:rPr>
                <w:sz w:val="20"/>
                <w:szCs w:val="20"/>
                <w:color w:val="auto"/>
              </w:rPr>
            </w:pPr>
            <w:r>
              <w:rPr>
                <w:rFonts w:ascii="Arial" w:cs="Arial" w:eastAsia="Arial" w:hAnsi="Arial"/>
                <w:sz w:val="18"/>
                <w:szCs w:val="18"/>
                <w:color w:val="auto"/>
              </w:rPr>
              <w:t>Total capital</w:t>
            </w:r>
          </w:p>
        </w:tc>
        <w:tc>
          <w:tcPr>
            <w:tcW w:w="5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14,982</w:t>
            </w:r>
          </w:p>
        </w:tc>
        <w:tc>
          <w:tcPr>
            <w:tcW w:w="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14,511</w:t>
            </w:r>
          </w:p>
        </w:tc>
        <w:tc>
          <w:tcPr>
            <w:tcW w:w="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14,637</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Debt-to-total capital</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58.7%</w:t>
            </w: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57.4%</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59.6%</w:t>
            </w:r>
          </w:p>
        </w:tc>
        <w:tc>
          <w:tcPr>
            <w:tcW w:w="0" w:type="dxa"/>
            <w:vAlign w:val="bottom"/>
          </w:tcPr>
          <w:p>
            <w:pPr>
              <w:spacing w:after="0"/>
              <w:rPr>
                <w:sz w:val="1"/>
                <w:szCs w:val="1"/>
                <w:color w:val="auto"/>
              </w:rPr>
            </w:pPr>
          </w:p>
        </w:tc>
      </w:tr>
      <w:tr>
        <w:trPr>
          <w:trHeight w:val="20"/>
        </w:trPr>
        <w:tc>
          <w:tcPr>
            <w:tcW w:w="712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7120" w:type="dxa"/>
            <w:vAlign w:val="bottom"/>
            <w:gridSpan w:val="2"/>
          </w:tcPr>
          <w:p>
            <w:pPr>
              <w:spacing w:after="0"/>
              <w:rPr>
                <w:sz w:val="20"/>
                <w:szCs w:val="20"/>
                <w:color w:val="auto"/>
              </w:rPr>
            </w:pPr>
            <w:r>
              <w:rPr>
                <w:rFonts w:ascii="Arial" w:cs="Arial" w:eastAsia="Arial" w:hAnsi="Arial"/>
                <w:sz w:val="18"/>
                <w:szCs w:val="18"/>
                <w:color w:val="auto"/>
              </w:rPr>
              <w:t>Capitalized interest</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380"/>
              <w:spacing w:after="0"/>
              <w:rPr>
                <w:sz w:val="20"/>
                <w:szCs w:val="20"/>
                <w:color w:val="auto"/>
              </w:rPr>
            </w:pPr>
            <w:r>
              <w:rPr>
                <w:rFonts w:ascii="Arial" w:cs="Arial" w:eastAsia="Arial" w:hAnsi="Arial"/>
                <w:sz w:val="18"/>
                <w:szCs w:val="18"/>
                <w:color w:val="auto"/>
              </w:rPr>
              <w:t>3</w:t>
            </w:r>
          </w:p>
        </w:tc>
        <w:tc>
          <w:tcPr>
            <w:tcW w:w="52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440"/>
              <w:spacing w:after="0"/>
              <w:rPr>
                <w:sz w:val="20"/>
                <w:szCs w:val="20"/>
                <w:color w:val="auto"/>
              </w:rPr>
            </w:pPr>
            <w:r>
              <w:rPr>
                <w:rFonts w:ascii="Arial" w:cs="Arial" w:eastAsia="Arial" w:hAnsi="Arial"/>
                <w:sz w:val="18"/>
                <w:szCs w:val="18"/>
                <w:color w:val="auto"/>
              </w:rPr>
              <w:t>4</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7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Operational Data</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7120" w:type="dxa"/>
            <w:vAlign w:val="bottom"/>
            <w:gridSpan w:val="2"/>
          </w:tcPr>
          <w:p>
            <w:pPr>
              <w:spacing w:after="0"/>
              <w:rPr>
                <w:sz w:val="20"/>
                <w:szCs w:val="20"/>
                <w:color w:val="auto"/>
              </w:rPr>
            </w:pPr>
            <w:r>
              <w:rPr>
                <w:rFonts w:ascii="Arial" w:cs="Arial" w:eastAsia="Arial" w:hAnsi="Arial"/>
                <w:sz w:val="18"/>
                <w:szCs w:val="18"/>
                <w:color w:val="auto"/>
              </w:rPr>
              <w:t>Internalization of waste, based on disposal costs</w:t>
            </w: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70.0%</w:t>
            </w: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68.4%</w:t>
            </w: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67.7%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7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Total landfill disposal volumes (tons in millions)</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21.6</w:t>
            </w: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25.0</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tcPr>
          <w:p>
            <w:pPr>
              <w:spacing w:after="0"/>
              <w:rPr>
                <w:sz w:val="20"/>
                <w:szCs w:val="20"/>
                <w:color w:val="auto"/>
              </w:rPr>
            </w:pPr>
            <w:r>
              <w:rPr>
                <w:rFonts w:ascii="Arial" w:cs="Arial" w:eastAsia="Arial" w:hAnsi="Arial"/>
                <w:sz w:val="18"/>
                <w:szCs w:val="18"/>
                <w:color w:val="auto"/>
              </w:rPr>
              <w:t>Total waste-to-energy disposal volumes (tons in millions)</w:t>
            </w: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1.7</w:t>
            </w: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440"/>
              <w:spacing w:after="0"/>
              <w:rPr>
                <w:sz w:val="20"/>
                <w:szCs w:val="20"/>
                <w:color w:val="auto"/>
              </w:rPr>
            </w:pPr>
            <w:r>
              <w:rPr>
                <w:rFonts w:ascii="Arial" w:cs="Arial" w:eastAsia="Arial" w:hAnsi="Arial"/>
                <w:sz w:val="18"/>
                <w:szCs w:val="18"/>
                <w:color w:val="auto"/>
              </w:rPr>
              <w:t>1.8</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disposal volumes (tons in millions)</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w:t>
            </w: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26.8</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26.8</w:t>
            </w:r>
          </w:p>
        </w:tc>
        <w:tc>
          <w:tcPr>
            <w:tcW w:w="0" w:type="dxa"/>
            <w:vAlign w:val="bottom"/>
          </w:tcPr>
          <w:p>
            <w:pPr>
              <w:spacing w:after="0"/>
              <w:rPr>
                <w:sz w:val="1"/>
                <w:szCs w:val="1"/>
                <w:color w:val="auto"/>
              </w:rPr>
            </w:pPr>
          </w:p>
        </w:tc>
      </w:tr>
      <w:tr>
        <w:trPr>
          <w:trHeight w:val="20"/>
        </w:trPr>
        <w:tc>
          <w:tcPr>
            <w:tcW w:w="712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7120" w:type="dxa"/>
            <w:vAlign w:val="bottom"/>
            <w:gridSpan w:val="2"/>
          </w:tcPr>
          <w:p>
            <w:pPr>
              <w:spacing w:after="0"/>
              <w:rPr>
                <w:sz w:val="20"/>
                <w:szCs w:val="20"/>
                <w:color w:val="auto"/>
              </w:rPr>
            </w:pPr>
            <w:r>
              <w:rPr>
                <w:rFonts w:ascii="Arial" w:cs="Arial" w:eastAsia="Arial" w:hAnsi="Arial"/>
                <w:sz w:val="18"/>
                <w:szCs w:val="18"/>
                <w:color w:val="auto"/>
              </w:rPr>
              <w:t>Active landfills</w:t>
            </w: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gridSpan w:val="2"/>
          </w:tcPr>
          <w:p>
            <w:pPr>
              <w:jc w:val="right"/>
              <w:ind w:right="380"/>
              <w:spacing w:after="0"/>
              <w:rPr>
                <w:sz w:val="20"/>
                <w:szCs w:val="20"/>
                <w:color w:val="auto"/>
              </w:rPr>
            </w:pPr>
            <w:r>
              <w:rPr>
                <w:rFonts w:ascii="Arial" w:cs="Arial" w:eastAsia="Arial" w:hAnsi="Arial"/>
                <w:sz w:val="18"/>
                <w:szCs w:val="18"/>
                <w:color w:val="auto"/>
              </w:rPr>
              <w:t>274</w:t>
            </w: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gridSpan w:val="2"/>
          </w:tcPr>
          <w:p>
            <w:pPr>
              <w:jc w:val="right"/>
              <w:ind w:right="440"/>
              <w:spacing w:after="0"/>
              <w:rPr>
                <w:sz w:val="20"/>
                <w:szCs w:val="20"/>
                <w:color w:val="auto"/>
              </w:rPr>
            </w:pPr>
            <w:r>
              <w:rPr>
                <w:rFonts w:ascii="Arial" w:cs="Arial" w:eastAsia="Arial" w:hAnsi="Arial"/>
                <w:sz w:val="18"/>
                <w:szCs w:val="18"/>
                <w:color w:val="auto"/>
              </w:rPr>
              <w:t>273</w:t>
            </w: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280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7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Landfills reporting volume</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260</w:t>
            </w: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260</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260</w:t>
            </w:r>
          </w:p>
        </w:tc>
        <w:tc>
          <w:tcPr>
            <w:tcW w:w="0" w:type="dxa"/>
            <w:vAlign w:val="bottom"/>
          </w:tcPr>
          <w:p>
            <w:pPr>
              <w:spacing w:after="0"/>
              <w:rPr>
                <w:sz w:val="1"/>
                <w:szCs w:val="1"/>
                <w:color w:val="auto"/>
              </w:rPr>
            </w:pPr>
          </w:p>
        </w:tc>
      </w:tr>
      <w:tr>
        <w:trPr>
          <w:trHeight w:val="20"/>
        </w:trPr>
        <w:tc>
          <w:tcPr>
            <w:tcW w:w="7120" w:type="dxa"/>
            <w:vAlign w:val="bottom"/>
            <w:gridSpan w:val="2"/>
            <w:vMerge w:val="restart"/>
          </w:tcPr>
          <w:p>
            <w:pPr>
              <w:spacing w:after="0"/>
              <w:rPr>
                <w:sz w:val="20"/>
                <w:szCs w:val="20"/>
                <w:color w:val="auto"/>
              </w:rPr>
            </w:pPr>
            <w:r>
              <w:rPr>
                <w:rFonts w:ascii="Arial" w:cs="Arial" w:eastAsia="Arial" w:hAnsi="Arial"/>
                <w:sz w:val="18"/>
                <w:szCs w:val="18"/>
                <w:b w:val="1"/>
                <w:bCs w:val="1"/>
                <w:color w:val="auto"/>
                <w:w w:val="97"/>
              </w:rPr>
              <w:t>Amortization and SFAS No. 143 Expenses for Landfills Included in Operating Groups</w:t>
            </w:r>
          </w:p>
        </w:tc>
        <w:tc>
          <w:tcPr>
            <w:tcW w:w="5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7120" w:type="dxa"/>
            <w:vAlign w:val="bottom"/>
            <w:gridSpan w:val="2"/>
            <w:vMerge w:val="continue"/>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Non — SFAS No. 143 amortization expense</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77.0</w:t>
            </w:r>
          </w:p>
        </w:tc>
        <w:tc>
          <w:tcPr>
            <w:tcW w:w="5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88.1</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tcPr>
          <w:p>
            <w:pPr>
              <w:spacing w:after="0"/>
              <w:rPr>
                <w:sz w:val="20"/>
                <w:szCs w:val="20"/>
                <w:color w:val="auto"/>
              </w:rPr>
            </w:pPr>
            <w:r>
              <w:rPr>
                <w:rFonts w:ascii="Arial" w:cs="Arial" w:eastAsia="Arial" w:hAnsi="Arial"/>
                <w:sz w:val="18"/>
                <w:szCs w:val="18"/>
                <w:color w:val="auto"/>
              </w:rPr>
              <w:t>Amortization expense related to SFAS No. 143 obligations</w:t>
            </w: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10.6</w:t>
            </w: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440"/>
              <w:spacing w:after="0"/>
              <w:rPr>
                <w:sz w:val="20"/>
                <w:szCs w:val="20"/>
                <w:color w:val="auto"/>
              </w:rPr>
            </w:pPr>
            <w:r>
              <w:rPr>
                <w:rFonts w:ascii="Arial" w:cs="Arial" w:eastAsia="Arial" w:hAnsi="Arial"/>
                <w:sz w:val="18"/>
                <w:szCs w:val="18"/>
                <w:color w:val="auto"/>
              </w:rPr>
              <w:t>4.6</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amortization expense (c) (d)</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87.6</w:t>
            </w: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92.7</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tcPr>
          <w:p>
            <w:pPr>
              <w:spacing w:after="0"/>
              <w:rPr>
                <w:sz w:val="20"/>
                <w:szCs w:val="20"/>
                <w:color w:val="auto"/>
              </w:rPr>
            </w:pPr>
            <w:r>
              <w:rPr>
                <w:rFonts w:ascii="Arial" w:cs="Arial" w:eastAsia="Arial" w:hAnsi="Arial"/>
                <w:sz w:val="18"/>
                <w:szCs w:val="18"/>
                <w:color w:val="auto"/>
              </w:rPr>
              <w:t>Accretion and other related expense</w:t>
            </w: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16.1</w:t>
            </w: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440"/>
              <w:spacing w:after="0"/>
              <w:rPr>
                <w:sz w:val="20"/>
                <w:szCs w:val="20"/>
                <w:color w:val="auto"/>
              </w:rPr>
            </w:pPr>
            <w:r>
              <w:rPr>
                <w:rFonts w:ascii="Arial" w:cs="Arial" w:eastAsia="Arial" w:hAnsi="Arial"/>
                <w:sz w:val="18"/>
                <w:szCs w:val="18"/>
                <w:color w:val="auto"/>
              </w:rPr>
              <w:t>16.8</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15.7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Landfill amortization, accretion and other related expense</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103.7</w:t>
            </w:r>
          </w:p>
        </w:tc>
        <w:tc>
          <w:tcPr>
            <w:tcW w:w="5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109.5</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109.5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0365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57" w:lineRule="exact"/>
        <w:rPr>
          <w:sz w:val="20"/>
          <w:szCs w:val="20"/>
          <w:color w:val="auto"/>
        </w:rPr>
      </w:pPr>
    </w:p>
    <w:p>
      <w:pPr>
        <w:ind w:left="460" w:hanging="452"/>
        <w:spacing w:after="0"/>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quarters presented include less than $0.1 million of short-term investments available for use.</w:t>
      </w:r>
    </w:p>
    <w:p>
      <w:pPr>
        <w:spacing w:after="0" w:line="76" w:lineRule="exact"/>
        <w:rPr>
          <w:rFonts w:ascii="Arial" w:cs="Arial" w:eastAsia="Arial" w:hAnsi="Arial"/>
          <w:sz w:val="18"/>
          <w:szCs w:val="18"/>
          <w:color w:val="auto"/>
        </w:rPr>
      </w:pPr>
    </w:p>
    <w:p>
      <w:pPr>
        <w:ind w:left="460" w:right="60" w:hanging="452"/>
        <w:spacing w:after="0" w:line="325" w:lineRule="auto"/>
        <w:tabs>
          <w:tab w:leader="none" w:pos="4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 xml:space="preserve">As a result of the company’s adoption of SFAS No. 160, </w:t>
      </w:r>
      <w:r>
        <w:rPr>
          <w:rFonts w:ascii="Arial" w:cs="Arial" w:eastAsia="Arial" w:hAnsi="Arial"/>
          <w:sz w:val="16"/>
          <w:szCs w:val="16"/>
          <w:i w:val="1"/>
          <w:iCs w:val="1"/>
          <w:color w:val="auto"/>
        </w:rPr>
        <w:t>Noncontrolling Interests in Consolidated Financial Statements</w:t>
      </w:r>
      <w:r>
        <w:rPr>
          <w:rFonts w:ascii="Arial" w:cs="Arial" w:eastAsia="Arial" w:hAnsi="Arial"/>
          <w:sz w:val="16"/>
          <w:szCs w:val="16"/>
          <w:color w:val="auto"/>
        </w:rPr>
        <w:t xml:space="preserve">- </w:t>
      </w:r>
      <w:r>
        <w:rPr>
          <w:rFonts w:ascii="Arial" w:cs="Arial" w:eastAsia="Arial" w:hAnsi="Arial"/>
          <w:sz w:val="16"/>
          <w:szCs w:val="16"/>
          <w:i w:val="1"/>
          <w:iCs w:val="1"/>
          <w:color w:val="auto"/>
        </w:rPr>
        <w:t>an amendment of ARB No. 51,</w:t>
      </w:r>
      <w:r>
        <w:rPr>
          <w:rFonts w:ascii="Arial" w:cs="Arial" w:eastAsia="Arial" w:hAnsi="Arial"/>
          <w:sz w:val="16"/>
          <w:szCs w:val="16"/>
          <w:color w:val="auto"/>
        </w:rPr>
        <w:t xml:space="preserve"> noncontrolling interests in a subsidiary are now reported in Total equity. Prior year information has been reclassified to conform to 2009 presentation.</w:t>
      </w:r>
    </w:p>
    <w:p>
      <w:pPr>
        <w:spacing w:after="0" w:line="1" w:lineRule="exact"/>
        <w:rPr>
          <w:rFonts w:ascii="Arial" w:cs="Arial" w:eastAsia="Arial" w:hAnsi="Arial"/>
          <w:sz w:val="16"/>
          <w:szCs w:val="16"/>
          <w:color w:val="auto"/>
        </w:rPr>
      </w:pPr>
    </w:p>
    <w:p>
      <w:pPr>
        <w:ind w:left="460" w:right="160" w:hanging="452"/>
        <w:spacing w:after="0" w:line="257" w:lineRule="auto"/>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quarter ended March 31, 2009 as compared with the quarter ended December 31, 2008 reflects a decrease in amortization expense of $5.1 million of which $16.5 million is due to the seasonal reduction in landfill volumes and volume declines resulting from the weakened economy. This decrease was partially offset by an increase of $9.0 million attributable to year-end adjustments of the SFAS No. 143 landfill final capping construction and closure/post closure obligations as identified in our Q4 annual landfill reviews. Additionally, there was a one-time unfavorable adjustment of $900k in Q1 2009 for revisions in estimates of final capping costs.</w:t>
      </w:r>
    </w:p>
    <w:p>
      <w:pPr>
        <w:spacing w:after="0" w:line="39" w:lineRule="exact"/>
        <w:rPr>
          <w:rFonts w:ascii="Arial" w:cs="Arial" w:eastAsia="Arial" w:hAnsi="Arial"/>
          <w:sz w:val="18"/>
          <w:szCs w:val="18"/>
          <w:color w:val="auto"/>
        </w:rPr>
      </w:pPr>
    </w:p>
    <w:p>
      <w:pPr>
        <w:ind w:left="460" w:right="80" w:hanging="452"/>
        <w:spacing w:after="0" w:line="291" w:lineRule="auto"/>
        <w:tabs>
          <w:tab w:leader="none" w:pos="4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quarter ended March 31, 2009, as compared with the quarter ended March 31, 2008 reflects a reduction in amortization expense of $6.2 million, of which $11.5 million is primarily due to lower landfill volumes resulting from the weakened economy. This reduction was partially offset by</w:t>
      </w:r>
    </w:p>
    <w:p>
      <w:pPr>
        <w:ind w:left="460" w:right="480"/>
        <w:spacing w:after="0" w:line="261" w:lineRule="auto"/>
        <w:rPr>
          <w:rFonts w:ascii="Arial" w:cs="Arial" w:eastAsia="Arial" w:hAnsi="Arial"/>
          <w:sz w:val="16"/>
          <w:szCs w:val="16"/>
          <w:color w:val="auto"/>
        </w:rPr>
      </w:pPr>
      <w:r>
        <w:rPr>
          <w:rFonts w:ascii="Arial" w:cs="Arial" w:eastAsia="Arial" w:hAnsi="Arial"/>
          <w:sz w:val="18"/>
          <w:szCs w:val="18"/>
          <w:color w:val="auto"/>
        </w:rPr>
        <w:t>$5.1 million of expense reversals primarily as a result of one-time adjustments taken in Q1 2008 of $3.2 million for revisions in estimates of final capping and closure/post-closure costs.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58" w:right="239" w:bottom="1440" w:gutter="0" w:footer="0" w:header="0"/>
        </w:sectPr>
      </w:pPr>
    </w:p>
    <w:bookmarkStart w:id="17" w:name="page18"/>
    <w:bookmarkEnd w:id="17"/>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Reconciliation of Certain Non-GAAP Measures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Millions,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60" w:type="dxa"/>
            <w:vAlign w:val="bottom"/>
            <w:gridSpan w:val="4"/>
          </w:tcPr>
          <w:p>
            <w:pPr>
              <w:jc w:val="right"/>
              <w:ind w:right="71"/>
              <w:spacing w:after="0"/>
              <w:rPr>
                <w:sz w:val="20"/>
                <w:szCs w:val="20"/>
                <w:color w:val="auto"/>
              </w:rPr>
            </w:pPr>
            <w:r>
              <w:rPr>
                <w:rFonts w:ascii="Arial" w:cs="Arial" w:eastAsia="Arial" w:hAnsi="Arial"/>
                <w:sz w:val="14"/>
                <w:szCs w:val="14"/>
                <w:b w:val="1"/>
                <w:bCs w:val="1"/>
                <w:color w:val="auto"/>
              </w:rPr>
              <w:t>Quarter Ended</w:t>
            </w: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0" w:type="dxa"/>
            <w:vAlign w:val="bottom"/>
            <w:gridSpan w:val="5"/>
          </w:tcPr>
          <w:p>
            <w:pPr>
              <w:jc w:val="right"/>
              <w:spacing w:after="0"/>
              <w:rPr>
                <w:sz w:val="20"/>
                <w:szCs w:val="20"/>
                <w:color w:val="auto"/>
              </w:rPr>
            </w:pPr>
            <w:r>
              <w:rPr>
                <w:rFonts w:ascii="Arial" w:cs="Arial" w:eastAsia="Arial" w:hAnsi="Arial"/>
                <w:sz w:val="14"/>
                <w:szCs w:val="14"/>
                <w:b w:val="1"/>
                <w:bCs w:val="1"/>
                <w:color w:val="auto"/>
                <w:w w:val="96"/>
              </w:rPr>
              <w:t>Quarter Ended</w:t>
            </w: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gridSpan w:val="4"/>
          </w:tcPr>
          <w:p>
            <w:pPr>
              <w:jc w:val="right"/>
              <w:ind w:right="71"/>
              <w:spacing w:after="0"/>
              <w:rPr>
                <w:sz w:val="20"/>
                <w:szCs w:val="20"/>
                <w:color w:val="auto"/>
              </w:rPr>
            </w:pPr>
            <w:r>
              <w:rPr>
                <w:rFonts w:ascii="Arial" w:cs="Arial" w:eastAsia="Arial" w:hAnsi="Arial"/>
                <w:sz w:val="14"/>
                <w:szCs w:val="14"/>
                <w:b w:val="1"/>
                <w:bCs w:val="1"/>
                <w:color w:val="auto"/>
              </w:rPr>
              <w:t>March 31, 2009</w:t>
            </w:r>
          </w:p>
        </w:tc>
        <w:tc>
          <w:tcPr>
            <w:tcW w:w="44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w w:val="96"/>
              </w:rPr>
              <w:t>March 31, 2008</w:t>
            </w:r>
          </w:p>
        </w:tc>
        <w:tc>
          <w:tcPr>
            <w:tcW w:w="4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58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40" w:type="dxa"/>
            <w:vAlign w:val="bottom"/>
            <w:gridSpan w:val="3"/>
          </w:tcPr>
          <w:p>
            <w:pPr>
              <w:ind w:left="60"/>
              <w:spacing w:after="0" w:line="119" w:lineRule="exact"/>
              <w:rPr>
                <w:sz w:val="20"/>
                <w:szCs w:val="20"/>
                <w:color w:val="auto"/>
              </w:rPr>
            </w:pPr>
            <w:r>
              <w:rPr>
                <w:rFonts w:ascii="Arial" w:cs="Arial" w:eastAsia="Arial" w:hAnsi="Arial"/>
                <w:sz w:val="13"/>
                <w:szCs w:val="13"/>
                <w:b w:val="1"/>
                <w:bCs w:val="1"/>
                <w:color w:val="auto"/>
              </w:rPr>
              <w:t>After-tax</w:t>
            </w:r>
          </w:p>
        </w:tc>
        <w:tc>
          <w:tcPr>
            <w:tcW w:w="360" w:type="dxa"/>
            <w:vAlign w:val="bottom"/>
          </w:tcPr>
          <w:p>
            <w:pPr>
              <w:spacing w:after="0"/>
              <w:rPr>
                <w:sz w:val="10"/>
                <w:szCs w:val="10"/>
                <w:color w:val="auto"/>
              </w:rPr>
            </w:pPr>
          </w:p>
        </w:tc>
        <w:tc>
          <w:tcPr>
            <w:tcW w:w="680" w:type="dxa"/>
            <w:vAlign w:val="bottom"/>
            <w:gridSpan w:val="2"/>
          </w:tcPr>
          <w:p>
            <w:pPr>
              <w:jc w:val="right"/>
              <w:spacing w:after="0" w:line="119" w:lineRule="exact"/>
              <w:rPr>
                <w:sz w:val="20"/>
                <w:szCs w:val="20"/>
                <w:color w:val="auto"/>
              </w:rPr>
            </w:pPr>
            <w:r>
              <w:rPr>
                <w:rFonts w:ascii="Arial" w:cs="Arial" w:eastAsia="Arial" w:hAnsi="Arial"/>
                <w:sz w:val="13"/>
                <w:szCs w:val="13"/>
                <w:b w:val="1"/>
                <w:bCs w:val="1"/>
                <w:color w:val="auto"/>
              </w:rPr>
              <w:t>Per Share</w:t>
            </w:r>
          </w:p>
        </w:tc>
        <w:tc>
          <w:tcPr>
            <w:tcW w:w="2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40" w:type="dxa"/>
            <w:vAlign w:val="bottom"/>
            <w:gridSpan w:val="4"/>
          </w:tcPr>
          <w:p>
            <w:pPr>
              <w:jc w:val="center"/>
              <w:ind w:right="560"/>
              <w:spacing w:after="0" w:line="119" w:lineRule="exact"/>
              <w:rPr>
                <w:sz w:val="20"/>
                <w:szCs w:val="20"/>
                <w:color w:val="auto"/>
              </w:rPr>
            </w:pPr>
            <w:r>
              <w:rPr>
                <w:rFonts w:ascii="Arial" w:cs="Arial" w:eastAsia="Arial" w:hAnsi="Arial"/>
                <w:sz w:val="13"/>
                <w:szCs w:val="13"/>
                <w:b w:val="1"/>
                <w:bCs w:val="1"/>
                <w:color w:val="auto"/>
              </w:rPr>
              <w:t>After-tax</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gridSpan w:val="3"/>
          </w:tcPr>
          <w:p>
            <w:pPr>
              <w:jc w:val="right"/>
              <w:ind w:right="40"/>
              <w:spacing w:after="0" w:line="119" w:lineRule="exact"/>
              <w:rPr>
                <w:sz w:val="20"/>
                <w:szCs w:val="20"/>
                <w:color w:val="auto"/>
              </w:rPr>
            </w:pPr>
            <w:r>
              <w:rPr>
                <w:rFonts w:ascii="Arial" w:cs="Arial" w:eastAsia="Arial" w:hAnsi="Arial"/>
                <w:sz w:val="13"/>
                <w:szCs w:val="13"/>
                <w:b w:val="1"/>
                <w:bCs w:val="1"/>
                <w:color w:val="auto"/>
              </w:rPr>
              <w:t>Per Share</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582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Adjusted Net income attributable to WMI and Diluted Earnings Per Share</w:t>
            </w:r>
          </w:p>
        </w:tc>
        <w:tc>
          <w:tcPr>
            <w:tcW w:w="7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
              <w:spacing w:after="0"/>
              <w:rPr>
                <w:sz w:val="20"/>
                <w:szCs w:val="20"/>
                <w:color w:val="auto"/>
              </w:rPr>
            </w:pPr>
            <w:r>
              <w:rPr>
                <w:rFonts w:ascii="Arial" w:cs="Arial" w:eastAsia="Arial" w:hAnsi="Arial"/>
                <w:sz w:val="14"/>
                <w:szCs w:val="14"/>
                <w:b w:val="1"/>
                <w:bCs w:val="1"/>
                <w:color w:val="auto"/>
                <w:w w:val="94"/>
              </w:rPr>
              <w:t>Amount</w:t>
            </w:r>
          </w:p>
        </w:tc>
        <w:tc>
          <w:tcPr>
            <w:tcW w:w="3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8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4"/>
                <w:szCs w:val="14"/>
                <w:b w:val="1"/>
                <w:bCs w:val="1"/>
                <w:color w:val="auto"/>
              </w:rPr>
              <w:t>Amount</w:t>
            </w: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4"/>
              </w:rPr>
              <w:t>Amount</w:t>
            </w: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 attributable to WMI and Diluted EPS, as reported</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155</w:t>
            </w:r>
          </w:p>
        </w:tc>
        <w:tc>
          <w:tcPr>
            <w:tcW w:w="600" w:type="dxa"/>
            <w:vAlign w:val="bottom"/>
            <w:gridSpan w:val="2"/>
            <w:shd w:val="clear" w:color="auto" w:fill="CCEEFF"/>
          </w:tcPr>
          <w:p>
            <w:pPr>
              <w:jc w:val="right"/>
              <w:ind w:right="91"/>
              <w:spacing w:after="0"/>
              <w:rPr>
                <w:sz w:val="20"/>
                <w:szCs w:val="20"/>
                <w:color w:val="auto"/>
              </w:rPr>
            </w:pPr>
            <w:r>
              <w:rPr>
                <w:rFonts w:ascii="Arial" w:cs="Arial" w:eastAsia="Arial" w:hAnsi="Arial"/>
                <w:sz w:val="18"/>
                <w:szCs w:val="18"/>
                <w:b w:val="1"/>
                <w:bCs w:val="1"/>
                <w:color w:val="auto"/>
              </w:rPr>
              <w:t>$</w:t>
            </w: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0.31</w:t>
            </w:r>
          </w:p>
        </w:tc>
        <w:tc>
          <w:tcPr>
            <w:tcW w:w="52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14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b w:val="1"/>
                <w:bCs w:val="1"/>
                <w:color w:val="auto"/>
              </w:rPr>
              <w:t>241</w:t>
            </w:r>
          </w:p>
        </w:tc>
        <w:tc>
          <w:tcPr>
            <w:tcW w:w="280" w:type="dxa"/>
            <w:vAlign w:val="bottom"/>
            <w:gridSpan w:val="3"/>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w:t>
            </w:r>
          </w:p>
        </w:tc>
        <w:tc>
          <w:tcPr>
            <w:tcW w:w="6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0.48</w:t>
            </w:r>
          </w:p>
        </w:tc>
        <w:tc>
          <w:tcPr>
            <w:tcW w:w="0" w:type="dxa"/>
            <w:vAlign w:val="bottom"/>
          </w:tcPr>
          <w:p>
            <w:pPr>
              <w:spacing w:after="0"/>
              <w:rPr>
                <w:sz w:val="1"/>
                <w:szCs w:val="1"/>
                <w:color w:val="auto"/>
              </w:rPr>
            </w:pPr>
          </w:p>
        </w:tc>
      </w:tr>
      <w:tr>
        <w:trPr>
          <w:trHeight w:val="432"/>
        </w:trPr>
        <w:tc>
          <w:tcPr>
            <w:tcW w:w="5820" w:type="dxa"/>
            <w:vAlign w:val="bottom"/>
            <w:gridSpan w:val="2"/>
          </w:tcPr>
          <w:p>
            <w:pPr>
              <w:spacing w:after="0"/>
              <w:rPr>
                <w:sz w:val="20"/>
                <w:szCs w:val="20"/>
                <w:color w:val="auto"/>
              </w:rPr>
            </w:pPr>
            <w:r>
              <w:rPr>
                <w:rFonts w:ascii="Arial" w:cs="Arial" w:eastAsia="Arial" w:hAnsi="Arial"/>
                <w:sz w:val="18"/>
                <w:szCs w:val="18"/>
                <w:b w:val="1"/>
                <w:bCs w:val="1"/>
                <w:color w:val="auto"/>
              </w:rPr>
              <w:t>Adjustments to Net income attributable to WMI and Diluted EPS:</w:t>
            </w: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Restructuring</w:t>
            </w: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23</w:t>
            </w: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0.05</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tcPr>
          <w:p>
            <w:pPr>
              <w:ind w:left="200"/>
              <w:spacing w:after="0"/>
              <w:rPr>
                <w:sz w:val="20"/>
                <w:szCs w:val="20"/>
                <w:color w:val="auto"/>
              </w:rPr>
            </w:pPr>
            <w:r>
              <w:rPr>
                <w:rFonts w:ascii="Arial" w:cs="Arial" w:eastAsia="Arial" w:hAnsi="Arial"/>
                <w:sz w:val="18"/>
                <w:szCs w:val="18"/>
                <w:color w:val="auto"/>
              </w:rPr>
              <w:t>SAP abandonment</w:t>
            </w: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340"/>
              <w:spacing w:after="0"/>
              <w:rPr>
                <w:sz w:val="20"/>
                <w:szCs w:val="20"/>
                <w:color w:val="auto"/>
              </w:rPr>
            </w:pPr>
            <w:r>
              <w:rPr>
                <w:rFonts w:ascii="Arial" w:cs="Arial" w:eastAsia="Arial" w:hAnsi="Arial"/>
                <w:sz w:val="18"/>
                <w:szCs w:val="18"/>
                <w:color w:val="auto"/>
              </w:rPr>
              <w:t>30</w:t>
            </w: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8"/>
                <w:szCs w:val="18"/>
                <w:color w:val="auto"/>
              </w:rPr>
              <w:t>0.06</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3"/>
          </w:tcPr>
          <w:p>
            <w:pPr>
              <w:jc w:val="right"/>
              <w:ind w:right="5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Income tax audit settlements</w:t>
            </w: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(6)</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0"/>
        </w:trPr>
        <w:tc>
          <w:tcPr>
            <w:tcW w:w="582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5820" w:type="dxa"/>
            <w:vAlign w:val="bottom"/>
            <w:gridSpan w:val="2"/>
          </w:tcPr>
          <w:p>
            <w:pPr>
              <w:spacing w:after="0"/>
              <w:rPr>
                <w:sz w:val="20"/>
                <w:szCs w:val="20"/>
                <w:color w:val="auto"/>
              </w:rPr>
            </w:pPr>
            <w:r>
              <w:rPr>
                <w:rFonts w:ascii="Arial" w:cs="Arial" w:eastAsia="Arial" w:hAnsi="Arial"/>
                <w:sz w:val="18"/>
                <w:szCs w:val="18"/>
                <w:b w:val="1"/>
                <w:bCs w:val="1"/>
                <w:color w:val="auto"/>
              </w:rPr>
              <w:t>Net income attributable to WMI and Diluted EPS, as adjusted</w:t>
            </w:r>
          </w:p>
        </w:tc>
        <w:tc>
          <w:tcPr>
            <w:tcW w:w="80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96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208</w:t>
            </w:r>
          </w:p>
        </w:tc>
        <w:tc>
          <w:tcPr>
            <w:tcW w:w="600" w:type="dxa"/>
            <w:vAlign w:val="bottom"/>
            <w:gridSpan w:val="2"/>
          </w:tcPr>
          <w:p>
            <w:pPr>
              <w:jc w:val="right"/>
              <w:ind w:right="91"/>
              <w:spacing w:after="0"/>
              <w:rPr>
                <w:sz w:val="20"/>
                <w:szCs w:val="20"/>
                <w:color w:val="auto"/>
              </w:rPr>
            </w:pPr>
            <w:r>
              <w:rPr>
                <w:rFonts w:ascii="Arial" w:cs="Arial" w:eastAsia="Arial" w:hAnsi="Arial"/>
                <w:sz w:val="18"/>
                <w:szCs w:val="18"/>
                <w:b w:val="1"/>
                <w:bCs w:val="1"/>
                <w:color w:val="auto"/>
              </w:rPr>
              <w:t>$</w:t>
            </w:r>
          </w:p>
        </w:tc>
        <w:tc>
          <w:tcPr>
            <w:tcW w:w="68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0.42</w:t>
            </w:r>
          </w:p>
        </w:tc>
        <w:tc>
          <w:tcPr>
            <w:tcW w:w="520" w:type="dxa"/>
            <w:vAlign w:val="bottom"/>
            <w:gridSpan w:val="3"/>
          </w:tcPr>
          <w:p>
            <w:pPr>
              <w:jc w:val="right"/>
              <w:spacing w:after="0"/>
              <w:rPr>
                <w:sz w:val="20"/>
                <w:szCs w:val="20"/>
                <w:color w:val="auto"/>
              </w:rPr>
            </w:pPr>
            <w:r>
              <w:rPr>
                <w:rFonts w:ascii="Arial" w:cs="Arial" w:eastAsia="Arial" w:hAnsi="Arial"/>
                <w:sz w:val="18"/>
                <w:szCs w:val="18"/>
                <w:b w:val="1"/>
                <w:bCs w:val="1"/>
                <w:color w:val="auto"/>
              </w:rPr>
              <w:t>$</w:t>
            </w:r>
          </w:p>
        </w:tc>
        <w:tc>
          <w:tcPr>
            <w:tcW w:w="1140" w:type="dxa"/>
            <w:vAlign w:val="bottom"/>
            <w:gridSpan w:val="3"/>
          </w:tcPr>
          <w:p>
            <w:pPr>
              <w:jc w:val="right"/>
              <w:ind w:right="560"/>
              <w:spacing w:after="0"/>
              <w:rPr>
                <w:sz w:val="20"/>
                <w:szCs w:val="20"/>
                <w:color w:val="auto"/>
              </w:rPr>
            </w:pPr>
            <w:r>
              <w:rPr>
                <w:rFonts w:ascii="Arial" w:cs="Arial" w:eastAsia="Arial" w:hAnsi="Arial"/>
                <w:sz w:val="18"/>
                <w:szCs w:val="18"/>
                <w:b w:val="1"/>
                <w:bCs w:val="1"/>
                <w:color w:val="auto"/>
              </w:rPr>
              <w:t>235</w:t>
            </w:r>
          </w:p>
        </w:tc>
        <w:tc>
          <w:tcPr>
            <w:tcW w:w="280" w:type="dxa"/>
            <w:vAlign w:val="bottom"/>
            <w:gridSpan w:val="3"/>
          </w:tcPr>
          <w:p>
            <w:pPr>
              <w:jc w:val="right"/>
              <w:ind w:right="11"/>
              <w:spacing w:after="0"/>
              <w:rPr>
                <w:sz w:val="20"/>
                <w:szCs w:val="20"/>
                <w:color w:val="auto"/>
              </w:rPr>
            </w:pPr>
            <w:r>
              <w:rPr>
                <w:rFonts w:ascii="Arial" w:cs="Arial" w:eastAsia="Arial" w:hAnsi="Arial"/>
                <w:sz w:val="18"/>
                <w:szCs w:val="18"/>
                <w:b w:val="1"/>
                <w:bCs w:val="1"/>
                <w:color w:val="auto"/>
              </w:rPr>
              <w:t>$</w:t>
            </w:r>
          </w:p>
        </w:tc>
        <w:tc>
          <w:tcPr>
            <w:tcW w:w="620" w:type="dxa"/>
            <w:vAlign w:val="bottom"/>
            <w:gridSpan w:val="3"/>
          </w:tcPr>
          <w:p>
            <w:pPr>
              <w:jc w:val="right"/>
              <w:ind w:right="100"/>
              <w:spacing w:after="0"/>
              <w:rPr>
                <w:sz w:val="20"/>
                <w:szCs w:val="20"/>
                <w:color w:val="auto"/>
              </w:rPr>
            </w:pPr>
            <w:r>
              <w:rPr>
                <w:rFonts w:ascii="Arial" w:cs="Arial" w:eastAsia="Arial" w:hAnsi="Arial"/>
                <w:sz w:val="18"/>
                <w:szCs w:val="18"/>
                <w:b w:val="1"/>
                <w:bCs w:val="1"/>
                <w:color w:val="auto"/>
              </w:rPr>
              <w:t>0.47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6"/>
        </w:trPr>
        <w:tc>
          <w:tcPr>
            <w:tcW w:w="20" w:type="dxa"/>
            <w:vAlign w:val="bottom"/>
          </w:tcPr>
          <w:p>
            <w:pPr>
              <w:spacing w:after="0"/>
              <w:rPr>
                <w:sz w:val="24"/>
                <w:szCs w:val="24"/>
                <w:color w:val="auto"/>
              </w:rPr>
            </w:pPr>
          </w:p>
        </w:tc>
        <w:tc>
          <w:tcPr>
            <w:tcW w:w="58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20" w:type="dxa"/>
            <w:vAlign w:val="bottom"/>
            <w:gridSpan w:val="6"/>
          </w:tcPr>
          <w:p>
            <w:pPr>
              <w:jc w:val="right"/>
              <w:ind w:right="91"/>
              <w:spacing w:after="0"/>
              <w:rPr>
                <w:sz w:val="20"/>
                <w:szCs w:val="20"/>
                <w:color w:val="auto"/>
              </w:rPr>
            </w:pPr>
            <w:r>
              <w:rPr>
                <w:rFonts w:ascii="Arial" w:cs="Arial" w:eastAsia="Arial" w:hAnsi="Arial"/>
                <w:sz w:val="14"/>
                <w:szCs w:val="14"/>
                <w:b w:val="1"/>
                <w:bCs w:val="1"/>
                <w:color w:val="auto"/>
              </w:rPr>
              <w:t>Quarter Ended</w:t>
            </w: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5820" w:type="dxa"/>
            <w:vAlign w:val="bottom"/>
            <w:gridSpan w:val="2"/>
            <w:vMerge w:val="restart"/>
          </w:tcPr>
          <w:p>
            <w:pPr>
              <w:spacing w:after="0"/>
              <w:rPr>
                <w:sz w:val="20"/>
                <w:szCs w:val="20"/>
                <w:color w:val="auto"/>
              </w:rPr>
            </w:pPr>
            <w:r>
              <w:rPr>
                <w:rFonts w:ascii="Arial" w:cs="Arial" w:eastAsia="Arial" w:hAnsi="Arial"/>
                <w:sz w:val="14"/>
                <w:szCs w:val="14"/>
                <w:b w:val="1"/>
                <w:bCs w:val="1"/>
                <w:i w:val="1"/>
                <w:iCs w:val="1"/>
                <w:color w:val="auto"/>
              </w:rPr>
              <w:t>Adjusted Income from Operations as a percent of Revenues</w:t>
            </w: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b w:val="1"/>
                <w:bCs w:val="1"/>
                <w:color w:val="auto"/>
              </w:rPr>
              <w:t>March 31,</w:t>
            </w:r>
          </w:p>
        </w:tc>
        <w:tc>
          <w:tcPr>
            <w:tcW w:w="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820" w:type="dxa"/>
            <w:vAlign w:val="bottom"/>
            <w:gridSpan w:val="2"/>
            <w:vMerge w:val="continue"/>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gridSpan w:val="3"/>
          </w:tcPr>
          <w:p>
            <w:pPr>
              <w:jc w:val="right"/>
              <w:ind w:right="111"/>
              <w:spacing w:after="0" w:line="142" w:lineRule="exact"/>
              <w:rPr>
                <w:sz w:val="20"/>
                <w:szCs w:val="20"/>
                <w:color w:val="auto"/>
              </w:rPr>
            </w:pPr>
            <w:r>
              <w:rPr>
                <w:rFonts w:ascii="Arial" w:cs="Arial" w:eastAsia="Arial" w:hAnsi="Arial"/>
                <w:sz w:val="14"/>
                <w:szCs w:val="14"/>
                <w:b w:val="1"/>
                <w:bCs w:val="1"/>
                <w:color w:val="auto"/>
              </w:rPr>
              <w:t>2009</w:t>
            </w: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20" w:type="dxa"/>
            <w:vAlign w:val="bottom"/>
            <w:gridSpan w:val="4"/>
          </w:tcPr>
          <w:p>
            <w:pPr>
              <w:jc w:val="right"/>
              <w:ind w:right="110"/>
              <w:spacing w:after="0" w:line="142" w:lineRule="exact"/>
              <w:rPr>
                <w:sz w:val="20"/>
                <w:szCs w:val="20"/>
                <w:color w:val="auto"/>
              </w:rPr>
            </w:pPr>
            <w:r>
              <w:rPr>
                <w:rFonts w:ascii="Arial" w:cs="Arial" w:eastAsia="Arial" w:hAnsi="Arial"/>
                <w:sz w:val="14"/>
                <w:szCs w:val="14"/>
                <w:b w:val="1"/>
                <w:bCs w:val="1"/>
                <w:color w:val="auto"/>
              </w:rPr>
              <w:t>2008</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 reported:</w:t>
            </w: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tcPr>
          <w:p>
            <w:pPr>
              <w:ind w:left="200"/>
              <w:spacing w:after="0"/>
              <w:rPr>
                <w:sz w:val="20"/>
                <w:szCs w:val="20"/>
                <w:color w:val="auto"/>
              </w:rPr>
            </w:pPr>
            <w:r>
              <w:rPr>
                <w:rFonts w:ascii="Arial" w:cs="Arial" w:eastAsia="Arial" w:hAnsi="Arial"/>
                <w:sz w:val="18"/>
                <w:szCs w:val="18"/>
                <w:color w:val="auto"/>
              </w:rPr>
              <w:t>Operating revenues</w:t>
            </w: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80" w:type="dxa"/>
            <w:vAlign w:val="bottom"/>
            <w:gridSpan w:val="2"/>
          </w:tcPr>
          <w:p>
            <w:pPr>
              <w:jc w:val="right"/>
              <w:ind w:right="88"/>
              <w:spacing w:after="0"/>
              <w:rPr>
                <w:sz w:val="20"/>
                <w:szCs w:val="20"/>
                <w:color w:val="auto"/>
              </w:rPr>
            </w:pPr>
            <w:r>
              <w:rPr>
                <w:rFonts w:ascii="Arial" w:cs="Arial" w:eastAsia="Arial" w:hAnsi="Arial"/>
                <w:sz w:val="18"/>
                <w:szCs w:val="18"/>
                <w:color w:val="auto"/>
                <w:w w:val="88"/>
              </w:rPr>
              <w:t>2,810</w:t>
            </w:r>
          </w:p>
        </w:tc>
        <w:tc>
          <w:tcPr>
            <w:tcW w:w="560" w:type="dxa"/>
            <w:vAlign w:val="bottom"/>
          </w:tcPr>
          <w:p>
            <w:pPr>
              <w:spacing w:after="0"/>
              <w:rPr>
                <w:sz w:val="18"/>
                <w:szCs w:val="18"/>
                <w:color w:val="auto"/>
              </w:rPr>
            </w:pPr>
          </w:p>
        </w:tc>
        <w:tc>
          <w:tcPr>
            <w:tcW w:w="280" w:type="dxa"/>
            <w:vAlign w:val="bottom"/>
            <w:gridSpan w:val="3"/>
          </w:tcPr>
          <w:p>
            <w:pPr>
              <w:jc w:val="right"/>
              <w:ind w:right="91"/>
              <w:spacing w:after="0"/>
              <w:rPr>
                <w:sz w:val="20"/>
                <w:szCs w:val="20"/>
                <w:color w:val="auto"/>
              </w:rPr>
            </w:pPr>
            <w:r>
              <w:rPr>
                <w:rFonts w:ascii="Arial" w:cs="Arial" w:eastAsia="Arial" w:hAnsi="Arial"/>
                <w:sz w:val="18"/>
                <w:szCs w:val="18"/>
                <w:color w:val="auto"/>
                <w:w w:val="99"/>
              </w:rPr>
              <w:t>$</w:t>
            </w:r>
          </w:p>
        </w:tc>
        <w:tc>
          <w:tcPr>
            <w:tcW w:w="520" w:type="dxa"/>
            <w:vAlign w:val="bottom"/>
            <w:gridSpan w:val="2"/>
          </w:tcPr>
          <w:p>
            <w:pPr>
              <w:jc w:val="right"/>
              <w:ind w:right="80"/>
              <w:spacing w:after="0"/>
              <w:rPr>
                <w:sz w:val="20"/>
                <w:szCs w:val="20"/>
                <w:color w:val="auto"/>
              </w:rPr>
            </w:pPr>
            <w:r>
              <w:rPr>
                <w:rFonts w:ascii="Arial" w:cs="Arial" w:eastAsia="Arial" w:hAnsi="Arial"/>
                <w:sz w:val="18"/>
                <w:szCs w:val="18"/>
                <w:color w:val="auto"/>
                <w:w w:val="93"/>
              </w:rPr>
              <w:t>3,266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Income from operations</w:t>
            </w: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88"/>
              <w:spacing w:after="0"/>
              <w:rPr>
                <w:sz w:val="20"/>
                <w:szCs w:val="20"/>
                <w:color w:val="auto"/>
              </w:rPr>
            </w:pPr>
            <w:r>
              <w:rPr>
                <w:rFonts w:ascii="Arial" w:cs="Arial" w:eastAsia="Arial" w:hAnsi="Arial"/>
                <w:sz w:val="18"/>
                <w:szCs w:val="18"/>
                <w:color w:val="auto"/>
              </w:rPr>
              <w:t>372</w:t>
            </w:r>
          </w:p>
        </w:tc>
        <w:tc>
          <w:tcPr>
            <w:tcW w:w="560" w:type="dxa"/>
            <w:vAlign w:val="bottom"/>
            <w:shd w:val="clear" w:color="auto" w:fill="CCEEFF"/>
          </w:tcPr>
          <w:p>
            <w:pPr>
              <w:spacing w:after="0"/>
              <w:rPr>
                <w:sz w:val="18"/>
                <w:szCs w:val="18"/>
                <w:color w:val="auto"/>
              </w:rPr>
            </w:pPr>
          </w:p>
        </w:tc>
        <w:tc>
          <w:tcPr>
            <w:tcW w:w="280" w:type="dxa"/>
            <w:vAlign w:val="bottom"/>
            <w:gridSpan w:val="3"/>
            <w:shd w:val="clear" w:color="auto" w:fill="CCEEFF"/>
          </w:tcPr>
          <w:p>
            <w:pPr>
              <w:jc w:val="right"/>
              <w:ind w:right="91"/>
              <w:spacing w:after="0"/>
              <w:rPr>
                <w:sz w:val="20"/>
                <w:szCs w:val="20"/>
                <w:color w:val="auto"/>
              </w:rPr>
            </w:pPr>
            <w:r>
              <w:rPr>
                <w:rFonts w:ascii="Arial" w:cs="Arial" w:eastAsia="Arial" w:hAnsi="Arial"/>
                <w:sz w:val="18"/>
                <w:szCs w:val="18"/>
                <w:color w:val="auto"/>
                <w:w w:val="99"/>
              </w:rPr>
              <w:t>$</w:t>
            </w:r>
          </w:p>
        </w:tc>
        <w:tc>
          <w:tcPr>
            <w:tcW w:w="5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511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5820" w:type="dxa"/>
            <w:vAlign w:val="bottom"/>
            <w:gridSpan w:val="2"/>
          </w:tcPr>
          <w:p>
            <w:pPr>
              <w:spacing w:after="0"/>
              <w:rPr>
                <w:sz w:val="20"/>
                <w:szCs w:val="20"/>
                <w:color w:val="auto"/>
              </w:rPr>
            </w:pPr>
            <w:r>
              <w:rPr>
                <w:rFonts w:ascii="Arial" w:cs="Arial" w:eastAsia="Arial" w:hAnsi="Arial"/>
                <w:sz w:val="18"/>
                <w:szCs w:val="18"/>
                <w:b w:val="1"/>
                <w:bCs w:val="1"/>
                <w:color w:val="auto"/>
              </w:rPr>
              <w:t>Income from Operations as a percent of Revenues</w:t>
            </w: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gridSpan w:val="3"/>
          </w:tcPr>
          <w:p>
            <w:pPr>
              <w:jc w:val="right"/>
              <w:ind w:right="540"/>
              <w:spacing w:after="0"/>
              <w:rPr>
                <w:sz w:val="20"/>
                <w:szCs w:val="20"/>
                <w:color w:val="auto"/>
              </w:rPr>
            </w:pPr>
            <w:r>
              <w:rPr>
                <w:rFonts w:ascii="Arial" w:cs="Arial" w:eastAsia="Arial" w:hAnsi="Arial"/>
                <w:sz w:val="18"/>
                <w:szCs w:val="18"/>
                <w:b w:val="1"/>
                <w:bCs w:val="1"/>
                <w:color w:val="auto"/>
              </w:rPr>
              <w:t>13.2%</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gridSpan w:val="3"/>
          </w:tcPr>
          <w:p>
            <w:pPr>
              <w:jc w:val="right"/>
              <w:spacing w:after="0"/>
              <w:rPr>
                <w:sz w:val="20"/>
                <w:szCs w:val="20"/>
                <w:color w:val="auto"/>
              </w:rPr>
            </w:pPr>
            <w:r>
              <w:rPr>
                <w:rFonts w:ascii="Arial" w:cs="Arial" w:eastAsia="Arial" w:hAnsi="Arial"/>
                <w:sz w:val="18"/>
                <w:szCs w:val="18"/>
                <w:b w:val="1"/>
                <w:bCs w:val="1"/>
                <w:color w:val="auto"/>
              </w:rPr>
              <w:t>15.6%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Adjustments to Income from Operations:</w:t>
            </w: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tcPr>
          <w:p>
            <w:pPr>
              <w:ind w:left="200"/>
              <w:spacing w:after="0"/>
              <w:rPr>
                <w:sz w:val="20"/>
                <w:szCs w:val="20"/>
                <w:color w:val="auto"/>
              </w:rPr>
            </w:pPr>
            <w:r>
              <w:rPr>
                <w:rFonts w:ascii="Arial" w:cs="Arial" w:eastAsia="Arial" w:hAnsi="Arial"/>
                <w:sz w:val="18"/>
                <w:szCs w:val="18"/>
                <w:color w:val="auto"/>
              </w:rPr>
              <w:t>Restructuring</w:t>
            </w: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80" w:type="dxa"/>
            <w:vAlign w:val="bottom"/>
            <w:gridSpan w:val="2"/>
          </w:tcPr>
          <w:p>
            <w:pPr>
              <w:jc w:val="right"/>
              <w:ind w:right="88"/>
              <w:spacing w:after="0"/>
              <w:rPr>
                <w:sz w:val="20"/>
                <w:szCs w:val="20"/>
                <w:color w:val="auto"/>
              </w:rPr>
            </w:pPr>
            <w:r>
              <w:rPr>
                <w:rFonts w:ascii="Arial" w:cs="Arial" w:eastAsia="Arial" w:hAnsi="Arial"/>
                <w:sz w:val="18"/>
                <w:szCs w:val="18"/>
                <w:color w:val="auto"/>
              </w:rPr>
              <w:t>38</w:t>
            </w:r>
          </w:p>
        </w:tc>
        <w:tc>
          <w:tcPr>
            <w:tcW w:w="560" w:type="dxa"/>
            <w:vAlign w:val="bottom"/>
          </w:tcPr>
          <w:p>
            <w:pPr>
              <w:spacing w:after="0"/>
              <w:rPr>
                <w:sz w:val="18"/>
                <w:szCs w:val="18"/>
                <w:color w:val="auto"/>
              </w:rPr>
            </w:pPr>
          </w:p>
        </w:tc>
        <w:tc>
          <w:tcPr>
            <w:tcW w:w="280" w:type="dxa"/>
            <w:vAlign w:val="bottom"/>
            <w:gridSpan w:val="3"/>
          </w:tcPr>
          <w:p>
            <w:pPr>
              <w:jc w:val="right"/>
              <w:ind w:right="91"/>
              <w:spacing w:after="0"/>
              <w:rPr>
                <w:sz w:val="20"/>
                <w:szCs w:val="20"/>
                <w:color w:val="auto"/>
              </w:rPr>
            </w:pPr>
            <w:r>
              <w:rPr>
                <w:rFonts w:ascii="Arial" w:cs="Arial" w:eastAsia="Arial" w:hAnsi="Arial"/>
                <w:sz w:val="18"/>
                <w:szCs w:val="18"/>
                <w:color w:val="auto"/>
                <w:w w:val="99"/>
              </w:rPr>
              <w:t>$</w:t>
            </w:r>
          </w:p>
        </w:tc>
        <w:tc>
          <w:tcPr>
            <w:tcW w:w="62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Expense from divestitures, asset impairments and unusual items</w:t>
            </w: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88"/>
              <w:spacing w:after="0"/>
              <w:rPr>
                <w:sz w:val="20"/>
                <w:szCs w:val="20"/>
                <w:color w:val="auto"/>
              </w:rPr>
            </w:pPr>
            <w:r>
              <w:rPr>
                <w:rFonts w:ascii="Arial" w:cs="Arial" w:eastAsia="Arial" w:hAnsi="Arial"/>
                <w:sz w:val="18"/>
                <w:szCs w:val="18"/>
                <w:color w:val="auto"/>
              </w:rPr>
              <w:t>49</w:t>
            </w:r>
          </w:p>
        </w:tc>
        <w:tc>
          <w:tcPr>
            <w:tcW w:w="560" w:type="dxa"/>
            <w:vAlign w:val="bottom"/>
            <w:shd w:val="clear" w:color="auto" w:fill="CCEEFF"/>
          </w:tcPr>
          <w:p>
            <w:pPr>
              <w:spacing w:after="0"/>
              <w:rPr>
                <w:sz w:val="18"/>
                <w:szCs w:val="18"/>
                <w:color w:val="auto"/>
              </w:rPr>
            </w:pPr>
          </w:p>
        </w:tc>
        <w:tc>
          <w:tcPr>
            <w:tcW w:w="280" w:type="dxa"/>
            <w:vAlign w:val="bottom"/>
            <w:gridSpan w:val="3"/>
            <w:shd w:val="clear" w:color="auto" w:fill="CCEEFF"/>
          </w:tcPr>
          <w:p>
            <w:pPr>
              <w:jc w:val="right"/>
              <w:ind w:right="91"/>
              <w:spacing w:after="0"/>
              <w:rPr>
                <w:sz w:val="20"/>
                <w:szCs w:val="20"/>
                <w:color w:val="auto"/>
              </w:rPr>
            </w:pPr>
            <w:r>
              <w:rPr>
                <w:rFonts w:ascii="Arial" w:cs="Arial" w:eastAsia="Arial" w:hAnsi="Arial"/>
                <w:sz w:val="18"/>
                <w:szCs w:val="18"/>
                <w:color w:val="auto"/>
                <w:w w:val="99"/>
              </w:rPr>
              <w:t>$</w:t>
            </w:r>
          </w:p>
        </w:tc>
        <w:tc>
          <w:tcPr>
            <w:tcW w:w="6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32"/>
        </w:trPr>
        <w:tc>
          <w:tcPr>
            <w:tcW w:w="5820" w:type="dxa"/>
            <w:vAlign w:val="bottom"/>
            <w:gridSpan w:val="2"/>
          </w:tcPr>
          <w:p>
            <w:pPr>
              <w:spacing w:after="0"/>
              <w:rPr>
                <w:sz w:val="20"/>
                <w:szCs w:val="20"/>
                <w:color w:val="auto"/>
              </w:rPr>
            </w:pPr>
            <w:r>
              <w:rPr>
                <w:rFonts w:ascii="Arial" w:cs="Arial" w:eastAsia="Arial" w:hAnsi="Arial"/>
                <w:sz w:val="18"/>
                <w:szCs w:val="18"/>
                <w:b w:val="1"/>
                <w:bCs w:val="1"/>
                <w:color w:val="auto"/>
              </w:rPr>
              <w:t>As adjusted:</w:t>
            </w: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Operating revenues</w:t>
            </w: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88"/>
              <w:spacing w:after="0"/>
              <w:rPr>
                <w:sz w:val="20"/>
                <w:szCs w:val="20"/>
                <w:color w:val="auto"/>
              </w:rPr>
            </w:pPr>
            <w:r>
              <w:rPr>
                <w:rFonts w:ascii="Arial" w:cs="Arial" w:eastAsia="Arial" w:hAnsi="Arial"/>
                <w:sz w:val="18"/>
                <w:szCs w:val="18"/>
                <w:color w:val="auto"/>
                <w:w w:val="88"/>
              </w:rPr>
              <w:t>2,810</w:t>
            </w:r>
          </w:p>
        </w:tc>
        <w:tc>
          <w:tcPr>
            <w:tcW w:w="560" w:type="dxa"/>
            <w:vAlign w:val="bottom"/>
            <w:shd w:val="clear" w:color="auto" w:fill="CCEEFF"/>
          </w:tcPr>
          <w:p>
            <w:pPr>
              <w:spacing w:after="0"/>
              <w:rPr>
                <w:sz w:val="18"/>
                <w:szCs w:val="18"/>
                <w:color w:val="auto"/>
              </w:rPr>
            </w:pPr>
          </w:p>
        </w:tc>
        <w:tc>
          <w:tcPr>
            <w:tcW w:w="280" w:type="dxa"/>
            <w:vAlign w:val="bottom"/>
            <w:gridSpan w:val="3"/>
            <w:shd w:val="clear" w:color="auto" w:fill="CCEEFF"/>
          </w:tcPr>
          <w:p>
            <w:pPr>
              <w:jc w:val="right"/>
              <w:ind w:right="91"/>
              <w:spacing w:after="0"/>
              <w:rPr>
                <w:sz w:val="20"/>
                <w:szCs w:val="20"/>
                <w:color w:val="auto"/>
              </w:rPr>
            </w:pPr>
            <w:r>
              <w:rPr>
                <w:rFonts w:ascii="Arial" w:cs="Arial" w:eastAsia="Arial" w:hAnsi="Arial"/>
                <w:sz w:val="18"/>
                <w:szCs w:val="18"/>
                <w:color w:val="auto"/>
                <w:w w:val="99"/>
              </w:rPr>
              <w:t>$</w:t>
            </w:r>
          </w:p>
        </w:tc>
        <w:tc>
          <w:tcPr>
            <w:tcW w:w="5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3"/>
              </w:rPr>
              <w:t>3,266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800" w:type="dxa"/>
            <w:vAlign w:val="bottom"/>
          </w:tcPr>
          <w:p>
            <w:pPr>
              <w:ind w:left="200"/>
              <w:spacing w:after="0"/>
              <w:rPr>
                <w:sz w:val="20"/>
                <w:szCs w:val="20"/>
                <w:color w:val="auto"/>
              </w:rPr>
            </w:pPr>
            <w:r>
              <w:rPr>
                <w:rFonts w:ascii="Arial" w:cs="Arial" w:eastAsia="Arial" w:hAnsi="Arial"/>
                <w:sz w:val="18"/>
                <w:szCs w:val="18"/>
                <w:color w:val="auto"/>
              </w:rPr>
              <w:t>Income from operations</w:t>
            </w:r>
          </w:p>
        </w:tc>
        <w:tc>
          <w:tcPr>
            <w:tcW w:w="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580" w:type="dxa"/>
            <w:vAlign w:val="bottom"/>
            <w:gridSpan w:val="2"/>
          </w:tcPr>
          <w:p>
            <w:pPr>
              <w:jc w:val="right"/>
              <w:ind w:right="88"/>
              <w:spacing w:after="0"/>
              <w:rPr>
                <w:sz w:val="20"/>
                <w:szCs w:val="20"/>
                <w:color w:val="auto"/>
              </w:rPr>
            </w:pPr>
            <w:r>
              <w:rPr>
                <w:rFonts w:ascii="Arial" w:cs="Arial" w:eastAsia="Arial" w:hAnsi="Arial"/>
                <w:sz w:val="18"/>
                <w:szCs w:val="18"/>
                <w:color w:val="auto"/>
              </w:rPr>
              <w:t>459</w:t>
            </w:r>
          </w:p>
        </w:tc>
        <w:tc>
          <w:tcPr>
            <w:tcW w:w="560" w:type="dxa"/>
            <w:vAlign w:val="bottom"/>
          </w:tcPr>
          <w:p>
            <w:pPr>
              <w:spacing w:after="0"/>
              <w:rPr>
                <w:sz w:val="20"/>
                <w:szCs w:val="20"/>
                <w:color w:val="auto"/>
              </w:rPr>
            </w:pPr>
          </w:p>
        </w:tc>
        <w:tc>
          <w:tcPr>
            <w:tcW w:w="280" w:type="dxa"/>
            <w:vAlign w:val="bottom"/>
            <w:gridSpan w:val="3"/>
          </w:tcPr>
          <w:p>
            <w:pPr>
              <w:jc w:val="right"/>
              <w:ind w:right="91"/>
              <w:spacing w:after="0"/>
              <w:rPr>
                <w:sz w:val="20"/>
                <w:szCs w:val="20"/>
                <w:color w:val="auto"/>
              </w:rPr>
            </w:pPr>
            <w:r>
              <w:rPr>
                <w:rFonts w:ascii="Arial" w:cs="Arial" w:eastAsia="Arial" w:hAnsi="Arial"/>
                <w:sz w:val="18"/>
                <w:szCs w:val="18"/>
                <w:color w:val="auto"/>
                <w:w w:val="99"/>
              </w:rPr>
              <w:t>$</w:t>
            </w:r>
          </w:p>
        </w:tc>
        <w:tc>
          <w:tcPr>
            <w:tcW w:w="520" w:type="dxa"/>
            <w:vAlign w:val="bottom"/>
            <w:gridSpan w:val="2"/>
          </w:tcPr>
          <w:p>
            <w:pPr>
              <w:jc w:val="right"/>
              <w:ind w:right="80"/>
              <w:spacing w:after="0"/>
              <w:rPr>
                <w:sz w:val="20"/>
                <w:szCs w:val="20"/>
                <w:color w:val="auto"/>
              </w:rPr>
            </w:pPr>
            <w:r>
              <w:rPr>
                <w:rFonts w:ascii="Arial" w:cs="Arial" w:eastAsia="Arial" w:hAnsi="Arial"/>
                <w:sz w:val="18"/>
                <w:szCs w:val="18"/>
                <w:color w:val="auto"/>
              </w:rPr>
              <w:t>511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58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20" w:type="dxa"/>
            <w:vAlign w:val="bottom"/>
            <w:gridSpan w:val="2"/>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Adjusted Income from Operations as a percent of Revenues (a)</w:t>
            </w: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b w:val="1"/>
                <w:bCs w:val="1"/>
                <w:color w:val="auto"/>
              </w:rPr>
              <w:t>16.3%</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15.6%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130365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44" w:lineRule="exact"/>
        <w:rPr>
          <w:sz w:val="20"/>
          <w:szCs w:val="20"/>
          <w:color w:val="auto"/>
        </w:rPr>
      </w:pPr>
    </w:p>
    <w:p>
      <w:pPr>
        <w:ind w:left="460" w:hanging="452"/>
        <w:spacing w:after="0"/>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Increase in Income from Operations as a percent of revenues, as adjusted, of 70 basis points.</w:t>
      </w:r>
    </w:p>
    <w:p>
      <w:pPr>
        <w:spacing w:after="0" w:line="184" w:lineRule="exact"/>
        <w:rPr>
          <w:rFonts w:ascii="Arial" w:cs="Arial" w:eastAsia="Arial" w:hAnsi="Arial"/>
          <w:sz w:val="18"/>
          <w:szCs w:val="18"/>
          <w:color w:val="auto"/>
        </w:rPr>
      </w:pPr>
    </w:p>
    <w:p>
      <w:pPr>
        <w:ind w:left="5600"/>
        <w:spacing w:after="0"/>
        <w:rPr>
          <w:rFonts w:ascii="Arial" w:cs="Arial" w:eastAsia="Arial" w:hAnsi="Arial"/>
          <w:sz w:val="18"/>
          <w:szCs w:val="18"/>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59" w:right="239" w:bottom="1440" w:gutter="0" w:footer="0" w:header="0"/>
        </w:sectPr>
      </w:pPr>
    </w:p>
    <w:bookmarkStart w:id="18" w:name="page19"/>
    <w:bookmarkEnd w:id="18"/>
    <w:p>
      <w:pPr>
        <w:ind w:left="10720"/>
        <w:spacing w:after="0"/>
        <w:rPr>
          <w:sz w:val="20"/>
          <w:szCs w:val="20"/>
          <w:color w:val="auto"/>
        </w:rPr>
      </w:pPr>
      <w:r>
        <w:rPr>
          <w:rFonts w:ascii="Arial" w:cs="Arial" w:eastAsia="Arial" w:hAnsi="Arial"/>
          <w:sz w:val="16"/>
          <w:szCs w:val="16"/>
          <w:b w:val="1"/>
          <w:bCs w:val="1"/>
          <w:color w:val="auto"/>
        </w:rPr>
        <w:t>Exhibit 1</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Internal Growth of Operating Revenues from Comparable Prior Periods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 Amounts in Millions)</w:t>
      </w:r>
    </w:p>
    <w:p>
      <w:pPr>
        <w:spacing w:after="0" w:line="170"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This exhibit provides details associated with the period-to-period change in revenues and includes internal revenue growth as a percent of revenues on a total company basis as well as a percent of revenues on related business. We believe providing this information will help our investors better understand the Company’s Internal Revenue Growth information.</w:t>
      </w:r>
    </w:p>
    <w:p>
      <w:pPr>
        <w:spacing w:after="0" w:line="141" w:lineRule="exact"/>
        <w:rPr>
          <w:sz w:val="20"/>
          <w:szCs w:val="20"/>
          <w:color w:val="auto"/>
        </w:rPr>
      </w:pPr>
    </w:p>
    <w:p>
      <w:pPr>
        <w:spacing w:after="0"/>
        <w:rPr>
          <w:sz w:val="20"/>
          <w:szCs w:val="20"/>
          <w:color w:val="auto"/>
        </w:rPr>
      </w:pPr>
      <w:r>
        <w:rPr>
          <w:rFonts w:ascii="Arial" w:cs="Arial" w:eastAsia="Arial" w:hAnsi="Arial"/>
          <w:sz w:val="16"/>
          <w:szCs w:val="16"/>
          <w:color w:val="auto"/>
        </w:rPr>
        <w:t>To explain how the following percent changes are calculated, provided below are the calculations for “Collection, Landfill and Transfer” as a percentage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Related Business and as a percentage of Total Company:</w:t>
      </w:r>
    </w:p>
    <w:p>
      <w:pPr>
        <w:spacing w:after="0" w:line="184" w:lineRule="exact"/>
        <w:rPr>
          <w:sz w:val="20"/>
          <w:szCs w:val="20"/>
          <w:color w:val="auto"/>
        </w:rPr>
      </w:pPr>
    </w:p>
    <w:p>
      <w:pPr>
        <w:ind w:right="300" w:firstLine="8"/>
        <w:spacing w:after="0" w:line="264" w:lineRule="auto"/>
        <w:tabs>
          <w:tab w:leader="none" w:pos="215"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“Collection, Landfill and Transfer” as a percentage of Related Business revenues of 3.3% is calculated by dividing the $84 million average yield by the denominator of $2,582 million. The denominator includes prior year “Collection, Landfill and Transfer” revenues ($2,594 million) less the impact of divestitures related to “Collection, Landfill and Transfer” ($12 million).</w:t>
      </w:r>
    </w:p>
    <w:p>
      <w:pPr>
        <w:spacing w:after="0" w:line="140" w:lineRule="exact"/>
        <w:rPr>
          <w:rFonts w:ascii="Arial" w:cs="Arial" w:eastAsia="Arial" w:hAnsi="Arial"/>
          <w:sz w:val="18"/>
          <w:szCs w:val="18"/>
          <w:color w:val="auto"/>
        </w:rPr>
      </w:pPr>
    </w:p>
    <w:p>
      <w:pPr>
        <w:ind w:right="180" w:firstLine="8"/>
        <w:spacing w:after="0" w:line="342" w:lineRule="auto"/>
        <w:tabs>
          <w:tab w:leader="none" w:pos="265" w:val="left"/>
        </w:tabs>
        <w:numPr>
          <w:ilvl w:val="0"/>
          <w:numId w:val="12"/>
        </w:numPr>
        <w:rPr>
          <w:rFonts w:ascii="Arial" w:cs="Arial" w:eastAsia="Arial" w:hAnsi="Arial"/>
          <w:sz w:val="16"/>
          <w:szCs w:val="16"/>
          <w:color w:val="auto"/>
        </w:rPr>
      </w:pPr>
      <w:r>
        <w:rPr>
          <w:rFonts w:ascii="Arial" w:cs="Arial" w:eastAsia="Arial" w:hAnsi="Arial"/>
          <w:sz w:val="16"/>
          <w:szCs w:val="16"/>
          <w:color w:val="auto"/>
        </w:rPr>
        <w:t>“Collection, Landfill and Transfer” as a percentage of Total Company revenues of 2.6% is calculated by dividing the $84 million average yield by the denominator of $3,254 million. The denominator includes prior year Total Company revenues ($3,266 million) less the impact of divestitures ($12 million).</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4"/>
                <w:szCs w:val="14"/>
                <w:b w:val="1"/>
                <w:bCs w:val="1"/>
                <w:color w:val="auto"/>
                <w:w w:val="95"/>
              </w:rPr>
              <w:t>Quarters Ended</w:t>
            </w:r>
          </w:p>
        </w:tc>
        <w:tc>
          <w:tcPr>
            <w:tcW w:w="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gridSpan w:val="2"/>
          </w:tcPr>
          <w:p>
            <w:pPr>
              <w:jc w:val="right"/>
              <w:ind w:right="140"/>
              <w:spacing w:after="0" w:line="142" w:lineRule="exact"/>
              <w:rPr>
                <w:sz w:val="20"/>
                <w:szCs w:val="20"/>
                <w:color w:val="auto"/>
              </w:rPr>
            </w:pPr>
            <w:r>
              <w:rPr>
                <w:rFonts w:ascii="Arial" w:cs="Arial" w:eastAsia="Arial" w:hAnsi="Arial"/>
                <w:sz w:val="14"/>
                <w:szCs w:val="14"/>
                <w:b w:val="1"/>
                <w:bCs w:val="1"/>
                <w:color w:val="auto"/>
                <w:w w:val="94"/>
              </w:rPr>
              <w:t>March 31, 2009</w:t>
            </w:r>
          </w:p>
        </w:tc>
        <w:tc>
          <w:tcPr>
            <w:tcW w:w="760" w:type="dxa"/>
            <w:vAlign w:val="bottom"/>
            <w:tcBorders>
              <w:bottom w:val="single" w:sz="8" w:color="auto"/>
            </w:tcBorders>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gridSpan w:val="3"/>
          </w:tcPr>
          <w:p>
            <w:pPr>
              <w:jc w:val="right"/>
              <w:ind w:right="20"/>
              <w:spacing w:after="0" w:line="142" w:lineRule="exact"/>
              <w:rPr>
                <w:sz w:val="20"/>
                <w:szCs w:val="20"/>
                <w:color w:val="auto"/>
              </w:rPr>
            </w:pPr>
            <w:r>
              <w:rPr>
                <w:rFonts w:ascii="Arial" w:cs="Arial" w:eastAsia="Arial" w:hAnsi="Arial"/>
                <w:sz w:val="14"/>
                <w:szCs w:val="14"/>
                <w:b w:val="1"/>
                <w:bCs w:val="1"/>
                <w:color w:val="auto"/>
                <w:w w:val="98"/>
              </w:rPr>
              <w:t>December 31, 2008</w:t>
            </w:r>
          </w:p>
        </w:tc>
        <w:tc>
          <w:tcPr>
            <w:tcW w:w="2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gridSpan w:val="2"/>
          </w:tcPr>
          <w:p>
            <w:pPr>
              <w:jc w:val="right"/>
              <w:ind w:right="80"/>
              <w:spacing w:after="0" w:line="142" w:lineRule="exact"/>
              <w:rPr>
                <w:sz w:val="20"/>
                <w:szCs w:val="20"/>
                <w:color w:val="auto"/>
              </w:rPr>
            </w:pPr>
            <w:r>
              <w:rPr>
                <w:rFonts w:ascii="Arial" w:cs="Arial" w:eastAsia="Arial" w:hAnsi="Arial"/>
                <w:sz w:val="14"/>
                <w:szCs w:val="14"/>
                <w:b w:val="1"/>
                <w:bCs w:val="1"/>
                <w:color w:val="auto"/>
                <w:w w:val="94"/>
              </w:rPr>
              <w:t>March 31, 2008</w:t>
            </w:r>
          </w:p>
        </w:tc>
        <w:tc>
          <w:tcPr>
            <w:tcW w:w="8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3"/>
        </w:trPr>
        <w:tc>
          <w:tcPr>
            <w:tcW w:w="2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100" w:type="dxa"/>
            <w:vAlign w:val="bottom"/>
            <w:gridSpan w:val="2"/>
          </w:tcPr>
          <w:p>
            <w:pPr>
              <w:jc w:val="center"/>
              <w:ind w:right="400"/>
              <w:spacing w:after="0" w:line="123" w:lineRule="exact"/>
              <w:rPr>
                <w:sz w:val="20"/>
                <w:szCs w:val="20"/>
                <w:color w:val="auto"/>
              </w:rPr>
            </w:pPr>
            <w:r>
              <w:rPr>
                <w:rFonts w:ascii="Arial" w:cs="Arial" w:eastAsia="Arial" w:hAnsi="Arial"/>
                <w:sz w:val="14"/>
                <w:szCs w:val="14"/>
                <w:color w:val="auto"/>
                <w:w w:val="96"/>
              </w:rPr>
              <w:t>As a % of</w:t>
            </w:r>
          </w:p>
        </w:tc>
        <w:tc>
          <w:tcPr>
            <w:tcW w:w="760" w:type="dxa"/>
            <w:vAlign w:val="bottom"/>
          </w:tcPr>
          <w:p>
            <w:pPr>
              <w:jc w:val="center"/>
              <w:spacing w:after="0" w:line="123" w:lineRule="exact"/>
              <w:rPr>
                <w:sz w:val="20"/>
                <w:szCs w:val="20"/>
                <w:color w:val="auto"/>
              </w:rPr>
            </w:pPr>
            <w:r>
              <w:rPr>
                <w:rFonts w:ascii="Arial" w:cs="Arial" w:eastAsia="Arial" w:hAnsi="Arial"/>
                <w:sz w:val="14"/>
                <w:szCs w:val="14"/>
                <w:color w:val="auto"/>
                <w:w w:val="96"/>
              </w:rPr>
              <w:t>As a % of</w:t>
            </w:r>
          </w:p>
        </w:tc>
        <w:tc>
          <w:tcPr>
            <w:tcW w:w="4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00" w:type="dxa"/>
            <w:vAlign w:val="bottom"/>
            <w:gridSpan w:val="2"/>
          </w:tcPr>
          <w:p>
            <w:pPr>
              <w:jc w:val="center"/>
              <w:ind w:right="400"/>
              <w:spacing w:after="0" w:line="123" w:lineRule="exact"/>
              <w:rPr>
                <w:sz w:val="20"/>
                <w:szCs w:val="20"/>
                <w:color w:val="auto"/>
              </w:rPr>
            </w:pPr>
            <w:r>
              <w:rPr>
                <w:rFonts w:ascii="Arial" w:cs="Arial" w:eastAsia="Arial" w:hAnsi="Arial"/>
                <w:sz w:val="14"/>
                <w:szCs w:val="14"/>
                <w:color w:val="auto"/>
                <w:w w:val="96"/>
              </w:rPr>
              <w:t>As a % of</w:t>
            </w:r>
          </w:p>
        </w:tc>
        <w:tc>
          <w:tcPr>
            <w:tcW w:w="20" w:type="dxa"/>
            <w:vAlign w:val="bottom"/>
          </w:tcPr>
          <w:p>
            <w:pPr>
              <w:spacing w:after="0"/>
              <w:rPr>
                <w:sz w:val="10"/>
                <w:szCs w:val="10"/>
                <w:color w:val="auto"/>
              </w:rPr>
            </w:pPr>
          </w:p>
        </w:tc>
        <w:tc>
          <w:tcPr>
            <w:tcW w:w="760" w:type="dxa"/>
            <w:vAlign w:val="bottom"/>
          </w:tcPr>
          <w:p>
            <w:pPr>
              <w:jc w:val="center"/>
              <w:spacing w:after="0" w:line="123" w:lineRule="exact"/>
              <w:rPr>
                <w:sz w:val="20"/>
                <w:szCs w:val="20"/>
                <w:color w:val="auto"/>
              </w:rPr>
            </w:pPr>
            <w:r>
              <w:rPr>
                <w:rFonts w:ascii="Arial" w:cs="Arial" w:eastAsia="Arial" w:hAnsi="Arial"/>
                <w:sz w:val="14"/>
                <w:szCs w:val="14"/>
                <w:color w:val="auto"/>
                <w:w w:val="93"/>
              </w:rPr>
              <w:t>As a % of</w:t>
            </w:r>
          </w:p>
        </w:tc>
        <w:tc>
          <w:tcPr>
            <w:tcW w:w="2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40" w:type="dxa"/>
            <w:vAlign w:val="bottom"/>
            <w:gridSpan w:val="2"/>
          </w:tcPr>
          <w:p>
            <w:pPr>
              <w:jc w:val="center"/>
              <w:ind w:right="340"/>
              <w:spacing w:after="0" w:line="123" w:lineRule="exact"/>
              <w:rPr>
                <w:sz w:val="20"/>
                <w:szCs w:val="20"/>
                <w:color w:val="auto"/>
              </w:rPr>
            </w:pPr>
            <w:r>
              <w:rPr>
                <w:rFonts w:ascii="Arial" w:cs="Arial" w:eastAsia="Arial" w:hAnsi="Arial"/>
                <w:sz w:val="14"/>
                <w:szCs w:val="14"/>
                <w:color w:val="auto"/>
                <w:w w:val="96"/>
              </w:rPr>
              <w:t>As a % of</w:t>
            </w:r>
          </w:p>
        </w:tc>
        <w:tc>
          <w:tcPr>
            <w:tcW w:w="80" w:type="dxa"/>
            <w:vAlign w:val="bottom"/>
          </w:tcPr>
          <w:p>
            <w:pPr>
              <w:spacing w:after="0"/>
              <w:rPr>
                <w:sz w:val="10"/>
                <w:szCs w:val="10"/>
                <w:color w:val="auto"/>
              </w:rPr>
            </w:pPr>
          </w:p>
        </w:tc>
        <w:tc>
          <w:tcPr>
            <w:tcW w:w="760" w:type="dxa"/>
            <w:vAlign w:val="bottom"/>
          </w:tcPr>
          <w:p>
            <w:pPr>
              <w:jc w:val="center"/>
              <w:spacing w:after="0" w:line="123" w:lineRule="exact"/>
              <w:rPr>
                <w:sz w:val="20"/>
                <w:szCs w:val="20"/>
                <w:color w:val="auto"/>
              </w:rPr>
            </w:pPr>
            <w:r>
              <w:rPr>
                <w:rFonts w:ascii="Arial" w:cs="Arial" w:eastAsia="Arial" w:hAnsi="Arial"/>
                <w:sz w:val="14"/>
                <w:szCs w:val="14"/>
                <w:color w:val="auto"/>
                <w:w w:val="93"/>
              </w:rPr>
              <w:t>As a % of</w:t>
            </w: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00" w:type="dxa"/>
            <w:vAlign w:val="bottom"/>
            <w:gridSpan w:val="2"/>
          </w:tcPr>
          <w:p>
            <w:pPr>
              <w:jc w:val="center"/>
              <w:ind w:right="380"/>
              <w:spacing w:after="0" w:line="149" w:lineRule="exact"/>
              <w:rPr>
                <w:sz w:val="20"/>
                <w:szCs w:val="20"/>
                <w:color w:val="auto"/>
              </w:rPr>
            </w:pPr>
            <w:r>
              <w:rPr>
                <w:rFonts w:ascii="Arial" w:cs="Arial" w:eastAsia="Arial" w:hAnsi="Arial"/>
                <w:sz w:val="14"/>
                <w:szCs w:val="14"/>
                <w:color w:val="auto"/>
                <w:w w:val="91"/>
              </w:rPr>
              <w:t>Related</w:t>
            </w:r>
          </w:p>
        </w:tc>
        <w:tc>
          <w:tcPr>
            <w:tcW w:w="1160" w:type="dxa"/>
            <w:vAlign w:val="bottom"/>
            <w:gridSpan w:val="2"/>
          </w:tcPr>
          <w:p>
            <w:pPr>
              <w:jc w:val="center"/>
              <w:ind w:right="380"/>
              <w:spacing w:after="0" w:line="149" w:lineRule="exact"/>
              <w:rPr>
                <w:sz w:val="20"/>
                <w:szCs w:val="20"/>
                <w:color w:val="auto"/>
              </w:rPr>
            </w:pPr>
            <w:r>
              <w:rPr>
                <w:rFonts w:ascii="Arial" w:cs="Arial" w:eastAsia="Arial" w:hAnsi="Arial"/>
                <w:sz w:val="14"/>
                <w:szCs w:val="14"/>
                <w:color w:val="auto"/>
                <w:w w:val="96"/>
              </w:rPr>
              <w:t>Total</w:t>
            </w:r>
          </w:p>
        </w:tc>
        <w:tc>
          <w:tcPr>
            <w:tcW w:w="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gridSpan w:val="2"/>
          </w:tcPr>
          <w:p>
            <w:pPr>
              <w:jc w:val="center"/>
              <w:ind w:right="380"/>
              <w:spacing w:after="0" w:line="149" w:lineRule="exact"/>
              <w:rPr>
                <w:sz w:val="20"/>
                <w:szCs w:val="20"/>
                <w:color w:val="auto"/>
              </w:rPr>
            </w:pPr>
            <w:r>
              <w:rPr>
                <w:rFonts w:ascii="Arial" w:cs="Arial" w:eastAsia="Arial" w:hAnsi="Arial"/>
                <w:sz w:val="14"/>
                <w:szCs w:val="14"/>
                <w:color w:val="auto"/>
                <w:w w:val="91"/>
              </w:rPr>
              <w:t>Related</w:t>
            </w:r>
          </w:p>
        </w:tc>
        <w:tc>
          <w:tcPr>
            <w:tcW w:w="20" w:type="dxa"/>
            <w:vAlign w:val="bottom"/>
          </w:tcPr>
          <w:p>
            <w:pPr>
              <w:spacing w:after="0"/>
              <w:rPr>
                <w:sz w:val="12"/>
                <w:szCs w:val="12"/>
                <w:color w:val="auto"/>
              </w:rPr>
            </w:pPr>
          </w:p>
        </w:tc>
        <w:tc>
          <w:tcPr>
            <w:tcW w:w="1040" w:type="dxa"/>
            <w:vAlign w:val="bottom"/>
            <w:gridSpan w:val="2"/>
          </w:tcPr>
          <w:p>
            <w:pPr>
              <w:jc w:val="center"/>
              <w:ind w:right="280"/>
              <w:spacing w:after="0" w:line="149" w:lineRule="exact"/>
              <w:rPr>
                <w:sz w:val="20"/>
                <w:szCs w:val="20"/>
                <w:color w:val="auto"/>
              </w:rPr>
            </w:pPr>
            <w:r>
              <w:rPr>
                <w:rFonts w:ascii="Arial" w:cs="Arial" w:eastAsia="Arial" w:hAnsi="Arial"/>
                <w:sz w:val="14"/>
                <w:szCs w:val="14"/>
                <w:color w:val="auto"/>
                <w:w w:val="89"/>
              </w:rPr>
              <w:t>Total</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gridSpan w:val="2"/>
          </w:tcPr>
          <w:p>
            <w:pPr>
              <w:jc w:val="center"/>
              <w:ind w:right="320"/>
              <w:spacing w:after="0" w:line="149" w:lineRule="exact"/>
              <w:rPr>
                <w:sz w:val="20"/>
                <w:szCs w:val="20"/>
                <w:color w:val="auto"/>
              </w:rPr>
            </w:pPr>
            <w:r>
              <w:rPr>
                <w:rFonts w:ascii="Arial" w:cs="Arial" w:eastAsia="Arial" w:hAnsi="Arial"/>
                <w:sz w:val="14"/>
                <w:szCs w:val="14"/>
                <w:color w:val="auto"/>
                <w:w w:val="91"/>
              </w:rPr>
              <w:t>Related</w:t>
            </w:r>
          </w:p>
        </w:tc>
        <w:tc>
          <w:tcPr>
            <w:tcW w:w="80" w:type="dxa"/>
            <w:vAlign w:val="bottom"/>
          </w:tcPr>
          <w:p>
            <w:pPr>
              <w:spacing w:after="0"/>
              <w:rPr>
                <w:sz w:val="12"/>
                <w:szCs w:val="12"/>
                <w:color w:val="auto"/>
              </w:rPr>
            </w:pPr>
          </w:p>
        </w:tc>
        <w:tc>
          <w:tcPr>
            <w:tcW w:w="920" w:type="dxa"/>
            <w:vAlign w:val="bottom"/>
            <w:gridSpan w:val="2"/>
          </w:tcPr>
          <w:p>
            <w:pPr>
              <w:jc w:val="center"/>
              <w:ind w:right="160"/>
              <w:spacing w:after="0" w:line="149" w:lineRule="exact"/>
              <w:rPr>
                <w:sz w:val="20"/>
                <w:szCs w:val="20"/>
                <w:color w:val="auto"/>
              </w:rPr>
            </w:pPr>
            <w:r>
              <w:rPr>
                <w:rFonts w:ascii="Arial" w:cs="Arial" w:eastAsia="Arial" w:hAnsi="Arial"/>
                <w:sz w:val="14"/>
                <w:szCs w:val="14"/>
                <w:color w:val="auto"/>
                <w:w w:val="89"/>
              </w:rPr>
              <w:t>Total</w:t>
            </w:r>
          </w:p>
        </w:tc>
        <w:tc>
          <w:tcPr>
            <w:tcW w:w="0" w:type="dxa"/>
            <w:vAlign w:val="bottom"/>
          </w:tcPr>
          <w:p>
            <w:pPr>
              <w:spacing w:after="0"/>
              <w:rPr>
                <w:sz w:val="1"/>
                <w:szCs w:val="1"/>
                <w:color w:val="auto"/>
              </w:rPr>
            </w:pPr>
          </w:p>
        </w:tc>
      </w:tr>
      <w:tr>
        <w:trPr>
          <w:trHeight w:val="167"/>
        </w:trPr>
        <w:tc>
          <w:tcPr>
            <w:tcW w:w="2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60" w:type="dxa"/>
            <w:vAlign w:val="bottom"/>
            <w:gridSpan w:val="4"/>
          </w:tcPr>
          <w:p>
            <w:pPr>
              <w:jc w:val="right"/>
              <w:ind w:right="380"/>
              <w:spacing w:after="0"/>
              <w:rPr>
                <w:sz w:val="20"/>
                <w:szCs w:val="20"/>
                <w:color w:val="auto"/>
              </w:rPr>
            </w:pPr>
            <w:r>
              <w:rPr>
                <w:rFonts w:ascii="Arial" w:cs="Arial" w:eastAsia="Arial" w:hAnsi="Arial"/>
                <w:sz w:val="14"/>
                <w:szCs w:val="14"/>
                <w:color w:val="auto"/>
                <w:w w:val="95"/>
              </w:rPr>
              <w:t>Amount</w:t>
            </w:r>
          </w:p>
        </w:tc>
        <w:tc>
          <w:tcPr>
            <w:tcW w:w="1100" w:type="dxa"/>
            <w:vAlign w:val="bottom"/>
            <w:gridSpan w:val="2"/>
          </w:tcPr>
          <w:p>
            <w:pPr>
              <w:jc w:val="center"/>
              <w:ind w:right="400"/>
              <w:spacing w:after="0"/>
              <w:rPr>
                <w:sz w:val="20"/>
                <w:szCs w:val="20"/>
                <w:color w:val="auto"/>
              </w:rPr>
            </w:pPr>
            <w:r>
              <w:rPr>
                <w:rFonts w:ascii="Arial" w:cs="Arial" w:eastAsia="Arial" w:hAnsi="Arial"/>
                <w:sz w:val="14"/>
                <w:szCs w:val="14"/>
                <w:color w:val="auto"/>
                <w:w w:val="89"/>
              </w:rPr>
              <w:t>Business (a)</w:t>
            </w:r>
          </w:p>
        </w:tc>
        <w:tc>
          <w:tcPr>
            <w:tcW w:w="1160" w:type="dxa"/>
            <w:vAlign w:val="bottom"/>
            <w:gridSpan w:val="2"/>
          </w:tcPr>
          <w:p>
            <w:pPr>
              <w:jc w:val="center"/>
              <w:ind w:right="380"/>
              <w:spacing w:after="0"/>
              <w:rPr>
                <w:sz w:val="20"/>
                <w:szCs w:val="20"/>
                <w:color w:val="auto"/>
              </w:rPr>
            </w:pPr>
            <w:r>
              <w:rPr>
                <w:rFonts w:ascii="Arial" w:cs="Arial" w:eastAsia="Arial" w:hAnsi="Arial"/>
                <w:sz w:val="14"/>
                <w:szCs w:val="14"/>
                <w:color w:val="auto"/>
                <w:w w:val="96"/>
              </w:rPr>
              <w:t>Company (b)</w:t>
            </w:r>
          </w:p>
        </w:tc>
        <w:tc>
          <w:tcPr>
            <w:tcW w:w="720" w:type="dxa"/>
            <w:vAlign w:val="bottom"/>
            <w:gridSpan w:val="3"/>
          </w:tcPr>
          <w:p>
            <w:pPr>
              <w:jc w:val="right"/>
              <w:ind w:right="120"/>
              <w:spacing w:after="0"/>
              <w:rPr>
                <w:sz w:val="20"/>
                <w:szCs w:val="20"/>
                <w:color w:val="auto"/>
              </w:rPr>
            </w:pPr>
            <w:r>
              <w:rPr>
                <w:rFonts w:ascii="Arial" w:cs="Arial" w:eastAsia="Arial" w:hAnsi="Arial"/>
                <w:sz w:val="14"/>
                <w:szCs w:val="14"/>
                <w:color w:val="auto"/>
              </w:rPr>
              <w:t>Amount</w:t>
            </w:r>
          </w:p>
        </w:tc>
        <w:tc>
          <w:tcPr>
            <w:tcW w:w="180" w:type="dxa"/>
            <w:vAlign w:val="bottom"/>
          </w:tcPr>
          <w:p>
            <w:pPr>
              <w:spacing w:after="0"/>
              <w:rPr>
                <w:sz w:val="14"/>
                <w:szCs w:val="14"/>
                <w:color w:val="auto"/>
              </w:rPr>
            </w:pPr>
          </w:p>
        </w:tc>
        <w:tc>
          <w:tcPr>
            <w:tcW w:w="1100" w:type="dxa"/>
            <w:vAlign w:val="bottom"/>
            <w:gridSpan w:val="2"/>
          </w:tcPr>
          <w:p>
            <w:pPr>
              <w:jc w:val="center"/>
              <w:ind w:right="400"/>
              <w:spacing w:after="0"/>
              <w:rPr>
                <w:sz w:val="20"/>
                <w:szCs w:val="20"/>
                <w:color w:val="auto"/>
              </w:rPr>
            </w:pPr>
            <w:r>
              <w:rPr>
                <w:rFonts w:ascii="Arial" w:cs="Arial" w:eastAsia="Arial" w:hAnsi="Arial"/>
                <w:sz w:val="14"/>
                <w:szCs w:val="14"/>
                <w:color w:val="auto"/>
                <w:w w:val="89"/>
              </w:rPr>
              <w:t>Business (a)</w:t>
            </w:r>
          </w:p>
        </w:tc>
        <w:tc>
          <w:tcPr>
            <w:tcW w:w="1060" w:type="dxa"/>
            <w:vAlign w:val="bottom"/>
            <w:gridSpan w:val="3"/>
          </w:tcPr>
          <w:p>
            <w:pPr>
              <w:jc w:val="center"/>
              <w:ind w:right="260"/>
              <w:spacing w:after="0"/>
              <w:rPr>
                <w:sz w:val="20"/>
                <w:szCs w:val="20"/>
                <w:color w:val="auto"/>
              </w:rPr>
            </w:pPr>
            <w:r>
              <w:rPr>
                <w:rFonts w:ascii="Arial" w:cs="Arial" w:eastAsia="Arial" w:hAnsi="Arial"/>
                <w:sz w:val="14"/>
                <w:szCs w:val="14"/>
                <w:color w:val="auto"/>
                <w:w w:val="93"/>
              </w:rPr>
              <w:t>Company (b)</w:t>
            </w:r>
          </w:p>
        </w:tc>
        <w:tc>
          <w:tcPr>
            <w:tcW w:w="140" w:type="dxa"/>
            <w:vAlign w:val="bottom"/>
          </w:tcPr>
          <w:p>
            <w:pPr>
              <w:spacing w:after="0"/>
              <w:rPr>
                <w:sz w:val="14"/>
                <w:szCs w:val="14"/>
                <w:color w:val="auto"/>
              </w:rPr>
            </w:pPr>
          </w:p>
        </w:tc>
        <w:tc>
          <w:tcPr>
            <w:tcW w:w="740" w:type="dxa"/>
            <w:vAlign w:val="bottom"/>
            <w:gridSpan w:val="3"/>
          </w:tcPr>
          <w:p>
            <w:pPr>
              <w:jc w:val="right"/>
              <w:ind w:right="240"/>
              <w:spacing w:after="0"/>
              <w:rPr>
                <w:sz w:val="20"/>
                <w:szCs w:val="20"/>
                <w:color w:val="auto"/>
              </w:rPr>
            </w:pPr>
            <w:r>
              <w:rPr>
                <w:rFonts w:ascii="Arial" w:cs="Arial" w:eastAsia="Arial" w:hAnsi="Arial"/>
                <w:sz w:val="14"/>
                <w:szCs w:val="14"/>
                <w:color w:val="auto"/>
                <w:w w:val="99"/>
              </w:rPr>
              <w:t>Amount</w:t>
            </w:r>
          </w:p>
        </w:tc>
        <w:tc>
          <w:tcPr>
            <w:tcW w:w="1200" w:type="dxa"/>
            <w:vAlign w:val="bottom"/>
            <w:gridSpan w:val="3"/>
          </w:tcPr>
          <w:p>
            <w:pPr>
              <w:jc w:val="center"/>
              <w:ind w:right="180"/>
              <w:spacing w:after="0"/>
              <w:rPr>
                <w:sz w:val="20"/>
                <w:szCs w:val="20"/>
                <w:color w:val="auto"/>
              </w:rPr>
            </w:pPr>
            <w:r>
              <w:rPr>
                <w:rFonts w:ascii="Arial" w:cs="Arial" w:eastAsia="Arial" w:hAnsi="Arial"/>
                <w:sz w:val="14"/>
                <w:szCs w:val="14"/>
                <w:color w:val="auto"/>
                <w:w w:val="89"/>
              </w:rPr>
              <w:t>Business (a)</w:t>
            </w:r>
          </w:p>
        </w:tc>
        <w:tc>
          <w:tcPr>
            <w:tcW w:w="1000" w:type="dxa"/>
            <w:vAlign w:val="bottom"/>
            <w:gridSpan w:val="3"/>
          </w:tcPr>
          <w:p>
            <w:pPr>
              <w:jc w:val="center"/>
              <w:ind w:right="80"/>
              <w:spacing w:after="0"/>
              <w:rPr>
                <w:sz w:val="20"/>
                <w:szCs w:val="20"/>
                <w:color w:val="auto"/>
              </w:rPr>
            </w:pPr>
            <w:r>
              <w:rPr>
                <w:rFonts w:ascii="Arial" w:cs="Arial" w:eastAsia="Arial" w:hAnsi="Arial"/>
                <w:sz w:val="14"/>
                <w:szCs w:val="14"/>
                <w:color w:val="auto"/>
                <w:w w:val="93"/>
              </w:rPr>
              <w:t>Company (b)</w:t>
            </w:r>
          </w:p>
        </w:tc>
        <w:tc>
          <w:tcPr>
            <w:tcW w:w="0" w:type="dxa"/>
            <w:vAlign w:val="bottom"/>
          </w:tcPr>
          <w:p>
            <w:pPr>
              <w:spacing w:after="0"/>
              <w:rPr>
                <w:sz w:val="1"/>
                <w:szCs w:val="1"/>
                <w:color w:val="auto"/>
              </w:rPr>
            </w:pPr>
          </w:p>
        </w:tc>
      </w:tr>
      <w:tr>
        <w:trPr>
          <w:trHeight w:val="210"/>
        </w:trPr>
        <w:tc>
          <w:tcPr>
            <w:tcW w:w="2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Average yield:</w:t>
            </w:r>
          </w:p>
        </w:tc>
        <w:tc>
          <w:tcPr>
            <w:tcW w:w="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140" w:type="dxa"/>
            <w:vAlign w:val="bottom"/>
          </w:tcPr>
          <w:p>
            <w:pPr>
              <w:ind w:left="420"/>
              <w:spacing w:after="0" w:line="198" w:lineRule="exact"/>
              <w:rPr>
                <w:sz w:val="20"/>
                <w:szCs w:val="20"/>
                <w:color w:val="auto"/>
              </w:rPr>
            </w:pPr>
            <w:r>
              <w:rPr>
                <w:rFonts w:ascii="Arial" w:cs="Arial" w:eastAsia="Arial" w:hAnsi="Arial"/>
                <w:sz w:val="18"/>
                <w:szCs w:val="18"/>
                <w:b w:val="1"/>
                <w:bCs w:val="1"/>
                <w:color w:val="auto"/>
              </w:rPr>
              <w:t>Collection, landfill</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140" w:type="dxa"/>
            <w:vAlign w:val="bottom"/>
          </w:tcPr>
          <w:p>
            <w:pPr>
              <w:ind w:left="620"/>
              <w:spacing w:after="0"/>
              <w:rPr>
                <w:sz w:val="20"/>
                <w:szCs w:val="20"/>
                <w:color w:val="auto"/>
              </w:rPr>
            </w:pPr>
            <w:r>
              <w:rPr>
                <w:rFonts w:ascii="Arial" w:cs="Arial" w:eastAsia="Arial" w:hAnsi="Arial"/>
                <w:sz w:val="18"/>
                <w:szCs w:val="18"/>
                <w:b w:val="1"/>
                <w:bCs w:val="1"/>
                <w:color w:val="auto"/>
              </w:rPr>
              <w:t>and transfer</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84</w:t>
            </w: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3.3%</w:t>
            </w: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2.6%</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70</w:t>
            </w:r>
          </w:p>
        </w:tc>
        <w:tc>
          <w:tcPr>
            <w:tcW w:w="1280" w:type="dxa"/>
            <w:vAlign w:val="bottom"/>
            <w:gridSpan w:val="3"/>
          </w:tcPr>
          <w:p>
            <w:pPr>
              <w:jc w:val="right"/>
              <w:ind w:right="240"/>
              <w:spacing w:after="0"/>
              <w:rPr>
                <w:sz w:val="20"/>
                <w:szCs w:val="20"/>
                <w:color w:val="auto"/>
              </w:rPr>
            </w:pPr>
            <w:r>
              <w:rPr>
                <w:rFonts w:ascii="Arial" w:cs="Arial" w:eastAsia="Arial" w:hAnsi="Arial"/>
                <w:sz w:val="18"/>
                <w:szCs w:val="18"/>
                <w:color w:val="auto"/>
              </w:rPr>
              <w:t>2.6%</w:t>
            </w:r>
          </w:p>
        </w:tc>
        <w:tc>
          <w:tcPr>
            <w:tcW w:w="1060" w:type="dxa"/>
            <w:vAlign w:val="bottom"/>
            <w:gridSpan w:val="3"/>
          </w:tcPr>
          <w:p>
            <w:pPr>
              <w:jc w:val="right"/>
              <w:ind w:right="140"/>
              <w:spacing w:after="0"/>
              <w:rPr>
                <w:sz w:val="20"/>
                <w:szCs w:val="20"/>
                <w:color w:val="auto"/>
              </w:rPr>
            </w:pPr>
            <w:r>
              <w:rPr>
                <w:rFonts w:ascii="Arial" w:cs="Arial" w:eastAsia="Arial" w:hAnsi="Arial"/>
                <w:sz w:val="18"/>
                <w:szCs w:val="18"/>
                <w:color w:val="auto"/>
              </w:rPr>
              <w:t>2.1%</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96</w:t>
            </w:r>
          </w:p>
        </w:tc>
        <w:tc>
          <w:tcPr>
            <w:tcW w:w="200" w:type="dxa"/>
            <w:vAlign w:val="bottom"/>
          </w:tcPr>
          <w:p>
            <w:pPr>
              <w:spacing w:after="0"/>
              <w:rPr>
                <w:sz w:val="20"/>
                <w:szCs w:val="20"/>
                <w:color w:val="auto"/>
              </w:rPr>
            </w:pPr>
          </w:p>
        </w:tc>
        <w:tc>
          <w:tcPr>
            <w:tcW w:w="1200" w:type="dxa"/>
            <w:vAlign w:val="bottom"/>
            <w:gridSpan w:val="3"/>
          </w:tcPr>
          <w:p>
            <w:pPr>
              <w:jc w:val="right"/>
              <w:ind w:right="180"/>
              <w:spacing w:after="0"/>
              <w:rPr>
                <w:sz w:val="20"/>
                <w:szCs w:val="20"/>
                <w:color w:val="auto"/>
              </w:rPr>
            </w:pPr>
            <w:r>
              <w:rPr>
                <w:rFonts w:ascii="Arial" w:cs="Arial" w:eastAsia="Arial" w:hAnsi="Arial"/>
                <w:sz w:val="18"/>
                <w:szCs w:val="18"/>
                <w:color w:val="auto"/>
              </w:rPr>
              <w:t>3.7%</w:t>
            </w:r>
          </w:p>
        </w:tc>
        <w:tc>
          <w:tcPr>
            <w:tcW w:w="1000" w:type="dxa"/>
            <w:vAlign w:val="bottom"/>
            <w:gridSpan w:val="3"/>
          </w:tcPr>
          <w:p>
            <w:pPr>
              <w:jc w:val="right"/>
              <w:ind w:right="2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198"/>
        </w:trPr>
        <w:tc>
          <w:tcPr>
            <w:tcW w:w="2140" w:type="dxa"/>
            <w:vAlign w:val="bottom"/>
            <w:shd w:val="clear" w:color="auto" w:fill="CCEEFF"/>
          </w:tcPr>
          <w:p>
            <w:pPr>
              <w:ind w:left="420"/>
              <w:spacing w:after="0" w:line="198" w:lineRule="exact"/>
              <w:rPr>
                <w:sz w:val="20"/>
                <w:szCs w:val="20"/>
                <w:color w:val="auto"/>
              </w:rPr>
            </w:pPr>
            <w:r>
              <w:rPr>
                <w:rFonts w:ascii="Arial" w:cs="Arial" w:eastAsia="Arial" w:hAnsi="Arial"/>
                <w:sz w:val="18"/>
                <w:szCs w:val="18"/>
                <w:b w:val="1"/>
                <w:bCs w:val="1"/>
                <w:color w:val="auto"/>
              </w:rPr>
              <w:t>Waste-to-energy</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140" w:type="dxa"/>
            <w:vAlign w:val="bottom"/>
            <w:shd w:val="clear" w:color="auto" w:fill="CCEEFF"/>
          </w:tcPr>
          <w:p>
            <w:pPr>
              <w:ind w:left="620"/>
              <w:spacing w:after="0"/>
              <w:rPr>
                <w:sz w:val="20"/>
                <w:szCs w:val="20"/>
                <w:color w:val="auto"/>
              </w:rPr>
            </w:pPr>
            <w:r>
              <w:rPr>
                <w:rFonts w:ascii="Arial" w:cs="Arial" w:eastAsia="Arial" w:hAnsi="Arial"/>
                <w:sz w:val="18"/>
                <w:szCs w:val="18"/>
                <w:b w:val="1"/>
                <w:bCs w:val="1"/>
                <w:color w:val="auto"/>
              </w:rPr>
              <w:t>disposal</w:t>
            </w: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2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0.0%</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0.0%</w:t>
            </w:r>
          </w:p>
        </w:tc>
        <w:tc>
          <w:tcPr>
            <w:tcW w:w="160" w:type="dxa"/>
            <w:vAlign w:val="bottom"/>
            <w:shd w:val="clear" w:color="auto" w:fill="CCEEFF"/>
          </w:tcPr>
          <w:p>
            <w:pPr>
              <w:spacing w:after="0"/>
              <w:rPr>
                <w:sz w:val="20"/>
                <w:szCs w:val="20"/>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w:t>
            </w:r>
          </w:p>
        </w:tc>
        <w:tc>
          <w:tcPr>
            <w:tcW w:w="12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-0.9%</w:t>
            </w:r>
          </w:p>
        </w:tc>
        <w:tc>
          <w:tcPr>
            <w:tcW w:w="10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0.0%</w:t>
            </w: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0.0%</w:t>
            </w:r>
          </w:p>
        </w:tc>
        <w:tc>
          <w:tcPr>
            <w:tcW w:w="10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05"/>
        </w:trPr>
        <w:tc>
          <w:tcPr>
            <w:tcW w:w="2140" w:type="dxa"/>
            <w:vAlign w:val="bottom"/>
          </w:tcPr>
          <w:p>
            <w:pPr>
              <w:ind w:left="220"/>
              <w:spacing w:after="0" w:line="205" w:lineRule="exact"/>
              <w:rPr>
                <w:sz w:val="20"/>
                <w:szCs w:val="20"/>
                <w:color w:val="auto"/>
              </w:rPr>
            </w:pPr>
            <w:r>
              <w:rPr>
                <w:rFonts w:ascii="Arial" w:cs="Arial" w:eastAsia="Arial" w:hAnsi="Arial"/>
                <w:sz w:val="18"/>
                <w:szCs w:val="18"/>
                <w:b w:val="1"/>
                <w:bCs w:val="1"/>
                <w:color w:val="auto"/>
              </w:rPr>
              <w:t>Collection and</w:t>
            </w:r>
          </w:p>
        </w:tc>
        <w:tc>
          <w:tcPr>
            <w:tcW w:w="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4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140" w:type="dxa"/>
            <w:vAlign w:val="bottom"/>
          </w:tcPr>
          <w:p>
            <w:pPr>
              <w:ind w:left="420"/>
              <w:spacing w:after="0"/>
              <w:rPr>
                <w:sz w:val="20"/>
                <w:szCs w:val="20"/>
                <w:color w:val="auto"/>
              </w:rPr>
            </w:pPr>
            <w:r>
              <w:rPr>
                <w:rFonts w:ascii="Arial" w:cs="Arial" w:eastAsia="Arial" w:hAnsi="Arial"/>
                <w:sz w:val="18"/>
                <w:szCs w:val="18"/>
                <w:b w:val="1"/>
                <w:bCs w:val="1"/>
                <w:color w:val="auto"/>
              </w:rPr>
              <w:t>disposal</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84</w:t>
            </w: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3.1%</w:t>
            </w: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2.6%</w:t>
            </w:r>
          </w:p>
        </w:tc>
        <w:tc>
          <w:tcPr>
            <w:tcW w:w="160" w:type="dxa"/>
            <w:vAlign w:val="bottom"/>
          </w:tcPr>
          <w:p>
            <w:pPr>
              <w:spacing w:after="0"/>
              <w:rPr>
                <w:sz w:val="20"/>
                <w:szCs w:val="20"/>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69</w:t>
            </w:r>
          </w:p>
        </w:tc>
        <w:tc>
          <w:tcPr>
            <w:tcW w:w="1280" w:type="dxa"/>
            <w:vAlign w:val="bottom"/>
            <w:gridSpan w:val="3"/>
          </w:tcPr>
          <w:p>
            <w:pPr>
              <w:jc w:val="right"/>
              <w:ind w:right="240"/>
              <w:spacing w:after="0"/>
              <w:rPr>
                <w:sz w:val="20"/>
                <w:szCs w:val="20"/>
                <w:color w:val="auto"/>
              </w:rPr>
            </w:pPr>
            <w:r>
              <w:rPr>
                <w:rFonts w:ascii="Arial" w:cs="Arial" w:eastAsia="Arial" w:hAnsi="Arial"/>
                <w:sz w:val="18"/>
                <w:szCs w:val="18"/>
                <w:color w:val="auto"/>
              </w:rPr>
              <w:t>2.5%</w:t>
            </w:r>
          </w:p>
        </w:tc>
        <w:tc>
          <w:tcPr>
            <w:tcW w:w="1060" w:type="dxa"/>
            <w:vAlign w:val="bottom"/>
            <w:gridSpan w:val="3"/>
          </w:tcPr>
          <w:p>
            <w:pPr>
              <w:jc w:val="right"/>
              <w:ind w:right="140"/>
              <w:spacing w:after="0"/>
              <w:rPr>
                <w:sz w:val="20"/>
                <w:szCs w:val="20"/>
                <w:color w:val="auto"/>
              </w:rPr>
            </w:pPr>
            <w:r>
              <w:rPr>
                <w:rFonts w:ascii="Arial" w:cs="Arial" w:eastAsia="Arial" w:hAnsi="Arial"/>
                <w:sz w:val="18"/>
                <w:szCs w:val="18"/>
                <w:color w:val="auto"/>
              </w:rPr>
              <w:t>2.1%</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96</w:t>
            </w:r>
          </w:p>
        </w:tc>
        <w:tc>
          <w:tcPr>
            <w:tcW w:w="200" w:type="dxa"/>
            <w:vAlign w:val="bottom"/>
          </w:tcPr>
          <w:p>
            <w:pPr>
              <w:spacing w:after="0"/>
              <w:rPr>
                <w:sz w:val="20"/>
                <w:szCs w:val="20"/>
                <w:color w:val="auto"/>
              </w:rPr>
            </w:pPr>
          </w:p>
        </w:tc>
        <w:tc>
          <w:tcPr>
            <w:tcW w:w="1200" w:type="dxa"/>
            <w:vAlign w:val="bottom"/>
            <w:gridSpan w:val="3"/>
          </w:tcPr>
          <w:p>
            <w:pPr>
              <w:jc w:val="right"/>
              <w:ind w:right="180"/>
              <w:spacing w:after="0"/>
              <w:rPr>
                <w:sz w:val="20"/>
                <w:szCs w:val="20"/>
                <w:color w:val="auto"/>
              </w:rPr>
            </w:pPr>
            <w:r>
              <w:rPr>
                <w:rFonts w:ascii="Arial" w:cs="Arial" w:eastAsia="Arial" w:hAnsi="Arial"/>
                <w:sz w:val="18"/>
                <w:szCs w:val="18"/>
                <w:color w:val="auto"/>
              </w:rPr>
              <w:t>3.6%</w:t>
            </w:r>
          </w:p>
        </w:tc>
        <w:tc>
          <w:tcPr>
            <w:tcW w:w="1000" w:type="dxa"/>
            <w:vAlign w:val="bottom"/>
            <w:gridSpan w:val="3"/>
          </w:tcPr>
          <w:p>
            <w:pPr>
              <w:jc w:val="right"/>
              <w:ind w:right="2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6"/>
        </w:trPr>
        <w:tc>
          <w:tcPr>
            <w:tcW w:w="2140" w:type="dxa"/>
            <w:vAlign w:val="bottom"/>
            <w:shd w:val="clear" w:color="auto" w:fill="CCEEFF"/>
          </w:tcPr>
          <w:p>
            <w:pPr>
              <w:ind w:left="220"/>
              <w:spacing w:after="0"/>
              <w:rPr>
                <w:sz w:val="20"/>
                <w:szCs w:val="20"/>
                <w:color w:val="auto"/>
              </w:rPr>
            </w:pPr>
            <w:r>
              <w:rPr>
                <w:rFonts w:ascii="Arial" w:cs="Arial" w:eastAsia="Arial" w:hAnsi="Arial"/>
                <w:sz w:val="18"/>
                <w:szCs w:val="18"/>
                <w:b w:val="1"/>
                <w:bCs w:val="1"/>
                <w:color w:val="auto"/>
              </w:rPr>
              <w:t>Recycling commodity</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w w:val="99"/>
              </w:rPr>
              <w:t>(178)</w:t>
            </w: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-53.0%</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-5.5%</w:t>
            </w:r>
          </w:p>
        </w:tc>
        <w:tc>
          <w:tcPr>
            <w:tcW w:w="1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(97)</w:t>
            </w:r>
          </w:p>
        </w:tc>
        <w:tc>
          <w:tcPr>
            <w:tcW w:w="12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-29.8%</w:t>
            </w:r>
          </w:p>
        </w:tc>
        <w:tc>
          <w:tcPr>
            <w:tcW w:w="10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-2.9%</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20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27.3%</w:t>
            </w:r>
          </w:p>
        </w:tc>
        <w:tc>
          <w:tcPr>
            <w:tcW w:w="10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2140" w:type="dxa"/>
            <w:vAlign w:val="bottom"/>
          </w:tcPr>
          <w:p>
            <w:pPr>
              <w:ind w:left="220"/>
              <w:spacing w:after="0"/>
              <w:rPr>
                <w:sz w:val="20"/>
                <w:szCs w:val="20"/>
                <w:color w:val="auto"/>
              </w:rPr>
            </w:pPr>
            <w:r>
              <w:rPr>
                <w:rFonts w:ascii="Arial" w:cs="Arial" w:eastAsia="Arial" w:hAnsi="Arial"/>
                <w:sz w:val="18"/>
                <w:szCs w:val="18"/>
                <w:b w:val="1"/>
                <w:bCs w:val="1"/>
                <w:color w:val="auto"/>
              </w:rPr>
              <w:t>Electricity</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3"/>
          </w:tcPr>
          <w:p>
            <w:pPr>
              <w:jc w:val="right"/>
              <w:ind w:right="280"/>
              <w:spacing w:after="0"/>
              <w:rPr>
                <w:sz w:val="20"/>
                <w:szCs w:val="20"/>
                <w:color w:val="auto"/>
              </w:rPr>
            </w:pPr>
            <w:r>
              <w:rPr>
                <w:rFonts w:ascii="Arial" w:cs="Arial" w:eastAsia="Arial" w:hAnsi="Arial"/>
                <w:sz w:val="18"/>
                <w:szCs w:val="18"/>
                <w:color w:val="auto"/>
              </w:rPr>
              <w:t>(9)</w:t>
            </w: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-10.8%</w:t>
            </w: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-0.3%</w:t>
            </w:r>
          </w:p>
        </w:tc>
        <w:tc>
          <w:tcPr>
            <w:tcW w:w="16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3</w:t>
            </w:r>
          </w:p>
        </w:tc>
        <w:tc>
          <w:tcPr>
            <w:tcW w:w="1280" w:type="dxa"/>
            <w:vAlign w:val="bottom"/>
            <w:gridSpan w:val="3"/>
          </w:tcPr>
          <w:p>
            <w:pPr>
              <w:jc w:val="right"/>
              <w:ind w:right="240"/>
              <w:spacing w:after="0"/>
              <w:rPr>
                <w:sz w:val="20"/>
                <w:szCs w:val="20"/>
                <w:color w:val="auto"/>
              </w:rPr>
            </w:pPr>
            <w:r>
              <w:rPr>
                <w:rFonts w:ascii="Arial" w:cs="Arial" w:eastAsia="Arial" w:hAnsi="Arial"/>
                <w:sz w:val="18"/>
                <w:szCs w:val="18"/>
                <w:color w:val="auto"/>
              </w:rPr>
              <w:t>3.5%</w:t>
            </w:r>
          </w:p>
        </w:tc>
        <w:tc>
          <w:tcPr>
            <w:tcW w:w="1060" w:type="dxa"/>
            <w:vAlign w:val="bottom"/>
            <w:gridSpan w:val="3"/>
          </w:tcPr>
          <w:p>
            <w:pPr>
              <w:jc w:val="right"/>
              <w:ind w:right="140"/>
              <w:spacing w:after="0"/>
              <w:rPr>
                <w:sz w:val="20"/>
                <w:szCs w:val="20"/>
                <w:color w:val="auto"/>
              </w:rPr>
            </w:pPr>
            <w:r>
              <w:rPr>
                <w:rFonts w:ascii="Arial" w:cs="Arial" w:eastAsia="Arial" w:hAnsi="Arial"/>
                <w:sz w:val="18"/>
                <w:szCs w:val="18"/>
                <w:color w:val="auto"/>
              </w:rPr>
              <w:t>0.0%</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4</w:t>
            </w:r>
          </w:p>
        </w:tc>
        <w:tc>
          <w:tcPr>
            <w:tcW w:w="1200" w:type="dxa"/>
            <w:vAlign w:val="bottom"/>
            <w:gridSpan w:val="3"/>
          </w:tcPr>
          <w:p>
            <w:pPr>
              <w:jc w:val="right"/>
              <w:ind w:right="180"/>
              <w:spacing w:after="0"/>
              <w:rPr>
                <w:sz w:val="20"/>
                <w:szCs w:val="20"/>
                <w:color w:val="auto"/>
              </w:rPr>
            </w:pPr>
            <w:r>
              <w:rPr>
                <w:rFonts w:ascii="Arial" w:cs="Arial" w:eastAsia="Arial" w:hAnsi="Arial"/>
                <w:sz w:val="18"/>
                <w:szCs w:val="18"/>
                <w:color w:val="auto"/>
              </w:rPr>
              <w:t>4.9%</w:t>
            </w:r>
          </w:p>
        </w:tc>
        <w:tc>
          <w:tcPr>
            <w:tcW w:w="1000" w:type="dxa"/>
            <w:vAlign w:val="bottom"/>
            <w:gridSpan w:val="3"/>
          </w:tcPr>
          <w:p>
            <w:pPr>
              <w:jc w:val="right"/>
              <w:ind w:right="2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198"/>
        </w:trPr>
        <w:tc>
          <w:tcPr>
            <w:tcW w:w="2140" w:type="dxa"/>
            <w:vAlign w:val="bottom"/>
            <w:shd w:val="clear" w:color="auto" w:fill="CCEEFF"/>
          </w:tcPr>
          <w:p>
            <w:pPr>
              <w:ind w:left="220"/>
              <w:spacing w:after="0" w:line="198" w:lineRule="exact"/>
              <w:rPr>
                <w:sz w:val="20"/>
                <w:szCs w:val="20"/>
                <w:color w:val="auto"/>
              </w:rPr>
            </w:pPr>
            <w:r>
              <w:rPr>
                <w:rFonts w:ascii="Arial" w:cs="Arial" w:eastAsia="Arial" w:hAnsi="Arial"/>
                <w:sz w:val="18"/>
                <w:szCs w:val="18"/>
                <w:b w:val="1"/>
                <w:bCs w:val="1"/>
                <w:color w:val="auto"/>
              </w:rPr>
              <w:t>Fuel surcharges and</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140" w:type="dxa"/>
            <w:vAlign w:val="bottom"/>
            <w:shd w:val="clear" w:color="auto" w:fill="CCEEFF"/>
          </w:tcPr>
          <w:p>
            <w:pPr>
              <w:ind w:left="420"/>
              <w:spacing w:after="0"/>
              <w:rPr>
                <w:sz w:val="20"/>
                <w:szCs w:val="20"/>
                <w:color w:val="auto"/>
              </w:rPr>
            </w:pPr>
            <w:r>
              <w:rPr>
                <w:rFonts w:ascii="Arial" w:cs="Arial" w:eastAsia="Arial" w:hAnsi="Arial"/>
                <w:sz w:val="18"/>
                <w:szCs w:val="18"/>
                <w:b w:val="1"/>
                <w:bCs w:val="1"/>
                <w:color w:val="auto"/>
              </w:rPr>
              <w:t>mandated fees</w:t>
            </w: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2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(64)</w:t>
            </w: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-42.1%</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-2.0%</w:t>
            </w:r>
          </w:p>
        </w:tc>
        <w:tc>
          <w:tcPr>
            <w:tcW w:w="160" w:type="dxa"/>
            <w:vAlign w:val="bottom"/>
            <w:shd w:val="clear" w:color="auto" w:fill="CCEEFF"/>
          </w:tcPr>
          <w:p>
            <w:pPr>
              <w:spacing w:after="0"/>
              <w:rPr>
                <w:sz w:val="20"/>
                <w:szCs w:val="20"/>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w:t>
            </w:r>
          </w:p>
        </w:tc>
        <w:tc>
          <w:tcPr>
            <w:tcW w:w="12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-2.7%</w:t>
            </w:r>
          </w:p>
        </w:tc>
        <w:tc>
          <w:tcPr>
            <w:tcW w:w="10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-0.1%</w:t>
            </w: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200" w:type="dxa"/>
            <w:vAlign w:val="bottom"/>
            <w:shd w:val="clear" w:color="auto" w:fill="CCEEFF"/>
          </w:tcPr>
          <w:p>
            <w:pPr>
              <w:spacing w:after="0"/>
              <w:rPr>
                <w:sz w:val="20"/>
                <w:szCs w:val="20"/>
                <w:color w:val="auto"/>
              </w:rPr>
            </w:pPr>
          </w:p>
        </w:tc>
        <w:tc>
          <w:tcPr>
            <w:tcW w:w="12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37.3%</w:t>
            </w:r>
          </w:p>
        </w:tc>
        <w:tc>
          <w:tcPr>
            <w:tcW w:w="10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0"/>
        </w:trPr>
        <w:tc>
          <w:tcPr>
            <w:tcW w:w="2140" w:type="dxa"/>
            <w:vAlign w:val="bottom"/>
            <w:vMerge w:val="restart"/>
          </w:tcPr>
          <w:p>
            <w:pPr>
              <w:spacing w:after="0"/>
              <w:rPr>
                <w:sz w:val="20"/>
                <w:szCs w:val="20"/>
                <w:color w:val="auto"/>
              </w:rPr>
            </w:pPr>
            <w:r>
              <w:rPr>
                <w:rFonts w:ascii="Arial" w:cs="Arial" w:eastAsia="Arial" w:hAnsi="Arial"/>
                <w:sz w:val="18"/>
                <w:szCs w:val="18"/>
                <w:b w:val="1"/>
                <w:bCs w:val="1"/>
                <w:color w:val="auto"/>
              </w:rPr>
              <w:t>Total</w:t>
            </w:r>
          </w:p>
        </w:tc>
        <w:tc>
          <w:tcPr>
            <w:tcW w:w="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1100" w:type="dxa"/>
            <w:vAlign w:val="bottom"/>
            <w:gridSpan w:val="2"/>
            <w:vMerge w:val="restart"/>
          </w:tcPr>
          <w:p>
            <w:pPr>
              <w:jc w:val="right"/>
              <w:ind w:right="240"/>
              <w:spacing w:after="0"/>
              <w:rPr>
                <w:sz w:val="20"/>
                <w:szCs w:val="20"/>
                <w:color w:val="auto"/>
              </w:rPr>
            </w:pPr>
            <w:r>
              <w:rPr>
                <w:rFonts w:ascii="Arial" w:cs="Arial" w:eastAsia="Arial" w:hAnsi="Arial"/>
                <w:sz w:val="18"/>
                <w:szCs w:val="18"/>
                <w:color w:val="auto"/>
              </w:rPr>
              <w:t>-5.2%</w:t>
            </w:r>
          </w:p>
        </w:tc>
        <w:tc>
          <w:tcPr>
            <w:tcW w:w="7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1280" w:type="dxa"/>
            <w:vAlign w:val="bottom"/>
            <w:gridSpan w:val="3"/>
            <w:vMerge w:val="restart"/>
          </w:tcPr>
          <w:p>
            <w:pPr>
              <w:jc w:val="right"/>
              <w:ind w:right="240"/>
              <w:spacing w:after="0"/>
              <w:rPr>
                <w:sz w:val="20"/>
                <w:szCs w:val="20"/>
                <w:color w:val="auto"/>
              </w:rPr>
            </w:pPr>
            <w:r>
              <w:rPr>
                <w:rFonts w:ascii="Arial" w:cs="Arial" w:eastAsia="Arial" w:hAnsi="Arial"/>
                <w:sz w:val="18"/>
                <w:szCs w:val="18"/>
                <w:color w:val="auto"/>
              </w:rPr>
              <w:t>-0.9%</w:t>
            </w:r>
          </w:p>
        </w:tc>
        <w:tc>
          <w:tcPr>
            <w:tcW w:w="20" w:type="dxa"/>
            <w:vAlign w:val="bottom"/>
            <w:vMerge w:val="restart"/>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1200" w:type="dxa"/>
            <w:vAlign w:val="bottom"/>
            <w:gridSpan w:val="3"/>
            <w:vMerge w:val="restart"/>
          </w:tcPr>
          <w:p>
            <w:pPr>
              <w:jc w:val="right"/>
              <w:ind w:right="180"/>
              <w:spacing w:after="0"/>
              <w:rPr>
                <w:sz w:val="20"/>
                <w:szCs w:val="20"/>
                <w:color w:val="auto"/>
              </w:rPr>
            </w:pPr>
            <w:r>
              <w:rPr>
                <w:rFonts w:ascii="Arial" w:cs="Arial" w:eastAsia="Arial" w:hAnsi="Arial"/>
                <w:sz w:val="18"/>
                <w:szCs w:val="18"/>
                <w:color w:val="auto"/>
              </w:rPr>
              <w:t>6.7%</w:t>
            </w:r>
          </w:p>
        </w:tc>
        <w:tc>
          <w:tcPr>
            <w:tcW w:w="80" w:type="dxa"/>
            <w:vAlign w:val="bottom"/>
            <w:vMerge w:val="restart"/>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1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w w:val="85"/>
              </w:rPr>
              <w:t>(167)</w:t>
            </w:r>
          </w:p>
        </w:tc>
        <w:tc>
          <w:tcPr>
            <w:tcW w:w="20" w:type="dxa"/>
            <w:vAlign w:val="bottom"/>
            <w:vMerge w:val="continue"/>
          </w:tcPr>
          <w:p>
            <w:pPr>
              <w:spacing w:after="0"/>
              <w:rPr>
                <w:sz w:val="19"/>
                <w:szCs w:val="19"/>
                <w:color w:val="auto"/>
              </w:rPr>
            </w:pPr>
          </w:p>
        </w:tc>
        <w:tc>
          <w:tcPr>
            <w:tcW w:w="320" w:type="dxa"/>
            <w:vAlign w:val="bottom"/>
            <w:vMerge w:val="continue"/>
          </w:tcPr>
          <w:p>
            <w:pPr>
              <w:spacing w:after="0"/>
              <w:rPr>
                <w:sz w:val="19"/>
                <w:szCs w:val="19"/>
                <w:color w:val="auto"/>
              </w:rPr>
            </w:pPr>
          </w:p>
        </w:tc>
        <w:tc>
          <w:tcPr>
            <w:tcW w:w="1100" w:type="dxa"/>
            <w:vAlign w:val="bottom"/>
            <w:gridSpan w:val="2"/>
            <w:vMerge w:val="continue"/>
          </w:tcPr>
          <w:p>
            <w:pPr>
              <w:spacing w:after="0"/>
              <w:rPr>
                <w:sz w:val="19"/>
                <w:szCs w:val="19"/>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-5.2%</w:t>
            </w:r>
          </w:p>
        </w:tc>
        <w:tc>
          <w:tcPr>
            <w:tcW w:w="16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(29)</w:t>
            </w:r>
          </w:p>
        </w:tc>
        <w:tc>
          <w:tcPr>
            <w:tcW w:w="180" w:type="dxa"/>
            <w:vAlign w:val="bottom"/>
            <w:vMerge w:val="continue"/>
          </w:tcPr>
          <w:p>
            <w:pPr>
              <w:spacing w:after="0"/>
              <w:rPr>
                <w:sz w:val="19"/>
                <w:szCs w:val="19"/>
                <w:color w:val="auto"/>
              </w:rPr>
            </w:pPr>
          </w:p>
        </w:tc>
        <w:tc>
          <w:tcPr>
            <w:tcW w:w="1280" w:type="dxa"/>
            <w:vAlign w:val="bottom"/>
            <w:gridSpan w:val="3"/>
            <w:vMerge w:val="continue"/>
          </w:tcPr>
          <w:p>
            <w:pPr>
              <w:spacing w:after="0"/>
              <w:rPr>
                <w:sz w:val="19"/>
                <w:szCs w:val="19"/>
                <w:color w:val="auto"/>
              </w:rPr>
            </w:pPr>
          </w:p>
        </w:tc>
        <w:tc>
          <w:tcPr>
            <w:tcW w:w="20" w:type="dxa"/>
            <w:vAlign w:val="bottom"/>
            <w:vMerge w:val="continue"/>
          </w:tcPr>
          <w:p>
            <w:pPr>
              <w:spacing w:after="0"/>
              <w:rPr>
                <w:sz w:val="19"/>
                <w:szCs w:val="19"/>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-0.9%</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212</w:t>
            </w:r>
          </w:p>
        </w:tc>
        <w:tc>
          <w:tcPr>
            <w:tcW w:w="200" w:type="dxa"/>
            <w:vAlign w:val="bottom"/>
            <w:vMerge w:val="continue"/>
          </w:tcPr>
          <w:p>
            <w:pPr>
              <w:spacing w:after="0"/>
              <w:rPr>
                <w:sz w:val="19"/>
                <w:szCs w:val="19"/>
                <w:color w:val="auto"/>
              </w:rPr>
            </w:pPr>
          </w:p>
        </w:tc>
        <w:tc>
          <w:tcPr>
            <w:tcW w:w="1200" w:type="dxa"/>
            <w:vAlign w:val="bottom"/>
            <w:gridSpan w:val="3"/>
            <w:vMerge w:val="continue"/>
          </w:tcPr>
          <w:p>
            <w:pPr>
              <w:spacing w:after="0"/>
              <w:rPr>
                <w:sz w:val="19"/>
                <w:szCs w:val="19"/>
                <w:color w:val="auto"/>
              </w:rPr>
            </w:pPr>
          </w:p>
        </w:tc>
        <w:tc>
          <w:tcPr>
            <w:tcW w:w="80" w:type="dxa"/>
            <w:vAlign w:val="bottom"/>
            <w:vMerge w:val="continue"/>
          </w:tcPr>
          <w:p>
            <w:pPr>
              <w:spacing w:after="0"/>
              <w:rPr>
                <w:sz w:val="19"/>
                <w:szCs w:val="19"/>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16"/>
        </w:trPr>
        <w:tc>
          <w:tcPr>
            <w:tcW w:w="2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Volume</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w w:val="99"/>
              </w:rPr>
              <w:t>(265)</w:t>
            </w:r>
          </w:p>
        </w:tc>
        <w:tc>
          <w:tcPr>
            <w:tcW w:w="7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-8.1%</w:t>
            </w:r>
          </w:p>
        </w:tc>
        <w:tc>
          <w:tcPr>
            <w:tcW w:w="1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9"/>
              </w:rPr>
              <w:t>(198)</w:t>
            </w: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-5.9%</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(123)</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0"/>
        </w:trPr>
        <w:tc>
          <w:tcPr>
            <w:tcW w:w="2140" w:type="dxa"/>
            <w:vAlign w:val="bottom"/>
            <w:vMerge w:val="restart"/>
          </w:tcPr>
          <w:p>
            <w:pPr>
              <w:spacing w:after="0"/>
              <w:rPr>
                <w:sz w:val="20"/>
                <w:szCs w:val="20"/>
                <w:color w:val="auto"/>
              </w:rPr>
            </w:pPr>
            <w:r>
              <w:rPr>
                <w:rFonts w:ascii="Arial" w:cs="Arial" w:eastAsia="Arial" w:hAnsi="Arial"/>
                <w:sz w:val="18"/>
                <w:szCs w:val="18"/>
                <w:b w:val="1"/>
                <w:bCs w:val="1"/>
                <w:color w:val="auto"/>
              </w:rPr>
              <w:t>Internal revenue growth</w:t>
            </w:r>
          </w:p>
        </w:tc>
        <w:tc>
          <w:tcPr>
            <w:tcW w:w="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1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w w:val="85"/>
              </w:rPr>
              <w:t>(432)</w:t>
            </w:r>
          </w:p>
        </w:tc>
        <w:tc>
          <w:tcPr>
            <w:tcW w:w="20" w:type="dxa"/>
            <w:vAlign w:val="bottom"/>
            <w:vMerge w:val="continue"/>
          </w:tcPr>
          <w:p>
            <w:pPr>
              <w:spacing w:after="0"/>
              <w:rPr>
                <w:sz w:val="19"/>
                <w:szCs w:val="19"/>
                <w:color w:val="auto"/>
              </w:rPr>
            </w:pPr>
          </w:p>
        </w:tc>
        <w:tc>
          <w:tcPr>
            <w:tcW w:w="320" w:type="dxa"/>
            <w:vAlign w:val="bottom"/>
            <w:vMerge w:val="continue"/>
          </w:tcPr>
          <w:p>
            <w:pPr>
              <w:spacing w:after="0"/>
              <w:rPr>
                <w:sz w:val="19"/>
                <w:szCs w:val="19"/>
                <w:color w:val="auto"/>
              </w:rPr>
            </w:pPr>
          </w:p>
        </w:tc>
        <w:tc>
          <w:tcPr>
            <w:tcW w:w="7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-13.3%</w:t>
            </w:r>
          </w:p>
        </w:tc>
        <w:tc>
          <w:tcPr>
            <w:tcW w:w="16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w w:val="85"/>
              </w:rPr>
              <w:t>(227)</w:t>
            </w:r>
          </w:p>
        </w:tc>
        <w:tc>
          <w:tcPr>
            <w:tcW w:w="180" w:type="dxa"/>
            <w:vAlign w:val="bottom"/>
            <w:vMerge w:val="continue"/>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 w:type="dxa"/>
            <w:vAlign w:val="bottom"/>
            <w:vMerge w:val="continue"/>
          </w:tcPr>
          <w:p>
            <w:pPr>
              <w:spacing w:after="0"/>
              <w:rPr>
                <w:sz w:val="19"/>
                <w:szCs w:val="19"/>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-6.8%</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89</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vMerge w:val="continue"/>
          </w:tcPr>
          <w:p>
            <w:pPr>
              <w:spacing w:after="0"/>
              <w:rPr>
                <w:sz w:val="19"/>
                <w:szCs w:val="19"/>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2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Acquisition</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0.7%</w:t>
            </w:r>
          </w:p>
        </w:tc>
        <w:tc>
          <w:tcPr>
            <w:tcW w:w="1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w:t>
            </w: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1.0%</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16"/>
        </w:trPr>
        <w:tc>
          <w:tcPr>
            <w:tcW w:w="2140" w:type="dxa"/>
            <w:vAlign w:val="bottom"/>
          </w:tcPr>
          <w:p>
            <w:pPr>
              <w:spacing w:after="0"/>
              <w:rPr>
                <w:sz w:val="20"/>
                <w:szCs w:val="20"/>
                <w:color w:val="auto"/>
              </w:rPr>
            </w:pPr>
            <w:r>
              <w:rPr>
                <w:rFonts w:ascii="Arial" w:cs="Arial" w:eastAsia="Arial" w:hAnsi="Arial"/>
                <w:sz w:val="18"/>
                <w:szCs w:val="18"/>
                <w:b w:val="1"/>
                <w:bCs w:val="1"/>
                <w:color w:val="auto"/>
              </w:rPr>
              <w:t>Divestitures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3"/>
          </w:tcPr>
          <w:p>
            <w:pPr>
              <w:jc w:val="right"/>
              <w:ind w:right="280"/>
              <w:spacing w:after="0"/>
              <w:rPr>
                <w:sz w:val="20"/>
                <w:szCs w:val="20"/>
                <w:color w:val="auto"/>
              </w:rPr>
            </w:pPr>
            <w:r>
              <w:rPr>
                <w:rFonts w:ascii="Arial" w:cs="Arial" w:eastAsia="Arial" w:hAnsi="Arial"/>
                <w:sz w:val="18"/>
                <w:szCs w:val="18"/>
                <w:color w:val="auto"/>
              </w:rPr>
              <w:t>(12)</w:t>
            </w:r>
          </w:p>
        </w:tc>
        <w:tc>
          <w:tcPr>
            <w:tcW w:w="7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-0.3%</w:t>
            </w:r>
          </w:p>
        </w:tc>
        <w:tc>
          <w:tcPr>
            <w:tcW w:w="16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(20)</w:t>
            </w: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60" w:type="dxa"/>
            <w:vAlign w:val="bottom"/>
            <w:gridSpan w:val="3"/>
          </w:tcPr>
          <w:p>
            <w:pPr>
              <w:jc w:val="right"/>
              <w:ind w:right="140"/>
              <w:spacing w:after="0"/>
              <w:rPr>
                <w:sz w:val="20"/>
                <w:szCs w:val="20"/>
                <w:color w:val="auto"/>
              </w:rPr>
            </w:pPr>
            <w:r>
              <w:rPr>
                <w:rFonts w:ascii="Arial" w:cs="Arial" w:eastAsia="Arial" w:hAnsi="Arial"/>
                <w:sz w:val="18"/>
                <w:szCs w:val="18"/>
                <w:color w:val="auto"/>
              </w:rPr>
              <w:t>-0.6%</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8"/>
                <w:szCs w:val="18"/>
                <w:color w:val="auto"/>
              </w:rPr>
              <w:t>(61)</w:t>
            </w: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gridSpan w:val="3"/>
          </w:tcPr>
          <w:p>
            <w:pPr>
              <w:jc w:val="right"/>
              <w:ind w:right="2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198"/>
        </w:trPr>
        <w:tc>
          <w:tcPr>
            <w:tcW w:w="214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Foreign currency</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140" w:type="dxa"/>
            <w:vAlign w:val="bottom"/>
            <w:shd w:val="clear" w:color="auto" w:fill="CCEEFF"/>
          </w:tcPr>
          <w:p>
            <w:pPr>
              <w:ind w:left="220"/>
              <w:spacing w:after="0"/>
              <w:rPr>
                <w:sz w:val="20"/>
                <w:szCs w:val="20"/>
                <w:color w:val="auto"/>
              </w:rPr>
            </w:pPr>
            <w:r>
              <w:rPr>
                <w:rFonts w:ascii="Arial" w:cs="Arial" w:eastAsia="Arial" w:hAnsi="Arial"/>
                <w:sz w:val="18"/>
                <w:szCs w:val="18"/>
                <w:b w:val="1"/>
                <w:bCs w:val="1"/>
                <w:color w:val="auto"/>
              </w:rPr>
              <w:t>translation</w:t>
            </w: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2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(35)</w:t>
            </w:r>
          </w:p>
        </w:tc>
        <w:tc>
          <w:tcPr>
            <w:tcW w:w="7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-1.1%</w:t>
            </w:r>
          </w:p>
        </w:tc>
        <w:tc>
          <w:tcPr>
            <w:tcW w:w="160" w:type="dxa"/>
            <w:vAlign w:val="bottom"/>
            <w:shd w:val="clear" w:color="auto" w:fill="CCEEFF"/>
          </w:tcPr>
          <w:p>
            <w:pPr>
              <w:spacing w:after="0"/>
              <w:rPr>
                <w:sz w:val="20"/>
                <w:szCs w:val="20"/>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(38)</w:t>
            </w:r>
          </w:p>
        </w:tc>
        <w:tc>
          <w:tcPr>
            <w:tcW w:w="18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0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-1.1%</w:t>
            </w: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2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0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0"/>
        </w:trPr>
        <w:tc>
          <w:tcPr>
            <w:tcW w:w="21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40" w:type="dxa"/>
            <w:vAlign w:val="bottom"/>
            <w:gridSpan w:val="2"/>
            <w:vMerge w:val="restart"/>
          </w:tcPr>
          <w:p>
            <w:pPr>
              <w:jc w:val="right"/>
              <w:ind w:right="280"/>
              <w:spacing w:after="0"/>
              <w:rPr>
                <w:sz w:val="20"/>
                <w:szCs w:val="20"/>
                <w:color w:val="auto"/>
              </w:rPr>
            </w:pPr>
            <w:r>
              <w:rPr>
                <w:rFonts w:ascii="Arial" w:cs="Arial" w:eastAsia="Arial" w:hAnsi="Arial"/>
                <w:sz w:val="16"/>
                <w:szCs w:val="16"/>
                <w:color w:val="auto"/>
                <w:w w:val="74"/>
              </w:rPr>
              <w:t>)</w:t>
            </w:r>
          </w:p>
        </w:tc>
        <w:tc>
          <w:tcPr>
            <w:tcW w:w="7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80" w:type="dxa"/>
            <w:vAlign w:val="bottom"/>
            <w:vMerge w:val="restart"/>
          </w:tcPr>
          <w:p>
            <w:pPr>
              <w:jc w:val="right"/>
              <w:ind w:right="40"/>
              <w:spacing w:after="0"/>
              <w:rPr>
                <w:sz w:val="20"/>
                <w:szCs w:val="20"/>
                <w:color w:val="auto"/>
              </w:rPr>
            </w:pPr>
            <w:r>
              <w:rPr>
                <w:rFonts w:ascii="Arial" w:cs="Arial" w:eastAsia="Arial" w:hAnsi="Arial"/>
                <w:sz w:val="16"/>
                <w:szCs w:val="16"/>
                <w:color w:val="auto"/>
                <w:w w:val="74"/>
              </w:rPr>
              <w:t>)</w:t>
            </w: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140" w:type="dxa"/>
            <w:vAlign w:val="bottom"/>
          </w:tcPr>
          <w:p>
            <w:pPr>
              <w:spacing w:after="0"/>
              <w:rPr>
                <w:sz w:val="19"/>
                <w:szCs w:val="19"/>
                <w:color w:val="auto"/>
              </w:rPr>
            </w:pPr>
          </w:p>
        </w:tc>
        <w:tc>
          <w:tcPr>
            <w:tcW w:w="20" w:type="dxa"/>
            <w:vAlign w:val="bottom"/>
            <w:vMerge w:val="continue"/>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380" w:type="dxa"/>
            <w:vAlign w:val="bottom"/>
          </w:tcPr>
          <w:p>
            <w:pPr>
              <w:jc w:val="right"/>
              <w:spacing w:after="0"/>
              <w:rPr>
                <w:sz w:val="20"/>
                <w:szCs w:val="20"/>
                <w:color w:val="auto"/>
              </w:rPr>
            </w:pPr>
            <w:r>
              <w:rPr>
                <w:rFonts w:ascii="Arial" w:cs="Arial" w:eastAsia="Arial" w:hAnsi="Arial"/>
                <w:sz w:val="18"/>
                <w:szCs w:val="18"/>
                <w:color w:val="auto"/>
                <w:w w:val="99"/>
              </w:rPr>
              <w:t>(456</w:t>
            </w:r>
          </w:p>
        </w:tc>
        <w:tc>
          <w:tcPr>
            <w:tcW w:w="340" w:type="dxa"/>
            <w:vAlign w:val="bottom"/>
            <w:gridSpan w:val="2"/>
            <w:vMerge w:val="continue"/>
          </w:tcPr>
          <w:p>
            <w:pPr>
              <w:spacing w:after="0"/>
              <w:rPr>
                <w:sz w:val="19"/>
                <w:szCs w:val="19"/>
                <w:color w:val="auto"/>
              </w:rPr>
            </w:pPr>
          </w:p>
        </w:tc>
        <w:tc>
          <w:tcPr>
            <w:tcW w:w="7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-14.0%</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380" w:type="dxa"/>
            <w:vAlign w:val="bottom"/>
          </w:tcPr>
          <w:p>
            <w:pPr>
              <w:jc w:val="right"/>
              <w:spacing w:after="0"/>
              <w:rPr>
                <w:sz w:val="20"/>
                <w:szCs w:val="20"/>
                <w:color w:val="auto"/>
              </w:rPr>
            </w:pPr>
            <w:r>
              <w:rPr>
                <w:rFonts w:ascii="Arial" w:cs="Arial" w:eastAsia="Arial" w:hAnsi="Arial"/>
                <w:sz w:val="18"/>
                <w:szCs w:val="18"/>
                <w:color w:val="auto"/>
                <w:w w:val="99"/>
              </w:rPr>
              <w:t>(253</w:t>
            </w:r>
          </w:p>
        </w:tc>
        <w:tc>
          <w:tcPr>
            <w:tcW w:w="180" w:type="dxa"/>
            <w:vAlign w:val="bottom"/>
            <w:vMerge w:val="continue"/>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 w:type="dxa"/>
            <w:vAlign w:val="bottom"/>
            <w:vMerge w:val="continue"/>
          </w:tcPr>
          <w:p>
            <w:pPr>
              <w:spacing w:after="0"/>
              <w:rPr>
                <w:sz w:val="19"/>
                <w:szCs w:val="19"/>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-7.5%</w:t>
            </w:r>
          </w:p>
        </w:tc>
        <w:tc>
          <w:tcPr>
            <w:tcW w:w="140" w:type="dxa"/>
            <w:vAlign w:val="bottom"/>
            <w:vMerge w:val="continue"/>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78</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vMerge w:val="continue"/>
          </w:tcPr>
          <w:p>
            <w:pPr>
              <w:spacing w:after="0"/>
              <w:rPr>
                <w:sz w:val="19"/>
                <w:szCs w:val="19"/>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0"/>
        </w:trPr>
        <w:tc>
          <w:tcPr>
            <w:tcW w:w="21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1" w:lineRule="exact"/>
        <w:rPr>
          <w:sz w:val="20"/>
          <w:szCs w:val="20"/>
          <w:color w:val="auto"/>
        </w:rPr>
      </w:pPr>
    </w:p>
    <w:p>
      <w:pPr>
        <w:ind w:left="540" w:right="200" w:hanging="539"/>
        <w:spacing w:after="0" w:line="277" w:lineRule="auto"/>
        <w:tabs>
          <w:tab w:leader="none" w:pos="520" w:val="left"/>
        </w:tabs>
        <w:rPr>
          <w:sz w:val="20"/>
          <w:szCs w:val="20"/>
          <w:color w:val="auto"/>
        </w:rPr>
      </w:pPr>
      <w:r>
        <w:rPr>
          <w:rFonts w:ascii="Arial" w:cs="Arial" w:eastAsia="Arial" w:hAnsi="Arial"/>
          <w:sz w:val="18"/>
          <w:szCs w:val="18"/>
          <w:b w:val="1"/>
          <w:bCs w:val="1"/>
          <w:color w:val="auto"/>
        </w:rPr>
        <w:t>Note:</w:t>
      </w:r>
      <w:r>
        <w:rPr>
          <w:sz w:val="20"/>
          <w:szCs w:val="20"/>
          <w:color w:val="auto"/>
        </w:rPr>
        <w:tab/>
      </w:r>
      <w:r>
        <w:rPr>
          <w:rFonts w:ascii="Arial" w:cs="Arial" w:eastAsia="Arial" w:hAnsi="Arial"/>
          <w:sz w:val="18"/>
          <w:szCs w:val="18"/>
          <w:color w:val="auto"/>
        </w:rPr>
        <w:t>The revenue information below represents the denominator used to calculate the percentages of related business and is defined as prior year revenue less the impact of divestitures.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960" w:type="dxa"/>
            <w:vAlign w:val="bottom"/>
            <w:tcBorders>
              <w:bottom w:val="single" w:sz="8" w:color="auto"/>
            </w:tcBorders>
            <w:gridSpan w:val="9"/>
          </w:tcPr>
          <w:p>
            <w:pPr>
              <w:ind w:left="500"/>
              <w:spacing w:after="0"/>
              <w:rPr>
                <w:sz w:val="20"/>
                <w:szCs w:val="20"/>
                <w:color w:val="auto"/>
              </w:rPr>
            </w:pPr>
            <w:r>
              <w:rPr>
                <w:rFonts w:ascii="Arial" w:cs="Arial" w:eastAsia="Arial" w:hAnsi="Arial"/>
                <w:sz w:val="14"/>
                <w:szCs w:val="14"/>
                <w:b w:val="1"/>
                <w:bCs w:val="1"/>
                <w:color w:val="auto"/>
              </w:rPr>
              <w:t>Denominator for the Quarters Ended</w:t>
            </w: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7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40" w:type="dxa"/>
            <w:vAlign w:val="bottom"/>
            <w:gridSpan w:val="4"/>
          </w:tcPr>
          <w:p>
            <w:pPr>
              <w:spacing w:after="0" w:line="142" w:lineRule="exact"/>
              <w:rPr>
                <w:sz w:val="20"/>
                <w:szCs w:val="20"/>
                <w:color w:val="auto"/>
              </w:rPr>
            </w:pPr>
            <w:r>
              <w:rPr>
                <w:rFonts w:ascii="Arial" w:cs="Arial" w:eastAsia="Arial" w:hAnsi="Arial"/>
                <w:sz w:val="14"/>
                <w:szCs w:val="14"/>
                <w:b w:val="1"/>
                <w:bCs w:val="1"/>
                <w:color w:val="auto"/>
              </w:rPr>
              <w:t>Mar. 31, 2009</w:t>
            </w:r>
          </w:p>
        </w:tc>
        <w:tc>
          <w:tcPr>
            <w:tcW w:w="320" w:type="dxa"/>
            <w:vAlign w:val="bottom"/>
          </w:tcPr>
          <w:p>
            <w:pPr>
              <w:spacing w:after="0"/>
              <w:rPr>
                <w:sz w:val="12"/>
                <w:szCs w:val="12"/>
                <w:color w:val="auto"/>
              </w:rPr>
            </w:pPr>
          </w:p>
        </w:tc>
        <w:tc>
          <w:tcPr>
            <w:tcW w:w="114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Dec. 31, 2008</w:t>
            </w:r>
          </w:p>
        </w:tc>
        <w:tc>
          <w:tcPr>
            <w:tcW w:w="1160" w:type="dxa"/>
            <w:vAlign w:val="bottom"/>
            <w:gridSpan w:val="3"/>
          </w:tcPr>
          <w:p>
            <w:pPr>
              <w:ind w:left="320"/>
              <w:spacing w:after="0" w:line="142" w:lineRule="exact"/>
              <w:rPr>
                <w:sz w:val="20"/>
                <w:szCs w:val="20"/>
                <w:color w:val="auto"/>
              </w:rPr>
            </w:pPr>
            <w:r>
              <w:rPr>
                <w:rFonts w:ascii="Arial" w:cs="Arial" w:eastAsia="Arial" w:hAnsi="Arial"/>
                <w:sz w:val="14"/>
                <w:szCs w:val="14"/>
                <w:b w:val="1"/>
                <w:bCs w:val="1"/>
                <w:color w:val="auto"/>
                <w:w w:val="94"/>
              </w:rPr>
              <w:t>Mar. 31, 2008</w:t>
            </w:r>
          </w:p>
        </w:tc>
        <w:tc>
          <w:tcPr>
            <w:tcW w:w="100" w:type="dxa"/>
            <w:vAlign w:val="bottom"/>
          </w:tcPr>
          <w:p>
            <w:pPr>
              <w:spacing w:after="0"/>
              <w:rPr>
                <w:sz w:val="12"/>
                <w:szCs w:val="12"/>
                <w:color w:val="auto"/>
              </w:rPr>
            </w:pPr>
          </w:p>
        </w:tc>
      </w:tr>
      <w:tr>
        <w:trPr>
          <w:trHeight w:val="210"/>
        </w:trPr>
        <w:tc>
          <w:tcPr>
            <w:tcW w:w="7540" w:type="dxa"/>
            <w:vAlign w:val="bottom"/>
            <w:shd w:val="clear" w:color="auto" w:fill="CCEEFF"/>
          </w:tcPr>
          <w:p>
            <w:pPr>
              <w:spacing w:after="0"/>
              <w:rPr>
                <w:sz w:val="20"/>
                <w:szCs w:val="20"/>
                <w:color w:val="auto"/>
              </w:rPr>
            </w:pPr>
            <w:r>
              <w:rPr>
                <w:rFonts w:ascii="Arial" w:cs="Arial" w:eastAsia="Arial" w:hAnsi="Arial"/>
                <w:sz w:val="18"/>
                <w:szCs w:val="18"/>
                <w:color w:val="auto"/>
              </w:rPr>
              <w:t>Related business revenues:</w:t>
            </w:r>
          </w:p>
        </w:tc>
        <w:tc>
          <w:tcPr>
            <w:tcW w:w="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540" w:type="dxa"/>
            <w:vAlign w:val="bottom"/>
          </w:tcPr>
          <w:p>
            <w:pPr>
              <w:ind w:left="420"/>
              <w:spacing w:after="0"/>
              <w:rPr>
                <w:sz w:val="20"/>
                <w:szCs w:val="20"/>
                <w:color w:val="auto"/>
              </w:rPr>
            </w:pPr>
            <w:r>
              <w:rPr>
                <w:rFonts w:ascii="Arial" w:cs="Arial" w:eastAsia="Arial" w:hAnsi="Arial"/>
                <w:sz w:val="18"/>
                <w:szCs w:val="18"/>
                <w:color w:val="auto"/>
              </w:rPr>
              <w:t>Collection, landfill and transfer</w:t>
            </w:r>
          </w:p>
        </w:tc>
        <w:tc>
          <w:tcPr>
            <w:tcW w:w="240" w:type="dxa"/>
            <w:vAlign w:val="bottom"/>
            <w:gridSpan w:val="2"/>
          </w:tcPr>
          <w:p>
            <w:pPr>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2,582</w:t>
            </w:r>
          </w:p>
        </w:tc>
        <w:tc>
          <w:tcPr>
            <w:tcW w:w="320" w:type="dxa"/>
            <w:vAlign w:val="bottom"/>
          </w:tcPr>
          <w:p>
            <w:pPr>
              <w:spacing w:after="0"/>
              <w:rPr>
                <w:sz w:val="18"/>
                <w:szCs w:val="18"/>
                <w:color w:val="auto"/>
              </w:rPr>
            </w:pPr>
          </w:p>
        </w:tc>
        <w:tc>
          <w:tcPr>
            <w:tcW w:w="56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rPr>
              <w:t>2,678</w:t>
            </w:r>
          </w:p>
        </w:tc>
        <w:tc>
          <w:tcPr>
            <w:tcW w:w="58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2,573</w:t>
            </w:r>
          </w:p>
        </w:tc>
      </w:tr>
      <w:tr>
        <w:trPr>
          <w:trHeight w:val="216"/>
        </w:trPr>
        <w:tc>
          <w:tcPr>
            <w:tcW w:w="75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Waste-to-energy disposal</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101</w:t>
            </w: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107</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103</w:t>
            </w:r>
          </w:p>
        </w:tc>
      </w:tr>
      <w:tr>
        <w:trPr>
          <w:trHeight w:val="223"/>
        </w:trPr>
        <w:tc>
          <w:tcPr>
            <w:tcW w:w="7540" w:type="dxa"/>
            <w:vAlign w:val="bottom"/>
          </w:tcPr>
          <w:p>
            <w:pPr>
              <w:ind w:left="220"/>
              <w:spacing w:after="0"/>
              <w:rPr>
                <w:sz w:val="20"/>
                <w:szCs w:val="20"/>
                <w:color w:val="auto"/>
              </w:rPr>
            </w:pPr>
            <w:r>
              <w:rPr>
                <w:rFonts w:ascii="Arial" w:cs="Arial" w:eastAsia="Arial" w:hAnsi="Arial"/>
                <w:sz w:val="18"/>
                <w:szCs w:val="18"/>
                <w:color w:val="auto"/>
              </w:rPr>
              <w:t>Collection and disposal</w:t>
            </w:r>
          </w:p>
        </w:tc>
        <w:tc>
          <w:tcPr>
            <w:tcW w:w="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2,683</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2,785</w:t>
            </w: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2,676</w:t>
            </w:r>
          </w:p>
        </w:tc>
        <w:tc>
          <w:tcPr>
            <w:tcW w:w="100" w:type="dxa"/>
            <w:vAlign w:val="bottom"/>
          </w:tcPr>
          <w:p>
            <w:pPr>
              <w:spacing w:after="0"/>
              <w:rPr>
                <w:sz w:val="19"/>
                <w:szCs w:val="19"/>
                <w:color w:val="auto"/>
              </w:rPr>
            </w:pPr>
          </w:p>
        </w:tc>
      </w:tr>
      <w:tr>
        <w:trPr>
          <w:trHeight w:val="216"/>
        </w:trPr>
        <w:tc>
          <w:tcPr>
            <w:tcW w:w="75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Recycling commodity</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336</w:t>
            </w: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325</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260</w:t>
            </w:r>
          </w:p>
        </w:tc>
      </w:tr>
      <w:tr>
        <w:trPr>
          <w:trHeight w:val="216"/>
        </w:trPr>
        <w:tc>
          <w:tcPr>
            <w:tcW w:w="7540" w:type="dxa"/>
            <w:vAlign w:val="bottom"/>
          </w:tcPr>
          <w:p>
            <w:pPr>
              <w:ind w:left="220"/>
              <w:spacing w:after="0"/>
              <w:rPr>
                <w:sz w:val="20"/>
                <w:szCs w:val="20"/>
                <w:color w:val="auto"/>
              </w:rPr>
            </w:pPr>
            <w:r>
              <w:rPr>
                <w:rFonts w:ascii="Arial" w:cs="Arial" w:eastAsia="Arial" w:hAnsi="Arial"/>
                <w:sz w:val="18"/>
                <w:szCs w:val="18"/>
                <w:color w:val="auto"/>
              </w:rPr>
              <w:t>Electricity</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83</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rPr>
              <w:t>85</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81</w:t>
            </w:r>
          </w:p>
        </w:tc>
      </w:tr>
      <w:tr>
        <w:trPr>
          <w:trHeight w:val="216"/>
        </w:trPr>
        <w:tc>
          <w:tcPr>
            <w:tcW w:w="75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Fuel surcharges and mandated fees</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152</w:t>
            </w: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146</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110</w:t>
            </w:r>
          </w:p>
        </w:tc>
      </w:tr>
      <w:tr>
        <w:trPr>
          <w:trHeight w:val="223"/>
        </w:trPr>
        <w:tc>
          <w:tcPr>
            <w:tcW w:w="7540" w:type="dxa"/>
            <w:vAlign w:val="bottom"/>
          </w:tcPr>
          <w:p>
            <w:pPr>
              <w:ind w:left="220"/>
              <w:spacing w:after="0"/>
              <w:rPr>
                <w:sz w:val="20"/>
                <w:szCs w:val="20"/>
                <w:color w:val="auto"/>
              </w:rPr>
            </w:pPr>
            <w:r>
              <w:rPr>
                <w:rFonts w:ascii="Arial" w:cs="Arial" w:eastAsia="Arial" w:hAnsi="Arial"/>
                <w:sz w:val="18"/>
                <w:szCs w:val="18"/>
                <w:color w:val="auto"/>
              </w:rPr>
              <w:t>Total Company</w:t>
            </w:r>
          </w:p>
        </w:tc>
        <w:tc>
          <w:tcPr>
            <w:tcW w:w="20" w:type="dxa"/>
            <w:vAlign w:val="bottom"/>
            <w:tcBorders>
              <w:bottom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3,254</w:t>
            </w:r>
          </w:p>
        </w:tc>
        <w:tc>
          <w:tcPr>
            <w:tcW w:w="2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3,341</w:t>
            </w: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3,127</w:t>
            </w:r>
          </w:p>
        </w:tc>
        <w:tc>
          <w:tcPr>
            <w:tcW w:w="100" w:type="dxa"/>
            <w:vAlign w:val="bottom"/>
          </w:tcPr>
          <w:p>
            <w:pPr>
              <w:spacing w:after="0"/>
              <w:rPr>
                <w:sz w:val="19"/>
                <w:szCs w:val="19"/>
                <w:color w:val="auto"/>
              </w:rPr>
            </w:pPr>
          </w:p>
        </w:tc>
      </w:tr>
      <w:tr>
        <w:trPr>
          <w:trHeight w:val="20"/>
        </w:trPr>
        <w:tc>
          <w:tcPr>
            <w:tcW w:w="7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130365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44" w:lineRule="exact"/>
        <w:rPr>
          <w:sz w:val="20"/>
          <w:szCs w:val="20"/>
          <w:color w:val="auto"/>
        </w:rPr>
      </w:pPr>
    </w:p>
    <w:p>
      <w:pPr>
        <w:ind w:left="540" w:hanging="532"/>
        <w:spacing w:after="0"/>
        <w:tabs>
          <w:tab w:leader="none" w:pos="540" w:val="left"/>
        </w:tabs>
        <w:numPr>
          <w:ilvl w:val="0"/>
          <w:numId w:val="13"/>
        </w:numPr>
        <w:rPr>
          <w:rFonts w:ascii="Arial" w:cs="Arial" w:eastAsia="Arial" w:hAnsi="Arial"/>
          <w:sz w:val="18"/>
          <w:szCs w:val="18"/>
          <w:b w:val="1"/>
          <w:bCs w:val="1"/>
          <w:color w:val="auto"/>
        </w:rPr>
      </w:pPr>
      <w:r>
        <w:rPr>
          <w:rFonts w:ascii="Arial" w:cs="Arial" w:eastAsia="Arial" w:hAnsi="Arial"/>
          <w:sz w:val="18"/>
          <w:szCs w:val="18"/>
          <w:color w:val="auto"/>
        </w:rPr>
        <w:t>These percentages are calculated using the Related Business revenue as the denominator.</w:t>
      </w:r>
    </w:p>
    <w:p>
      <w:pPr>
        <w:spacing w:after="0" w:line="76" w:lineRule="exact"/>
        <w:rPr>
          <w:rFonts w:ascii="Arial" w:cs="Arial" w:eastAsia="Arial" w:hAnsi="Arial"/>
          <w:sz w:val="18"/>
          <w:szCs w:val="18"/>
          <w:b w:val="1"/>
          <w:bCs w:val="1"/>
          <w:color w:val="auto"/>
        </w:rPr>
      </w:pPr>
    </w:p>
    <w:p>
      <w:pPr>
        <w:ind w:left="540" w:hanging="532"/>
        <w:spacing w:after="0"/>
        <w:tabs>
          <w:tab w:leader="none" w:pos="540" w:val="left"/>
        </w:tabs>
        <w:numPr>
          <w:ilvl w:val="0"/>
          <w:numId w:val="13"/>
        </w:numPr>
        <w:rPr>
          <w:rFonts w:ascii="Arial" w:cs="Arial" w:eastAsia="Arial" w:hAnsi="Arial"/>
          <w:sz w:val="18"/>
          <w:szCs w:val="18"/>
          <w:b w:val="1"/>
          <w:bCs w:val="1"/>
          <w:color w:val="auto"/>
        </w:rPr>
      </w:pPr>
      <w:r>
        <w:rPr>
          <w:rFonts w:ascii="Arial" w:cs="Arial" w:eastAsia="Arial" w:hAnsi="Arial"/>
          <w:sz w:val="18"/>
          <w:szCs w:val="18"/>
          <w:color w:val="auto"/>
        </w:rPr>
        <w:t>These percentages are calculated using the total Company revenue as the denominator.</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w:t>
      </w:r>
      <w:r>
        <w:rPr>
          <w:rFonts w:ascii="Arial" w:cs="Arial" w:eastAsia="Arial" w:hAnsi="Arial"/>
          <w:sz w:val="18"/>
          <w:szCs w:val="18"/>
          <w:color w:val="auto"/>
        </w:rPr>
        <w:t>For the quarter ended March 31, 2009, we have made the following changes to our Internal Revenue Growth table:</w:t>
      </w:r>
    </w:p>
    <w:p>
      <w:pPr>
        <w:spacing w:after="0" w:line="81" w:lineRule="exact"/>
        <w:rPr>
          <w:sz w:val="20"/>
          <w:szCs w:val="20"/>
          <w:color w:val="auto"/>
        </w:rPr>
      </w:pPr>
    </w:p>
    <w:p>
      <w:pPr>
        <w:ind w:left="540" w:right="60"/>
        <w:spacing w:after="0" w:line="264" w:lineRule="auto"/>
        <w:rPr>
          <w:sz w:val="20"/>
          <w:szCs w:val="20"/>
          <w:color w:val="auto"/>
        </w:rPr>
      </w:pPr>
      <w:r>
        <w:rPr>
          <w:rFonts w:ascii="Arial" w:cs="Arial" w:eastAsia="Arial" w:hAnsi="Arial"/>
          <w:sz w:val="18"/>
          <w:szCs w:val="18"/>
          <w:color w:val="auto"/>
        </w:rPr>
        <w:t>Average yield from “Collection and Disposal” excludes any electricity related revenues. These electricity revenues are now included within Average Yield in the “Electricity” caption. Note that the “Waste to Energy” component of “Collection and Disposal” is primarily disposal related revenues. We have reclassified prior periods to conform to the 2009 presentation.</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sectPr>
      <w:pgSz w:w="11900" w:h="16838" w:orient="portrait"/>
      <w:cols w:equalWidth="0" w:num="1">
        <w:col w:w="11420"/>
      </w:cols>
      <w:pgMar w:left="240" w:top="931" w:right="239" w:bottom="896"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1B71EFB"/>
    <w:multiLevelType w:val="hybridMultilevel"/>
    <w:lvl w:ilvl="0">
      <w:lvlJc w:val="left"/>
      <w:lvlText w:val="(%1)"/>
      <w:numFmt w:val="lowerLetter"/>
      <w:start w:val="1"/>
    </w:lvl>
  </w:abstractNum>
  <w:abstractNum w:abstractNumId="1">
    <w:nsid w:val="79E2A9E3"/>
    <w:multiLevelType w:val="hybridMultilevel"/>
    <w:lvl w:ilvl="0">
      <w:lvlJc w:val="left"/>
      <w:lvlText w:val="(%1)"/>
      <w:numFmt w:val="lowerLetter"/>
      <w:start w:val="3"/>
    </w:lvl>
  </w:abstractNum>
  <w:abstractNum w:abstractNumId="2">
    <w:nsid w:val="7545E146"/>
    <w:multiLevelType w:val="hybridMultilevel"/>
    <w:lvl w:ilvl="0">
      <w:lvlJc w:val="left"/>
      <w:lvlText w:val="•"/>
      <w:numFmt w:val="bullet"/>
      <w:start w:val="1"/>
    </w:lvl>
  </w:abstractNum>
  <w:abstractNum w:abstractNumId="3">
    <w:nsid w:val="515F007C"/>
    <w:multiLevelType w:val="hybridMultilevel"/>
    <w:lvl w:ilvl="0">
      <w:lvlJc w:val="left"/>
      <w:lvlText w:val="•"/>
      <w:numFmt w:val="bullet"/>
      <w:start w:val="1"/>
    </w:lvl>
  </w:abstractNum>
  <w:abstractNum w:abstractNumId="4">
    <w:nsid w:val="5BD062C2"/>
    <w:multiLevelType w:val="hybridMultilevel"/>
    <w:lvl w:ilvl="0">
      <w:lvlJc w:val="left"/>
      <w:lvlText w:val="(%1)"/>
      <w:numFmt w:val="lowerLetter"/>
      <w:start w:val="2"/>
    </w:lvl>
  </w:abstractNum>
  <w:abstractNum w:abstractNumId="5">
    <w:nsid w:val="12200854"/>
    <w:multiLevelType w:val="hybridMultilevel"/>
    <w:lvl w:ilvl="0">
      <w:lvlJc w:val="left"/>
      <w:lvlText w:val="•"/>
      <w:numFmt w:val="bullet"/>
      <w:start w:val="1"/>
    </w:lvl>
  </w:abstractNum>
  <w:abstractNum w:abstractNumId="6">
    <w:nsid w:val="4DB127F8"/>
    <w:multiLevelType w:val="hybridMultilevel"/>
    <w:lvl w:ilvl="0">
      <w:lvlJc w:val="left"/>
      <w:lvlText w:val="•"/>
      <w:numFmt w:val="bullet"/>
      <w:start w:val="1"/>
    </w:lvl>
  </w:abstractNum>
  <w:abstractNum w:abstractNumId="7">
    <w:nsid w:val="216231B"/>
    <w:multiLevelType w:val="hybridMultilevel"/>
    <w:lvl w:ilvl="0">
      <w:lvlJc w:val="left"/>
      <w:lvlText w:val="•"/>
      <w:numFmt w:val="bullet"/>
      <w:start w:val="1"/>
    </w:lvl>
  </w:abstractNum>
  <w:abstractNum w:abstractNumId="8">
    <w:nsid w:val="1F16E9E8"/>
    <w:multiLevelType w:val="hybridMultilevel"/>
    <w:lvl w:ilvl="0">
      <w:lvlJc w:val="left"/>
      <w:lvlText w:val="(%1)"/>
      <w:numFmt w:val="lowerLetter"/>
      <w:start w:val="1"/>
    </w:lvl>
  </w:abstractNum>
  <w:abstractNum w:abstractNumId="9">
    <w:nsid w:val="1190CDE7"/>
    <w:multiLevelType w:val="hybridMultilevel"/>
    <w:lvl w:ilvl="0">
      <w:lvlJc w:val="left"/>
      <w:lvlText w:val="(%1)"/>
      <w:numFmt w:val="lowerLetter"/>
      <w:start w:val="1"/>
    </w:lvl>
  </w:abstractNum>
  <w:abstractNum w:abstractNumId="10">
    <w:nsid w:val="66EF438D"/>
    <w:multiLevelType w:val="hybridMultilevel"/>
    <w:lvl w:ilvl="0">
      <w:lvlJc w:val="left"/>
      <w:lvlText w:val="(%1)"/>
      <w:numFmt w:val="lowerLetter"/>
      <w:start w:val="1"/>
    </w:lvl>
  </w:abstractNum>
  <w:abstractNum w:abstractNumId="11">
    <w:nsid w:val="140E0F76"/>
    <w:multiLevelType w:val="hybridMultilevel"/>
    <w:lvl w:ilvl="0">
      <w:lvlJc w:val="left"/>
      <w:lvlText w:val="(%1)"/>
      <w:numFmt w:val="lowerRoman"/>
      <w:start w:val="1"/>
    </w:lvl>
  </w:abstractNum>
  <w:abstractNum w:abstractNumId="12">
    <w:nsid w:val="3352255A"/>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2019-12-10T07:39:58Z</dcterms:created>
  <dcterms:modified xsi:type="dcterms:W3CDTF">2019-12-10T07:39:58Z</dcterms:modified>
</cp:coreProperties>
</file>