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May 11, 2010</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522" w:right="359" w:bottom="1440" w:gutter="0" w:footer="0" w:header="0"/>
        </w:sectPr>
      </w:pPr>
    </w:p>
    <w:p>
      <w:pPr>
        <w:spacing w:after="0" w:line="209" w:lineRule="exact"/>
        <w:rPr>
          <w:sz w:val="24"/>
          <w:szCs w:val="24"/>
          <w:color w:val="auto"/>
        </w:rPr>
      </w:pPr>
    </w:p>
    <w:p>
      <w:pPr>
        <w:jc w:val="center"/>
        <w:ind w:right="14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14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720"/>
        <w:spacing w:after="0"/>
        <w:rPr>
          <w:sz w:val="20"/>
          <w:szCs w:val="20"/>
          <w:color w:val="auto"/>
        </w:rPr>
      </w:pPr>
      <w:r>
        <w:rPr>
          <w:rFonts w:ascii="Arial" w:cs="Arial" w:eastAsia="Arial" w:hAnsi="Arial"/>
          <w:sz w:val="18"/>
          <w:szCs w:val="18"/>
          <w:color w:val="auto"/>
        </w:rPr>
        <w:t>1-12154</w:t>
      </w:r>
    </w:p>
    <w:p>
      <w:pPr>
        <w:spacing w:after="0" w:line="23" w:lineRule="exact"/>
        <w:rPr>
          <w:sz w:val="24"/>
          <w:szCs w:val="24"/>
          <w:color w:val="auto"/>
        </w:rPr>
      </w:pPr>
    </w:p>
    <w:p>
      <w:pPr>
        <w:jc w:val="center"/>
        <w:ind w:right="72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73-1309529</w:t>
      </w:r>
    </w:p>
    <w:p>
      <w:pPr>
        <w:spacing w:after="0" w:line="23" w:lineRule="exact"/>
        <w:rPr>
          <w:sz w:val="24"/>
          <w:szCs w:val="24"/>
          <w:color w:val="auto"/>
        </w:rPr>
      </w:pPr>
    </w:p>
    <w:p>
      <w:pPr>
        <w:jc w:val="center"/>
        <w:ind w:right="48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940" w:space="720"/>
            <w:col w:w="2820" w:space="720"/>
            <w:col w:w="3100"/>
          </w:cols>
          <w:pgMar w:left="240" w:top="522" w:right="359" w:bottom="1440" w:gutter="0" w:footer="0" w:header="0"/>
          <w:type w:val="continuous"/>
        </w:sectPr>
      </w:pPr>
    </w:p>
    <w:p>
      <w:pPr>
        <w:spacing w:after="0" w:line="34" w:lineRule="exact"/>
        <w:rPr>
          <w:sz w:val="24"/>
          <w:szCs w:val="24"/>
          <w:color w:val="auto"/>
        </w:rPr>
      </w:pPr>
    </w:p>
    <w:p>
      <w:pPr>
        <w:jc w:val="center"/>
        <w:ind w:right="3860"/>
        <w:spacing w:after="0"/>
        <w:rPr>
          <w:sz w:val="20"/>
          <w:szCs w:val="20"/>
          <w:color w:val="auto"/>
        </w:rPr>
      </w:pPr>
      <w:r>
        <w:rPr>
          <w:rFonts w:ascii="Arial" w:cs="Arial" w:eastAsia="Arial" w:hAnsi="Arial"/>
          <w:sz w:val="16"/>
          <w:szCs w:val="16"/>
          <w:color w:val="auto"/>
        </w:rPr>
        <w:t>1001 Fannin, Suite 4000 Houston, Texas</w:t>
      </w:r>
    </w:p>
    <w:p>
      <w:pPr>
        <w:spacing w:after="0" w:line="46" w:lineRule="exact"/>
        <w:rPr>
          <w:sz w:val="24"/>
          <w:szCs w:val="24"/>
          <w:color w:val="auto"/>
        </w:rPr>
      </w:pPr>
    </w:p>
    <w:p>
      <w:pPr>
        <w:jc w:val="center"/>
        <w:ind w:right="3860"/>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jc w:val="center"/>
        <w:ind w:right="1600"/>
        <w:spacing w:after="0"/>
        <w:rPr>
          <w:sz w:val="20"/>
          <w:szCs w:val="20"/>
          <w:color w:val="auto"/>
        </w:rPr>
      </w:pPr>
      <w:r>
        <w:rPr>
          <w:rFonts w:ascii="Arial" w:cs="Arial" w:eastAsia="Arial" w:hAnsi="Arial"/>
          <w:sz w:val="18"/>
          <w:szCs w:val="18"/>
          <w:color w:val="auto"/>
        </w:rPr>
        <w:t>77002</w:t>
      </w:r>
    </w:p>
    <w:p>
      <w:pPr>
        <w:spacing w:after="0" w:line="23" w:lineRule="exact"/>
        <w:rPr>
          <w:sz w:val="24"/>
          <w:szCs w:val="24"/>
          <w:color w:val="auto"/>
        </w:rPr>
      </w:pPr>
    </w:p>
    <w:p>
      <w:pPr>
        <w:jc w:val="center"/>
        <w:ind w:right="160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8140" w:space="720"/>
            <w:col w:w="2440"/>
          </w:cols>
          <w:pgMar w:left="240" w:top="522" w:right="359" w:bottom="1440" w:gutter="0" w:footer="0" w:header="0"/>
          <w:type w:val="continuous"/>
        </w:sectPr>
      </w:pPr>
    </w:p>
    <w:p>
      <w:pPr>
        <w:spacing w:after="0" w:line="3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197485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5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121" w:lineRule="exact"/>
        <w:rPr>
          <w:sz w:val="20"/>
          <w:szCs w:val="20"/>
          <w:color w:val="auto"/>
        </w:rPr>
      </w:pPr>
    </w:p>
    <w:p>
      <w:pPr>
        <w:ind w:right="260" w:firstLine="222"/>
        <w:spacing w:after="0" w:line="272" w:lineRule="auto"/>
        <w:rPr>
          <w:sz w:val="20"/>
          <w:szCs w:val="20"/>
          <w:color w:val="auto"/>
        </w:rPr>
      </w:pPr>
      <w:r>
        <w:rPr>
          <w:rFonts w:ascii="Arial" w:cs="Arial" w:eastAsia="Arial" w:hAnsi="Arial"/>
          <w:sz w:val="17"/>
          <w:szCs w:val="17"/>
          <w:color w:val="auto"/>
        </w:rPr>
        <w:t>The Company’s Annual Meeting of Stockholders was held on May 11, 2010 (i) to elect eight members of the Board of Directors to serve for one-year terms, (ii) to ratify Ernst &amp; Young LLP as the Company’s independent registered public accounting firm for the year 2010, (iii) to vote on the Company’s proposal to amend the Company’s Certificate of Incorporation to eliminate any supermajority stockholder voting provisions, (iv) to vote on a stockholder proposal relating to disclosure of political contributions, and (v) to vote on a stockholder proposal relating to the right of stockholders to call special stockholder meetings. As of March 15, 2010, the record date for the Annual Meeting, there were 484,458,162 shares of common stock outstanding and entitled to vote. At the Annual Meeting, 428,773,425 shares of common stock were represented in person or by proxy, constituting a quorum. The certified results of the matters voted on at the Annual Meeting are set forth below.</w:t>
      </w:r>
    </w:p>
    <w:p>
      <w:pPr>
        <w:spacing w:after="0" w:line="70" w:lineRule="exact"/>
        <w:rPr>
          <w:sz w:val="20"/>
          <w:szCs w:val="20"/>
          <w:color w:val="auto"/>
        </w:rPr>
      </w:pPr>
    </w:p>
    <w:p>
      <w:pPr>
        <w:ind w:left="660" w:hanging="43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directors were elected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Names</w:t>
            </w:r>
          </w:p>
        </w:tc>
        <w:tc>
          <w:tcPr>
            <w:tcW w:w="4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400" w:type="dxa"/>
            <w:vAlign w:val="bottom"/>
          </w:tcPr>
          <w:p>
            <w:pPr>
              <w:spacing w:after="0"/>
              <w:rPr>
                <w:sz w:val="14"/>
                <w:szCs w:val="14"/>
                <w:color w:val="auto"/>
              </w:rPr>
            </w:pPr>
          </w:p>
        </w:tc>
        <w:tc>
          <w:tcPr>
            <w:tcW w:w="1300" w:type="dxa"/>
            <w:vAlign w:val="bottom"/>
          </w:tcPr>
          <w:p>
            <w:pPr>
              <w:jc w:val="right"/>
              <w:ind w:right="242"/>
              <w:spacing w:after="0"/>
              <w:rPr>
                <w:sz w:val="20"/>
                <w:szCs w:val="20"/>
                <w:color w:val="auto"/>
              </w:rPr>
            </w:pPr>
            <w:r>
              <w:rPr>
                <w:rFonts w:ascii="Arial" w:cs="Arial" w:eastAsia="Arial" w:hAnsi="Arial"/>
                <w:sz w:val="14"/>
                <w:szCs w:val="14"/>
                <w:b w:val="1"/>
                <w:bCs w:val="1"/>
                <w:color w:val="auto"/>
              </w:rPr>
              <w:t>Number of</w:t>
            </w:r>
          </w:p>
        </w:tc>
        <w:tc>
          <w:tcPr>
            <w:tcW w:w="38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Abstentions</w:t>
            </w:r>
          </w:p>
        </w:tc>
        <w:tc>
          <w:tcPr>
            <w:tcW w:w="3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7"/>
              </w:rPr>
              <w:t>Broker</w:t>
            </w:r>
          </w:p>
        </w:tc>
        <w:tc>
          <w:tcPr>
            <w:tcW w:w="0" w:type="dxa"/>
            <w:vAlign w:val="bottom"/>
          </w:tcPr>
          <w:p>
            <w:pPr>
              <w:spacing w:after="0"/>
              <w:rPr>
                <w:sz w:val="1"/>
                <w:szCs w:val="1"/>
                <w:color w:val="auto"/>
              </w:rPr>
            </w:pPr>
          </w:p>
        </w:tc>
      </w:tr>
      <w:tr>
        <w:trPr>
          <w:trHeight w:val="171"/>
        </w:trPr>
        <w:tc>
          <w:tcPr>
            <w:tcW w:w="41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5"/>
              </w:rPr>
              <w:t>Affirmative Votes</w:t>
            </w:r>
          </w:p>
        </w:tc>
        <w:tc>
          <w:tcPr>
            <w:tcW w:w="400" w:type="dxa"/>
            <w:vAlign w:val="bottom"/>
          </w:tcPr>
          <w:p>
            <w:pPr>
              <w:spacing w:after="0"/>
              <w:rPr>
                <w:sz w:val="14"/>
                <w:szCs w:val="14"/>
                <w:color w:val="auto"/>
              </w:rPr>
            </w:pPr>
          </w:p>
        </w:tc>
        <w:tc>
          <w:tcPr>
            <w:tcW w:w="1300" w:type="dxa"/>
            <w:vAlign w:val="bottom"/>
          </w:tcPr>
          <w:p>
            <w:pPr>
              <w:jc w:val="right"/>
              <w:ind w:right="122"/>
              <w:spacing w:after="0"/>
              <w:rPr>
                <w:sz w:val="20"/>
                <w:szCs w:val="20"/>
                <w:color w:val="auto"/>
              </w:rPr>
            </w:pPr>
            <w:r>
              <w:rPr>
                <w:rFonts w:ascii="Arial" w:cs="Arial" w:eastAsia="Arial" w:hAnsi="Arial"/>
                <w:sz w:val="14"/>
                <w:szCs w:val="14"/>
                <w:b w:val="1"/>
                <w:bCs w:val="1"/>
                <w:color w:val="auto"/>
              </w:rPr>
              <w:t>Negative Votes</w:t>
            </w:r>
          </w:p>
        </w:tc>
        <w:tc>
          <w:tcPr>
            <w:tcW w:w="3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8"/>
              </w:rPr>
              <w:t>Non-Votes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Pastora San Juan Cafferty</w:t>
            </w:r>
          </w:p>
        </w:tc>
        <w:tc>
          <w:tcPr>
            <w:tcW w:w="400" w:type="dxa"/>
            <w:vAlign w:val="bottom"/>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375,279,852</w:t>
            </w:r>
          </w:p>
        </w:tc>
        <w:tc>
          <w:tcPr>
            <w:tcW w:w="400" w:type="dxa"/>
            <w:vAlign w:val="bottom"/>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82"/>
              <w:spacing w:after="0"/>
              <w:rPr>
                <w:sz w:val="20"/>
                <w:szCs w:val="20"/>
                <w:color w:val="auto"/>
              </w:rPr>
            </w:pPr>
            <w:r>
              <w:rPr>
                <w:rFonts w:ascii="Arial" w:cs="Arial" w:eastAsia="Arial" w:hAnsi="Arial"/>
                <w:sz w:val="18"/>
                <w:szCs w:val="18"/>
                <w:color w:val="auto"/>
              </w:rPr>
              <w:t>6,150,215</w:t>
            </w:r>
          </w:p>
        </w:tc>
        <w:tc>
          <w:tcPr>
            <w:tcW w:w="38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420,296</w:t>
            </w:r>
          </w:p>
        </w:tc>
        <w:tc>
          <w:tcPr>
            <w:tcW w:w="380" w:type="dxa"/>
            <w:vAlign w:val="bottom"/>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46,923,062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Frank M. Clark, Jr.</w:t>
            </w:r>
          </w:p>
        </w:tc>
        <w:tc>
          <w:tcPr>
            <w:tcW w:w="2220" w:type="dxa"/>
            <w:vAlign w:val="bottom"/>
            <w:gridSpan w:val="2"/>
          </w:tcPr>
          <w:p>
            <w:pPr>
              <w:jc w:val="center"/>
              <w:ind w:left="310"/>
              <w:spacing w:after="0"/>
              <w:rPr>
                <w:sz w:val="20"/>
                <w:szCs w:val="20"/>
                <w:color w:val="auto"/>
              </w:rPr>
            </w:pPr>
            <w:r>
              <w:rPr>
                <w:rFonts w:ascii="Arial" w:cs="Arial" w:eastAsia="Arial" w:hAnsi="Arial"/>
                <w:sz w:val="18"/>
                <w:szCs w:val="18"/>
                <w:color w:val="auto"/>
                <w:w w:val="89"/>
              </w:rPr>
              <w:t>379,595,073</w:t>
            </w:r>
          </w:p>
        </w:tc>
        <w:tc>
          <w:tcPr>
            <w:tcW w:w="1700" w:type="dxa"/>
            <w:vAlign w:val="bottom"/>
            <w:gridSpan w:val="2"/>
          </w:tcPr>
          <w:p>
            <w:pPr>
              <w:jc w:val="right"/>
              <w:ind w:right="182"/>
              <w:spacing w:after="0"/>
              <w:rPr>
                <w:sz w:val="20"/>
                <w:szCs w:val="20"/>
                <w:color w:val="auto"/>
              </w:rPr>
            </w:pPr>
            <w:r>
              <w:rPr>
                <w:rFonts w:ascii="Arial" w:cs="Arial" w:eastAsia="Arial" w:hAnsi="Arial"/>
                <w:sz w:val="18"/>
                <w:szCs w:val="18"/>
                <w:color w:val="auto"/>
              </w:rPr>
              <w:t>1,728,443</w:t>
            </w:r>
          </w:p>
        </w:tc>
        <w:tc>
          <w:tcPr>
            <w:tcW w:w="1660" w:type="dxa"/>
            <w:vAlign w:val="bottom"/>
            <w:gridSpan w:val="2"/>
          </w:tcPr>
          <w:p>
            <w:pPr>
              <w:jc w:val="center"/>
              <w:ind w:left="290"/>
              <w:spacing w:after="0"/>
              <w:rPr>
                <w:sz w:val="20"/>
                <w:szCs w:val="20"/>
                <w:color w:val="auto"/>
              </w:rPr>
            </w:pPr>
            <w:r>
              <w:rPr>
                <w:rFonts w:ascii="Arial" w:cs="Arial" w:eastAsia="Arial" w:hAnsi="Arial"/>
                <w:sz w:val="18"/>
                <w:szCs w:val="18"/>
                <w:color w:val="auto"/>
                <w:w w:val="92"/>
              </w:rPr>
              <w:t>526,847</w:t>
            </w:r>
          </w:p>
        </w:tc>
        <w:tc>
          <w:tcPr>
            <w:tcW w:w="168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46,923,062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Patrick W. Gross</w:t>
            </w:r>
          </w:p>
        </w:tc>
        <w:tc>
          <w:tcPr>
            <w:tcW w:w="222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89"/>
              </w:rPr>
              <w:t>355,305,298</w:t>
            </w:r>
          </w:p>
        </w:tc>
        <w:tc>
          <w:tcPr>
            <w:tcW w:w="170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color w:val="auto"/>
              </w:rPr>
              <w:t>26,125,085</w:t>
            </w:r>
          </w:p>
        </w:tc>
        <w:tc>
          <w:tcPr>
            <w:tcW w:w="166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2"/>
              </w:rPr>
              <w:t>419,980</w:t>
            </w:r>
          </w:p>
        </w:tc>
        <w:tc>
          <w:tcPr>
            <w:tcW w:w="168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0"/>
              </w:rPr>
              <w:t>46,923,062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John C. Pope</w:t>
            </w:r>
          </w:p>
        </w:tc>
        <w:tc>
          <w:tcPr>
            <w:tcW w:w="2220" w:type="dxa"/>
            <w:vAlign w:val="bottom"/>
            <w:gridSpan w:val="2"/>
          </w:tcPr>
          <w:p>
            <w:pPr>
              <w:jc w:val="center"/>
              <w:ind w:left="310"/>
              <w:spacing w:after="0"/>
              <w:rPr>
                <w:sz w:val="20"/>
                <w:szCs w:val="20"/>
                <w:color w:val="auto"/>
              </w:rPr>
            </w:pPr>
            <w:r>
              <w:rPr>
                <w:rFonts w:ascii="Arial" w:cs="Arial" w:eastAsia="Arial" w:hAnsi="Arial"/>
                <w:sz w:val="18"/>
                <w:szCs w:val="18"/>
                <w:color w:val="auto"/>
                <w:w w:val="89"/>
              </w:rPr>
              <w:t>372,317,639</w:t>
            </w:r>
          </w:p>
        </w:tc>
        <w:tc>
          <w:tcPr>
            <w:tcW w:w="1700" w:type="dxa"/>
            <w:vAlign w:val="bottom"/>
            <w:gridSpan w:val="2"/>
          </w:tcPr>
          <w:p>
            <w:pPr>
              <w:jc w:val="right"/>
              <w:ind w:right="182"/>
              <w:spacing w:after="0"/>
              <w:rPr>
                <w:sz w:val="20"/>
                <w:szCs w:val="20"/>
                <w:color w:val="auto"/>
              </w:rPr>
            </w:pPr>
            <w:r>
              <w:rPr>
                <w:rFonts w:ascii="Arial" w:cs="Arial" w:eastAsia="Arial" w:hAnsi="Arial"/>
                <w:sz w:val="18"/>
                <w:szCs w:val="18"/>
                <w:color w:val="auto"/>
              </w:rPr>
              <w:t>9,121,055</w:t>
            </w:r>
          </w:p>
        </w:tc>
        <w:tc>
          <w:tcPr>
            <w:tcW w:w="1660" w:type="dxa"/>
            <w:vAlign w:val="bottom"/>
            <w:gridSpan w:val="2"/>
          </w:tcPr>
          <w:p>
            <w:pPr>
              <w:jc w:val="center"/>
              <w:ind w:left="310"/>
              <w:spacing w:after="0"/>
              <w:rPr>
                <w:sz w:val="20"/>
                <w:szCs w:val="20"/>
                <w:color w:val="auto"/>
              </w:rPr>
            </w:pPr>
            <w:r>
              <w:rPr>
                <w:rFonts w:ascii="Arial" w:cs="Arial" w:eastAsia="Arial" w:hAnsi="Arial"/>
                <w:sz w:val="18"/>
                <w:szCs w:val="18"/>
                <w:color w:val="auto"/>
                <w:w w:val="89"/>
              </w:rPr>
              <w:t>411,669</w:t>
            </w:r>
          </w:p>
        </w:tc>
        <w:tc>
          <w:tcPr>
            <w:tcW w:w="168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46,923,062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W. Robert Reum</w:t>
            </w:r>
          </w:p>
        </w:tc>
        <w:tc>
          <w:tcPr>
            <w:tcW w:w="222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89"/>
              </w:rPr>
              <w:t>379,594,705</w:t>
            </w:r>
          </w:p>
        </w:tc>
        <w:tc>
          <w:tcPr>
            <w:tcW w:w="170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color w:val="auto"/>
              </w:rPr>
              <w:t>1,723,046</w:t>
            </w:r>
          </w:p>
        </w:tc>
        <w:tc>
          <w:tcPr>
            <w:tcW w:w="166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2"/>
              </w:rPr>
              <w:t>532,612</w:t>
            </w:r>
          </w:p>
        </w:tc>
        <w:tc>
          <w:tcPr>
            <w:tcW w:w="168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0"/>
              </w:rPr>
              <w:t>46,923,062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Steven G. Rothmeier</w:t>
            </w:r>
          </w:p>
        </w:tc>
        <w:tc>
          <w:tcPr>
            <w:tcW w:w="2220" w:type="dxa"/>
            <w:vAlign w:val="bottom"/>
            <w:gridSpan w:val="2"/>
          </w:tcPr>
          <w:p>
            <w:pPr>
              <w:jc w:val="center"/>
              <w:ind w:left="330"/>
              <w:spacing w:after="0"/>
              <w:rPr>
                <w:sz w:val="20"/>
                <w:szCs w:val="20"/>
                <w:color w:val="auto"/>
              </w:rPr>
            </w:pPr>
            <w:r>
              <w:rPr>
                <w:rFonts w:ascii="Arial" w:cs="Arial" w:eastAsia="Arial" w:hAnsi="Arial"/>
                <w:sz w:val="18"/>
                <w:szCs w:val="18"/>
                <w:color w:val="auto"/>
                <w:w w:val="87"/>
              </w:rPr>
              <w:t>375,112,460</w:t>
            </w:r>
          </w:p>
        </w:tc>
        <w:tc>
          <w:tcPr>
            <w:tcW w:w="1700" w:type="dxa"/>
            <w:vAlign w:val="bottom"/>
            <w:gridSpan w:val="2"/>
          </w:tcPr>
          <w:p>
            <w:pPr>
              <w:jc w:val="right"/>
              <w:ind w:right="182"/>
              <w:spacing w:after="0"/>
              <w:rPr>
                <w:sz w:val="20"/>
                <w:szCs w:val="20"/>
                <w:color w:val="auto"/>
              </w:rPr>
            </w:pPr>
            <w:r>
              <w:rPr>
                <w:rFonts w:ascii="Arial" w:cs="Arial" w:eastAsia="Arial" w:hAnsi="Arial"/>
                <w:sz w:val="18"/>
                <w:szCs w:val="18"/>
                <w:color w:val="auto"/>
              </w:rPr>
              <w:t>6,323,965</w:t>
            </w:r>
          </w:p>
        </w:tc>
        <w:tc>
          <w:tcPr>
            <w:tcW w:w="1660" w:type="dxa"/>
            <w:vAlign w:val="bottom"/>
            <w:gridSpan w:val="2"/>
          </w:tcPr>
          <w:p>
            <w:pPr>
              <w:jc w:val="center"/>
              <w:ind w:left="290"/>
              <w:spacing w:after="0"/>
              <w:rPr>
                <w:sz w:val="20"/>
                <w:szCs w:val="20"/>
                <w:color w:val="auto"/>
              </w:rPr>
            </w:pPr>
            <w:r>
              <w:rPr>
                <w:rFonts w:ascii="Arial" w:cs="Arial" w:eastAsia="Arial" w:hAnsi="Arial"/>
                <w:sz w:val="18"/>
                <w:szCs w:val="18"/>
                <w:color w:val="auto"/>
                <w:w w:val="92"/>
              </w:rPr>
              <w:t>413,938</w:t>
            </w:r>
          </w:p>
        </w:tc>
        <w:tc>
          <w:tcPr>
            <w:tcW w:w="168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46,923,062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David P. Steiner</w:t>
            </w:r>
          </w:p>
        </w:tc>
        <w:tc>
          <w:tcPr>
            <w:tcW w:w="222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89"/>
              </w:rPr>
              <w:t>372,746,693</w:t>
            </w:r>
          </w:p>
        </w:tc>
        <w:tc>
          <w:tcPr>
            <w:tcW w:w="170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color w:val="auto"/>
              </w:rPr>
              <w:t>8,583,359</w:t>
            </w:r>
          </w:p>
        </w:tc>
        <w:tc>
          <w:tcPr>
            <w:tcW w:w="166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89"/>
              </w:rPr>
              <w:t>520,311</w:t>
            </w:r>
          </w:p>
        </w:tc>
        <w:tc>
          <w:tcPr>
            <w:tcW w:w="168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0"/>
              </w:rPr>
              <w:t>46,923,062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Thomas H. Weidemeyer</w:t>
            </w:r>
          </w:p>
        </w:tc>
        <w:tc>
          <w:tcPr>
            <w:tcW w:w="2220" w:type="dxa"/>
            <w:vAlign w:val="bottom"/>
            <w:gridSpan w:val="2"/>
          </w:tcPr>
          <w:p>
            <w:pPr>
              <w:jc w:val="center"/>
              <w:ind w:left="310"/>
              <w:spacing w:after="0"/>
              <w:rPr>
                <w:sz w:val="20"/>
                <w:szCs w:val="20"/>
                <w:color w:val="auto"/>
              </w:rPr>
            </w:pPr>
            <w:r>
              <w:rPr>
                <w:rFonts w:ascii="Arial" w:cs="Arial" w:eastAsia="Arial" w:hAnsi="Arial"/>
                <w:sz w:val="18"/>
                <w:szCs w:val="18"/>
                <w:color w:val="auto"/>
                <w:w w:val="89"/>
              </w:rPr>
              <w:t>379,329,586</w:t>
            </w:r>
          </w:p>
        </w:tc>
        <w:tc>
          <w:tcPr>
            <w:tcW w:w="1700" w:type="dxa"/>
            <w:vAlign w:val="bottom"/>
            <w:gridSpan w:val="2"/>
          </w:tcPr>
          <w:p>
            <w:pPr>
              <w:jc w:val="right"/>
              <w:ind w:right="182"/>
              <w:spacing w:after="0"/>
              <w:rPr>
                <w:sz w:val="20"/>
                <w:szCs w:val="20"/>
                <w:color w:val="auto"/>
              </w:rPr>
            </w:pPr>
            <w:r>
              <w:rPr>
                <w:rFonts w:ascii="Arial" w:cs="Arial" w:eastAsia="Arial" w:hAnsi="Arial"/>
                <w:sz w:val="18"/>
                <w:szCs w:val="18"/>
                <w:color w:val="auto"/>
              </w:rPr>
              <w:t>1,992,514</w:t>
            </w:r>
          </w:p>
        </w:tc>
        <w:tc>
          <w:tcPr>
            <w:tcW w:w="1660" w:type="dxa"/>
            <w:vAlign w:val="bottom"/>
            <w:gridSpan w:val="2"/>
          </w:tcPr>
          <w:p>
            <w:pPr>
              <w:jc w:val="center"/>
              <w:ind w:left="290"/>
              <w:spacing w:after="0"/>
              <w:rPr>
                <w:sz w:val="20"/>
                <w:szCs w:val="20"/>
                <w:color w:val="auto"/>
              </w:rPr>
            </w:pPr>
            <w:r>
              <w:rPr>
                <w:rFonts w:ascii="Arial" w:cs="Arial" w:eastAsia="Arial" w:hAnsi="Arial"/>
                <w:sz w:val="18"/>
                <w:szCs w:val="18"/>
                <w:color w:val="auto"/>
                <w:w w:val="92"/>
              </w:rPr>
              <w:t>528,263</w:t>
            </w:r>
          </w:p>
        </w:tc>
        <w:tc>
          <w:tcPr>
            <w:tcW w:w="168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46,923,062</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left="660" w:right="60" w:hanging="436"/>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selection of Ernst &amp; Young LLP was ratified by stockholders. The number of affirmative votes, the number of negative votes and the number of abstentions with respect to the ratification of Ernst &amp; Young LLP as the Company’s independent registered public accounting firm for 2010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Number of Affirmative Votes</w:t>
            </w:r>
          </w:p>
        </w:tc>
        <w:tc>
          <w:tcPr>
            <w:tcW w:w="580" w:type="dxa"/>
            <w:vAlign w:val="bottom"/>
          </w:tcPr>
          <w:p>
            <w:pPr>
              <w:spacing w:after="0"/>
              <w:rPr>
                <w:sz w:val="14"/>
                <w:szCs w:val="1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Number of Negative Votes</w:t>
            </w:r>
          </w:p>
        </w:tc>
        <w:tc>
          <w:tcPr>
            <w:tcW w:w="560" w:type="dxa"/>
            <w:vAlign w:val="bottom"/>
          </w:tcPr>
          <w:p>
            <w:pPr>
              <w:spacing w:after="0"/>
              <w:rPr>
                <w:sz w:val="14"/>
                <w:szCs w:val="1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Abstentions</w:t>
            </w:r>
          </w:p>
        </w:tc>
      </w:tr>
      <w:tr>
        <w:trPr>
          <w:trHeight w:val="224"/>
        </w:trPr>
        <w:tc>
          <w:tcPr>
            <w:tcW w:w="3440" w:type="dxa"/>
            <w:vAlign w:val="bottom"/>
          </w:tcPr>
          <w:p>
            <w:pPr>
              <w:jc w:val="right"/>
              <w:ind w:right="1199"/>
              <w:spacing w:after="0"/>
              <w:rPr>
                <w:sz w:val="20"/>
                <w:szCs w:val="20"/>
                <w:color w:val="auto"/>
              </w:rPr>
            </w:pPr>
            <w:r>
              <w:rPr>
                <w:rFonts w:ascii="Arial" w:cs="Arial" w:eastAsia="Arial" w:hAnsi="Arial"/>
                <w:sz w:val="18"/>
                <w:szCs w:val="18"/>
                <w:color w:val="auto"/>
              </w:rPr>
              <w:t>424,804,811</w:t>
            </w:r>
          </w:p>
        </w:tc>
        <w:tc>
          <w:tcPr>
            <w:tcW w:w="580" w:type="dxa"/>
            <w:vAlign w:val="bottom"/>
          </w:tcPr>
          <w:p>
            <w:pPr>
              <w:spacing w:after="0"/>
              <w:rPr>
                <w:sz w:val="19"/>
                <w:szCs w:val="19"/>
                <w:color w:val="auto"/>
              </w:rPr>
            </w:pPr>
          </w:p>
        </w:tc>
        <w:tc>
          <w:tcPr>
            <w:tcW w:w="3420" w:type="dxa"/>
            <w:vAlign w:val="bottom"/>
          </w:tcPr>
          <w:p>
            <w:pPr>
              <w:jc w:val="right"/>
              <w:ind w:right="1279"/>
              <w:spacing w:after="0"/>
              <w:rPr>
                <w:sz w:val="20"/>
                <w:szCs w:val="20"/>
                <w:color w:val="auto"/>
              </w:rPr>
            </w:pPr>
            <w:r>
              <w:rPr>
                <w:rFonts w:ascii="Arial" w:cs="Arial" w:eastAsia="Arial" w:hAnsi="Arial"/>
                <w:sz w:val="18"/>
                <w:szCs w:val="18"/>
                <w:color w:val="auto"/>
              </w:rPr>
              <w:t>3,335,364</w:t>
            </w:r>
          </w:p>
        </w:tc>
        <w:tc>
          <w:tcPr>
            <w:tcW w:w="560" w:type="dxa"/>
            <w:vAlign w:val="bottom"/>
          </w:tcPr>
          <w:p>
            <w:pPr>
              <w:spacing w:after="0"/>
              <w:rPr>
                <w:sz w:val="19"/>
                <w:szCs w:val="19"/>
                <w:color w:val="auto"/>
              </w:rPr>
            </w:pPr>
          </w:p>
        </w:tc>
        <w:tc>
          <w:tcPr>
            <w:tcW w:w="3420" w:type="dxa"/>
            <w:vAlign w:val="bottom"/>
          </w:tcPr>
          <w:p>
            <w:pPr>
              <w:jc w:val="right"/>
              <w:ind w:right="1339"/>
              <w:spacing w:after="0"/>
              <w:rPr>
                <w:sz w:val="20"/>
                <w:szCs w:val="20"/>
                <w:color w:val="auto"/>
              </w:rPr>
            </w:pPr>
            <w:r>
              <w:rPr>
                <w:rFonts w:ascii="Arial" w:cs="Arial" w:eastAsia="Arial" w:hAnsi="Arial"/>
                <w:sz w:val="18"/>
                <w:szCs w:val="18"/>
                <w:color w:val="auto"/>
              </w:rPr>
              <w:t>633,250</w:t>
            </w:r>
          </w:p>
        </w:tc>
      </w:tr>
    </w:tbl>
    <w:p>
      <w:pPr>
        <w:spacing w:after="0" w:line="93" w:lineRule="exact"/>
        <w:rPr>
          <w:sz w:val="20"/>
          <w:szCs w:val="20"/>
          <w:color w:val="auto"/>
        </w:rPr>
      </w:pPr>
    </w:p>
    <w:p>
      <w:pPr>
        <w:ind w:left="660" w:right="280" w:hanging="436"/>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proposal to amend the Company’s Certificate of Incorporation to eliminate supermajority stockholder voting was approved by stockholders. The number of affirmative votes, the number of negative votes, the number of abstentions and the number of broker non-votes with respect to the Company’s proposal to amend the Company’s Certificate of Incorporation to eliminate any supermajority stockholder voting provisions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580" w:type="dxa"/>
            <w:vAlign w:val="bottom"/>
          </w:tcPr>
          <w:p>
            <w:pPr>
              <w:spacing w:after="0"/>
              <w:rPr>
                <w:sz w:val="14"/>
                <w:szCs w:val="14"/>
                <w:color w:val="auto"/>
              </w:rPr>
            </w:pPr>
          </w:p>
        </w:tc>
        <w:tc>
          <w:tcPr>
            <w:tcW w:w="2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 Negative Votes</w:t>
            </w:r>
          </w:p>
        </w:tc>
        <w:tc>
          <w:tcPr>
            <w:tcW w:w="560" w:type="dxa"/>
            <w:vAlign w:val="bottom"/>
          </w:tcPr>
          <w:p>
            <w:pPr>
              <w:spacing w:after="0"/>
              <w:rPr>
                <w:sz w:val="14"/>
                <w:szCs w:val="14"/>
                <w:color w:val="auto"/>
              </w:rPr>
            </w:pPr>
          </w:p>
        </w:tc>
        <w:tc>
          <w:tcPr>
            <w:tcW w:w="2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Abstentions</w:t>
            </w:r>
          </w:p>
        </w:tc>
        <w:tc>
          <w:tcPr>
            <w:tcW w:w="580" w:type="dxa"/>
            <w:vAlign w:val="bottom"/>
          </w:tcPr>
          <w:p>
            <w:pPr>
              <w:spacing w:after="0"/>
              <w:rPr>
                <w:sz w:val="14"/>
                <w:szCs w:val="14"/>
                <w:color w:val="auto"/>
              </w:rPr>
            </w:pPr>
          </w:p>
        </w:tc>
        <w:tc>
          <w:tcPr>
            <w:tcW w:w="2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Broker Non-Votes</w:t>
            </w:r>
          </w:p>
        </w:tc>
        <w:tc>
          <w:tcPr>
            <w:tcW w:w="0" w:type="dxa"/>
            <w:vAlign w:val="bottom"/>
          </w:tcPr>
          <w:p>
            <w:pPr>
              <w:spacing w:after="0"/>
              <w:rPr>
                <w:sz w:val="1"/>
                <w:szCs w:val="1"/>
                <w:color w:val="auto"/>
              </w:rPr>
            </w:pPr>
          </w:p>
        </w:tc>
      </w:tr>
      <w:tr>
        <w:trPr>
          <w:trHeight w:val="171"/>
        </w:trPr>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Affirmative Votes</w:t>
            </w:r>
          </w:p>
        </w:tc>
        <w:tc>
          <w:tcPr>
            <w:tcW w:w="580" w:type="dxa"/>
            <w:vAlign w:val="bottom"/>
          </w:tcPr>
          <w:p>
            <w:pPr>
              <w:spacing w:after="0"/>
              <w:rPr>
                <w:sz w:val="14"/>
                <w:szCs w:val="14"/>
                <w:color w:val="auto"/>
              </w:rPr>
            </w:pPr>
          </w:p>
        </w:tc>
        <w:tc>
          <w:tcPr>
            <w:tcW w:w="2420" w:type="dxa"/>
            <w:vAlign w:val="bottom"/>
            <w:tcBorders>
              <w:bottom w:val="single" w:sz="8" w:color="auto"/>
            </w:tcBorders>
            <w:vMerge w:val="continue"/>
          </w:tcPr>
          <w:p>
            <w:pPr>
              <w:spacing w:after="0"/>
              <w:rPr>
                <w:sz w:val="14"/>
                <w:szCs w:val="14"/>
                <w:color w:val="auto"/>
              </w:rPr>
            </w:pPr>
          </w:p>
        </w:tc>
        <w:tc>
          <w:tcPr>
            <w:tcW w:w="560" w:type="dxa"/>
            <w:vAlign w:val="bottom"/>
          </w:tcPr>
          <w:p>
            <w:pPr>
              <w:spacing w:after="0"/>
              <w:rPr>
                <w:sz w:val="14"/>
                <w:szCs w:val="14"/>
                <w:color w:val="auto"/>
              </w:rPr>
            </w:pPr>
          </w:p>
        </w:tc>
        <w:tc>
          <w:tcPr>
            <w:tcW w:w="2420" w:type="dxa"/>
            <w:vAlign w:val="bottom"/>
            <w:tcBorders>
              <w:bottom w:val="single" w:sz="8" w:color="auto"/>
            </w:tcBorders>
            <w:vMerge w:val="continue"/>
          </w:tcPr>
          <w:p>
            <w:pPr>
              <w:spacing w:after="0"/>
              <w:rPr>
                <w:sz w:val="14"/>
                <w:szCs w:val="14"/>
                <w:color w:val="auto"/>
              </w:rPr>
            </w:pPr>
          </w:p>
        </w:tc>
        <w:tc>
          <w:tcPr>
            <w:tcW w:w="580" w:type="dxa"/>
            <w:vAlign w:val="bottom"/>
          </w:tcPr>
          <w:p>
            <w:pPr>
              <w:spacing w:after="0"/>
              <w:rPr>
                <w:sz w:val="14"/>
                <w:szCs w:val="14"/>
                <w:color w:val="auto"/>
              </w:rPr>
            </w:pPr>
          </w:p>
        </w:tc>
        <w:tc>
          <w:tcPr>
            <w:tcW w:w="24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420" w:type="dxa"/>
            <w:vAlign w:val="bottom"/>
          </w:tcPr>
          <w:p>
            <w:pPr>
              <w:jc w:val="center"/>
              <w:spacing w:after="0"/>
              <w:rPr>
                <w:sz w:val="20"/>
                <w:szCs w:val="20"/>
                <w:color w:val="auto"/>
              </w:rPr>
            </w:pPr>
            <w:r>
              <w:rPr>
                <w:rFonts w:ascii="Arial" w:cs="Arial" w:eastAsia="Arial" w:hAnsi="Arial"/>
                <w:sz w:val="18"/>
                <w:szCs w:val="18"/>
                <w:color w:val="auto"/>
                <w:w w:val="89"/>
              </w:rPr>
              <w:t>425,403,400</w:t>
            </w:r>
          </w:p>
        </w:tc>
        <w:tc>
          <w:tcPr>
            <w:tcW w:w="580" w:type="dxa"/>
            <w:vAlign w:val="bottom"/>
          </w:tcPr>
          <w:p>
            <w:pPr>
              <w:spacing w:after="0"/>
              <w:rPr>
                <w:sz w:val="19"/>
                <w:szCs w:val="19"/>
                <w:color w:val="auto"/>
              </w:rPr>
            </w:pPr>
          </w:p>
        </w:tc>
        <w:tc>
          <w:tcPr>
            <w:tcW w:w="2420" w:type="dxa"/>
            <w:vAlign w:val="bottom"/>
          </w:tcPr>
          <w:p>
            <w:pPr>
              <w:jc w:val="right"/>
              <w:ind w:right="779"/>
              <w:spacing w:after="0"/>
              <w:rPr>
                <w:sz w:val="20"/>
                <w:szCs w:val="20"/>
                <w:color w:val="auto"/>
              </w:rPr>
            </w:pPr>
            <w:r>
              <w:rPr>
                <w:rFonts w:ascii="Arial" w:cs="Arial" w:eastAsia="Arial" w:hAnsi="Arial"/>
                <w:sz w:val="18"/>
                <w:szCs w:val="18"/>
                <w:color w:val="auto"/>
              </w:rPr>
              <w:t>2,434,601</w:t>
            </w:r>
          </w:p>
        </w:tc>
        <w:tc>
          <w:tcPr>
            <w:tcW w:w="560" w:type="dxa"/>
            <w:vAlign w:val="bottom"/>
          </w:tcPr>
          <w:p>
            <w:pPr>
              <w:spacing w:after="0"/>
              <w:rPr>
                <w:sz w:val="19"/>
                <w:szCs w:val="19"/>
                <w:color w:val="auto"/>
              </w:rPr>
            </w:pPr>
          </w:p>
        </w:tc>
        <w:tc>
          <w:tcPr>
            <w:tcW w:w="2420" w:type="dxa"/>
            <w:vAlign w:val="bottom"/>
          </w:tcPr>
          <w:p>
            <w:pPr>
              <w:jc w:val="right"/>
              <w:ind w:right="839"/>
              <w:spacing w:after="0"/>
              <w:rPr>
                <w:sz w:val="20"/>
                <w:szCs w:val="20"/>
                <w:color w:val="auto"/>
              </w:rPr>
            </w:pPr>
            <w:r>
              <w:rPr>
                <w:rFonts w:ascii="Arial" w:cs="Arial" w:eastAsia="Arial" w:hAnsi="Arial"/>
                <w:sz w:val="18"/>
                <w:szCs w:val="18"/>
                <w:color w:val="auto"/>
              </w:rPr>
              <w:t>935,424</w:t>
            </w:r>
          </w:p>
        </w:tc>
        <w:tc>
          <w:tcPr>
            <w:tcW w:w="580" w:type="dxa"/>
            <w:vAlign w:val="bottom"/>
          </w:tcPr>
          <w:p>
            <w:pPr>
              <w:spacing w:after="0"/>
              <w:rPr>
                <w:sz w:val="19"/>
                <w:szCs w:val="19"/>
                <w:color w:val="auto"/>
              </w:rPr>
            </w:pPr>
          </w:p>
        </w:tc>
        <w:tc>
          <w:tcPr>
            <w:tcW w:w="2440" w:type="dxa"/>
            <w:vAlign w:val="bottom"/>
          </w:tcPr>
          <w:p>
            <w:pPr>
              <w:jc w:val="right"/>
              <w:ind w:right="1099"/>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00" w:right="620"/>
        <w:spacing w:after="0" w:line="342" w:lineRule="auto"/>
        <w:rPr>
          <w:sz w:val="20"/>
          <w:szCs w:val="20"/>
          <w:color w:val="auto"/>
        </w:rPr>
      </w:pPr>
      <w:r>
        <w:rPr>
          <w:rFonts w:ascii="Arial" w:cs="Arial" w:eastAsia="Arial" w:hAnsi="Arial"/>
          <w:sz w:val="16"/>
          <w:szCs w:val="16"/>
          <w:color w:val="auto"/>
        </w:rPr>
        <w:t>As set forth in the Company’s Proxy Statement for the Annual Meeting of Stockholders, upon approval of the amendment to the Company’s Certificate of Incorporation by stockholders, the Board of Directors approved an amendment to Section 3.3 of the Company’s Bylaws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 w:name="page3"/>
    <w:bookmarkEnd w:id="2"/>
    <w:p>
      <w:pPr>
        <w:ind w:left="700" w:right="760"/>
        <w:spacing w:after="0" w:line="277" w:lineRule="auto"/>
        <w:rPr>
          <w:sz w:val="20"/>
          <w:szCs w:val="20"/>
          <w:color w:val="auto"/>
        </w:rPr>
      </w:pPr>
      <w:r>
        <w:rPr>
          <w:rFonts w:ascii="Arial" w:cs="Arial" w:eastAsia="Arial" w:hAnsi="Arial"/>
          <w:sz w:val="18"/>
          <w:szCs w:val="18"/>
          <w:color w:val="auto"/>
        </w:rPr>
        <w:t>provide that only a majority of the outstanding shares of capital stock of the Company entitled to vote generally in the election of directors (considered as a single class) is required to remove directors.</w:t>
      </w:r>
    </w:p>
    <w:p>
      <w:pPr>
        <w:spacing w:after="0" w:line="62" w:lineRule="exact"/>
        <w:rPr>
          <w:sz w:val="20"/>
          <w:szCs w:val="20"/>
          <w:color w:val="auto"/>
        </w:rPr>
      </w:pPr>
    </w:p>
    <w:p>
      <w:pPr>
        <w:ind w:left="660" w:right="120" w:hanging="436"/>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stockholder’s proposal with respect to disclosure of political contributions was not approved by stockholders. The number of affirmative votes, the number of negative votes, the number of abstentions and the number of broker non-votes with respect to the stockholder proposal relating to disclosure of political contributions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580" w:type="dxa"/>
            <w:vAlign w:val="bottom"/>
          </w:tcPr>
          <w:p>
            <w:pPr>
              <w:spacing w:after="0"/>
              <w:rPr>
                <w:sz w:val="14"/>
                <w:szCs w:val="14"/>
                <w:color w:val="auto"/>
              </w:rPr>
            </w:pPr>
          </w:p>
        </w:tc>
        <w:tc>
          <w:tcPr>
            <w:tcW w:w="2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 Negative Votes</w:t>
            </w:r>
          </w:p>
        </w:tc>
        <w:tc>
          <w:tcPr>
            <w:tcW w:w="560" w:type="dxa"/>
            <w:vAlign w:val="bottom"/>
          </w:tcPr>
          <w:p>
            <w:pPr>
              <w:spacing w:after="0"/>
              <w:rPr>
                <w:sz w:val="14"/>
                <w:szCs w:val="14"/>
                <w:color w:val="auto"/>
              </w:rPr>
            </w:pPr>
          </w:p>
        </w:tc>
        <w:tc>
          <w:tcPr>
            <w:tcW w:w="2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Abstentions</w:t>
            </w:r>
          </w:p>
        </w:tc>
        <w:tc>
          <w:tcPr>
            <w:tcW w:w="580" w:type="dxa"/>
            <w:vAlign w:val="bottom"/>
          </w:tcPr>
          <w:p>
            <w:pPr>
              <w:spacing w:after="0"/>
              <w:rPr>
                <w:sz w:val="14"/>
                <w:szCs w:val="14"/>
                <w:color w:val="auto"/>
              </w:rPr>
            </w:pPr>
          </w:p>
        </w:tc>
        <w:tc>
          <w:tcPr>
            <w:tcW w:w="2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Broker Non-Votes</w:t>
            </w:r>
          </w:p>
        </w:tc>
        <w:tc>
          <w:tcPr>
            <w:tcW w:w="0" w:type="dxa"/>
            <w:vAlign w:val="bottom"/>
          </w:tcPr>
          <w:p>
            <w:pPr>
              <w:spacing w:after="0"/>
              <w:rPr>
                <w:sz w:val="1"/>
                <w:szCs w:val="1"/>
                <w:color w:val="auto"/>
              </w:rPr>
            </w:pPr>
          </w:p>
        </w:tc>
      </w:tr>
      <w:tr>
        <w:trPr>
          <w:trHeight w:val="171"/>
        </w:trPr>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Affirmative Votes</w:t>
            </w:r>
          </w:p>
        </w:tc>
        <w:tc>
          <w:tcPr>
            <w:tcW w:w="580" w:type="dxa"/>
            <w:vAlign w:val="bottom"/>
          </w:tcPr>
          <w:p>
            <w:pPr>
              <w:spacing w:after="0"/>
              <w:rPr>
                <w:sz w:val="14"/>
                <w:szCs w:val="14"/>
                <w:color w:val="auto"/>
              </w:rPr>
            </w:pPr>
          </w:p>
        </w:tc>
        <w:tc>
          <w:tcPr>
            <w:tcW w:w="2420" w:type="dxa"/>
            <w:vAlign w:val="bottom"/>
            <w:tcBorders>
              <w:bottom w:val="single" w:sz="8" w:color="auto"/>
            </w:tcBorders>
            <w:vMerge w:val="continue"/>
          </w:tcPr>
          <w:p>
            <w:pPr>
              <w:spacing w:after="0"/>
              <w:rPr>
                <w:sz w:val="14"/>
                <w:szCs w:val="14"/>
                <w:color w:val="auto"/>
              </w:rPr>
            </w:pPr>
          </w:p>
        </w:tc>
        <w:tc>
          <w:tcPr>
            <w:tcW w:w="560" w:type="dxa"/>
            <w:vAlign w:val="bottom"/>
          </w:tcPr>
          <w:p>
            <w:pPr>
              <w:spacing w:after="0"/>
              <w:rPr>
                <w:sz w:val="14"/>
                <w:szCs w:val="14"/>
                <w:color w:val="auto"/>
              </w:rPr>
            </w:pPr>
          </w:p>
        </w:tc>
        <w:tc>
          <w:tcPr>
            <w:tcW w:w="2420" w:type="dxa"/>
            <w:vAlign w:val="bottom"/>
            <w:tcBorders>
              <w:bottom w:val="single" w:sz="8" w:color="auto"/>
            </w:tcBorders>
            <w:vMerge w:val="continue"/>
          </w:tcPr>
          <w:p>
            <w:pPr>
              <w:spacing w:after="0"/>
              <w:rPr>
                <w:sz w:val="14"/>
                <w:szCs w:val="14"/>
                <w:color w:val="auto"/>
              </w:rPr>
            </w:pPr>
          </w:p>
        </w:tc>
        <w:tc>
          <w:tcPr>
            <w:tcW w:w="580" w:type="dxa"/>
            <w:vAlign w:val="bottom"/>
          </w:tcPr>
          <w:p>
            <w:pPr>
              <w:spacing w:after="0"/>
              <w:rPr>
                <w:sz w:val="14"/>
                <w:szCs w:val="14"/>
                <w:color w:val="auto"/>
              </w:rPr>
            </w:pPr>
          </w:p>
        </w:tc>
        <w:tc>
          <w:tcPr>
            <w:tcW w:w="24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420" w:type="dxa"/>
            <w:vAlign w:val="bottom"/>
          </w:tcPr>
          <w:p>
            <w:pPr>
              <w:jc w:val="center"/>
              <w:spacing w:after="0"/>
              <w:rPr>
                <w:sz w:val="20"/>
                <w:szCs w:val="20"/>
                <w:color w:val="auto"/>
              </w:rPr>
            </w:pPr>
            <w:r>
              <w:rPr>
                <w:rFonts w:ascii="Arial" w:cs="Arial" w:eastAsia="Arial" w:hAnsi="Arial"/>
                <w:sz w:val="18"/>
                <w:szCs w:val="18"/>
                <w:color w:val="auto"/>
                <w:w w:val="88"/>
              </w:rPr>
              <w:t>83,200,828</w:t>
            </w:r>
          </w:p>
        </w:tc>
        <w:tc>
          <w:tcPr>
            <w:tcW w:w="580" w:type="dxa"/>
            <w:vAlign w:val="bottom"/>
          </w:tcPr>
          <w:p>
            <w:pPr>
              <w:spacing w:after="0"/>
              <w:rPr>
                <w:sz w:val="19"/>
                <w:szCs w:val="19"/>
                <w:color w:val="auto"/>
              </w:rPr>
            </w:pPr>
          </w:p>
        </w:tc>
        <w:tc>
          <w:tcPr>
            <w:tcW w:w="2420" w:type="dxa"/>
            <w:vAlign w:val="bottom"/>
          </w:tcPr>
          <w:p>
            <w:pPr>
              <w:jc w:val="right"/>
              <w:ind w:right="679"/>
              <w:spacing w:after="0"/>
              <w:rPr>
                <w:sz w:val="20"/>
                <w:szCs w:val="20"/>
                <w:color w:val="auto"/>
              </w:rPr>
            </w:pPr>
            <w:r>
              <w:rPr>
                <w:rFonts w:ascii="Arial" w:cs="Arial" w:eastAsia="Arial" w:hAnsi="Arial"/>
                <w:sz w:val="18"/>
                <w:szCs w:val="18"/>
                <w:color w:val="auto"/>
              </w:rPr>
              <w:t>240,439,419</w:t>
            </w:r>
          </w:p>
        </w:tc>
        <w:tc>
          <w:tcPr>
            <w:tcW w:w="560" w:type="dxa"/>
            <w:vAlign w:val="bottom"/>
          </w:tcPr>
          <w:p>
            <w:pPr>
              <w:spacing w:after="0"/>
              <w:rPr>
                <w:sz w:val="19"/>
                <w:szCs w:val="19"/>
                <w:color w:val="auto"/>
              </w:rPr>
            </w:pPr>
          </w:p>
        </w:tc>
        <w:tc>
          <w:tcPr>
            <w:tcW w:w="2420" w:type="dxa"/>
            <w:vAlign w:val="bottom"/>
          </w:tcPr>
          <w:p>
            <w:pPr>
              <w:jc w:val="right"/>
              <w:ind w:right="719"/>
              <w:spacing w:after="0"/>
              <w:rPr>
                <w:sz w:val="20"/>
                <w:szCs w:val="20"/>
                <w:color w:val="auto"/>
              </w:rPr>
            </w:pPr>
            <w:r>
              <w:rPr>
                <w:rFonts w:ascii="Arial" w:cs="Arial" w:eastAsia="Arial" w:hAnsi="Arial"/>
                <w:sz w:val="18"/>
                <w:szCs w:val="18"/>
                <w:color w:val="auto"/>
              </w:rPr>
              <w:t>58,210,116</w:t>
            </w:r>
          </w:p>
        </w:tc>
        <w:tc>
          <w:tcPr>
            <w:tcW w:w="580" w:type="dxa"/>
            <w:vAlign w:val="bottom"/>
          </w:tcPr>
          <w:p>
            <w:pPr>
              <w:spacing w:after="0"/>
              <w:rPr>
                <w:sz w:val="19"/>
                <w:szCs w:val="19"/>
                <w:color w:val="auto"/>
              </w:rPr>
            </w:pPr>
          </w:p>
        </w:tc>
        <w:tc>
          <w:tcPr>
            <w:tcW w:w="2440" w:type="dxa"/>
            <w:vAlign w:val="bottom"/>
          </w:tcPr>
          <w:p>
            <w:pPr>
              <w:jc w:val="right"/>
              <w:ind w:right="739"/>
              <w:spacing w:after="0"/>
              <w:rPr>
                <w:sz w:val="20"/>
                <w:szCs w:val="20"/>
                <w:color w:val="auto"/>
              </w:rPr>
            </w:pPr>
            <w:r>
              <w:rPr>
                <w:rFonts w:ascii="Arial" w:cs="Arial" w:eastAsia="Arial" w:hAnsi="Arial"/>
                <w:sz w:val="18"/>
                <w:szCs w:val="18"/>
                <w:color w:val="auto"/>
              </w:rPr>
              <w:t>46,923,062</w:t>
            </w:r>
          </w:p>
        </w:tc>
        <w:tc>
          <w:tcPr>
            <w:tcW w:w="0" w:type="dxa"/>
            <w:vAlign w:val="bottom"/>
          </w:tcPr>
          <w:p>
            <w:pPr>
              <w:spacing w:after="0"/>
              <w:rPr>
                <w:sz w:val="1"/>
                <w:szCs w:val="1"/>
                <w:color w:val="auto"/>
              </w:rPr>
            </w:pPr>
          </w:p>
        </w:tc>
      </w:tr>
    </w:tbl>
    <w:p>
      <w:pPr>
        <w:spacing w:after="0" w:line="93" w:lineRule="exact"/>
        <w:rPr>
          <w:sz w:val="20"/>
          <w:szCs w:val="20"/>
          <w:color w:val="auto"/>
        </w:rPr>
      </w:pPr>
    </w:p>
    <w:p>
      <w:pPr>
        <w:jc w:val="both"/>
        <w:ind w:left="660" w:right="60" w:hanging="436"/>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stockholder’s proposal with respect to calling special stockholder meetings was not approved by stockholders. The number of affirmative votes, the number of negative votes, the number of abstentions and the number of broker non-votes with respect to the stockholder proposal relating to the right of stockholders to call special stockholder meetings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580" w:type="dxa"/>
            <w:vAlign w:val="bottom"/>
          </w:tcPr>
          <w:p>
            <w:pPr>
              <w:spacing w:after="0"/>
              <w:rPr>
                <w:sz w:val="14"/>
                <w:szCs w:val="14"/>
                <w:color w:val="auto"/>
              </w:rPr>
            </w:pPr>
          </w:p>
        </w:tc>
        <w:tc>
          <w:tcPr>
            <w:tcW w:w="2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 Negative Votes</w:t>
            </w:r>
          </w:p>
        </w:tc>
        <w:tc>
          <w:tcPr>
            <w:tcW w:w="560" w:type="dxa"/>
            <w:vAlign w:val="bottom"/>
          </w:tcPr>
          <w:p>
            <w:pPr>
              <w:spacing w:after="0"/>
              <w:rPr>
                <w:sz w:val="14"/>
                <w:szCs w:val="14"/>
                <w:color w:val="auto"/>
              </w:rPr>
            </w:pPr>
          </w:p>
        </w:tc>
        <w:tc>
          <w:tcPr>
            <w:tcW w:w="2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Abstentions</w:t>
            </w:r>
          </w:p>
        </w:tc>
        <w:tc>
          <w:tcPr>
            <w:tcW w:w="580" w:type="dxa"/>
            <w:vAlign w:val="bottom"/>
          </w:tcPr>
          <w:p>
            <w:pPr>
              <w:spacing w:after="0"/>
              <w:rPr>
                <w:sz w:val="14"/>
                <w:szCs w:val="14"/>
                <w:color w:val="auto"/>
              </w:rPr>
            </w:pPr>
          </w:p>
        </w:tc>
        <w:tc>
          <w:tcPr>
            <w:tcW w:w="2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Broker Non-Votes</w:t>
            </w:r>
          </w:p>
        </w:tc>
        <w:tc>
          <w:tcPr>
            <w:tcW w:w="0" w:type="dxa"/>
            <w:vAlign w:val="bottom"/>
          </w:tcPr>
          <w:p>
            <w:pPr>
              <w:spacing w:after="0"/>
              <w:rPr>
                <w:sz w:val="1"/>
                <w:szCs w:val="1"/>
                <w:color w:val="auto"/>
              </w:rPr>
            </w:pPr>
          </w:p>
        </w:tc>
      </w:tr>
      <w:tr>
        <w:trPr>
          <w:trHeight w:val="171"/>
        </w:trPr>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Affirmative Votes</w:t>
            </w:r>
          </w:p>
        </w:tc>
        <w:tc>
          <w:tcPr>
            <w:tcW w:w="580" w:type="dxa"/>
            <w:vAlign w:val="bottom"/>
          </w:tcPr>
          <w:p>
            <w:pPr>
              <w:spacing w:after="0"/>
              <w:rPr>
                <w:sz w:val="14"/>
                <w:szCs w:val="14"/>
                <w:color w:val="auto"/>
              </w:rPr>
            </w:pPr>
          </w:p>
        </w:tc>
        <w:tc>
          <w:tcPr>
            <w:tcW w:w="2420" w:type="dxa"/>
            <w:vAlign w:val="bottom"/>
            <w:tcBorders>
              <w:bottom w:val="single" w:sz="8" w:color="auto"/>
            </w:tcBorders>
            <w:vMerge w:val="continue"/>
          </w:tcPr>
          <w:p>
            <w:pPr>
              <w:spacing w:after="0"/>
              <w:rPr>
                <w:sz w:val="14"/>
                <w:szCs w:val="14"/>
                <w:color w:val="auto"/>
              </w:rPr>
            </w:pPr>
          </w:p>
        </w:tc>
        <w:tc>
          <w:tcPr>
            <w:tcW w:w="560" w:type="dxa"/>
            <w:vAlign w:val="bottom"/>
          </w:tcPr>
          <w:p>
            <w:pPr>
              <w:spacing w:after="0"/>
              <w:rPr>
                <w:sz w:val="14"/>
                <w:szCs w:val="14"/>
                <w:color w:val="auto"/>
              </w:rPr>
            </w:pPr>
          </w:p>
        </w:tc>
        <w:tc>
          <w:tcPr>
            <w:tcW w:w="2420" w:type="dxa"/>
            <w:vAlign w:val="bottom"/>
            <w:tcBorders>
              <w:bottom w:val="single" w:sz="8" w:color="auto"/>
            </w:tcBorders>
            <w:vMerge w:val="continue"/>
          </w:tcPr>
          <w:p>
            <w:pPr>
              <w:spacing w:after="0"/>
              <w:rPr>
                <w:sz w:val="14"/>
                <w:szCs w:val="14"/>
                <w:color w:val="auto"/>
              </w:rPr>
            </w:pPr>
          </w:p>
        </w:tc>
        <w:tc>
          <w:tcPr>
            <w:tcW w:w="580" w:type="dxa"/>
            <w:vAlign w:val="bottom"/>
          </w:tcPr>
          <w:p>
            <w:pPr>
              <w:spacing w:after="0"/>
              <w:rPr>
                <w:sz w:val="14"/>
                <w:szCs w:val="14"/>
                <w:color w:val="auto"/>
              </w:rPr>
            </w:pPr>
          </w:p>
        </w:tc>
        <w:tc>
          <w:tcPr>
            <w:tcW w:w="24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420" w:type="dxa"/>
            <w:vAlign w:val="bottom"/>
          </w:tcPr>
          <w:p>
            <w:pPr>
              <w:jc w:val="center"/>
              <w:spacing w:after="0"/>
              <w:rPr>
                <w:sz w:val="20"/>
                <w:szCs w:val="20"/>
                <w:color w:val="auto"/>
              </w:rPr>
            </w:pPr>
            <w:r>
              <w:rPr>
                <w:rFonts w:ascii="Arial" w:cs="Arial" w:eastAsia="Arial" w:hAnsi="Arial"/>
                <w:sz w:val="18"/>
                <w:szCs w:val="18"/>
                <w:color w:val="auto"/>
                <w:w w:val="89"/>
              </w:rPr>
              <w:t>162,637,424</w:t>
            </w:r>
          </w:p>
        </w:tc>
        <w:tc>
          <w:tcPr>
            <w:tcW w:w="580" w:type="dxa"/>
            <w:vAlign w:val="bottom"/>
          </w:tcPr>
          <w:p>
            <w:pPr>
              <w:spacing w:after="0"/>
              <w:rPr>
                <w:sz w:val="19"/>
                <w:szCs w:val="19"/>
                <w:color w:val="auto"/>
              </w:rPr>
            </w:pPr>
          </w:p>
        </w:tc>
        <w:tc>
          <w:tcPr>
            <w:tcW w:w="2420" w:type="dxa"/>
            <w:vAlign w:val="bottom"/>
          </w:tcPr>
          <w:p>
            <w:pPr>
              <w:jc w:val="right"/>
              <w:ind w:right="679"/>
              <w:spacing w:after="0"/>
              <w:rPr>
                <w:sz w:val="20"/>
                <w:szCs w:val="20"/>
                <w:color w:val="auto"/>
              </w:rPr>
            </w:pPr>
            <w:r>
              <w:rPr>
                <w:rFonts w:ascii="Arial" w:cs="Arial" w:eastAsia="Arial" w:hAnsi="Arial"/>
                <w:sz w:val="18"/>
                <w:szCs w:val="18"/>
                <w:color w:val="auto"/>
              </w:rPr>
              <w:t>218,433,804</w:t>
            </w:r>
          </w:p>
        </w:tc>
        <w:tc>
          <w:tcPr>
            <w:tcW w:w="560" w:type="dxa"/>
            <w:vAlign w:val="bottom"/>
          </w:tcPr>
          <w:p>
            <w:pPr>
              <w:spacing w:after="0"/>
              <w:rPr>
                <w:sz w:val="19"/>
                <w:szCs w:val="19"/>
                <w:color w:val="auto"/>
              </w:rPr>
            </w:pPr>
          </w:p>
        </w:tc>
        <w:tc>
          <w:tcPr>
            <w:tcW w:w="2420" w:type="dxa"/>
            <w:vAlign w:val="bottom"/>
          </w:tcPr>
          <w:p>
            <w:pPr>
              <w:jc w:val="right"/>
              <w:ind w:right="839"/>
              <w:spacing w:after="0"/>
              <w:rPr>
                <w:sz w:val="20"/>
                <w:szCs w:val="20"/>
                <w:color w:val="auto"/>
              </w:rPr>
            </w:pPr>
            <w:r>
              <w:rPr>
                <w:rFonts w:ascii="Arial" w:cs="Arial" w:eastAsia="Arial" w:hAnsi="Arial"/>
                <w:sz w:val="18"/>
                <w:szCs w:val="18"/>
                <w:color w:val="auto"/>
              </w:rPr>
              <w:t>779,135</w:t>
            </w:r>
          </w:p>
        </w:tc>
        <w:tc>
          <w:tcPr>
            <w:tcW w:w="580" w:type="dxa"/>
            <w:vAlign w:val="bottom"/>
          </w:tcPr>
          <w:p>
            <w:pPr>
              <w:spacing w:after="0"/>
              <w:rPr>
                <w:sz w:val="19"/>
                <w:szCs w:val="19"/>
                <w:color w:val="auto"/>
              </w:rPr>
            </w:pPr>
          </w:p>
        </w:tc>
        <w:tc>
          <w:tcPr>
            <w:tcW w:w="2440" w:type="dxa"/>
            <w:vAlign w:val="bottom"/>
          </w:tcPr>
          <w:p>
            <w:pPr>
              <w:jc w:val="right"/>
              <w:ind w:right="739"/>
              <w:spacing w:after="0"/>
              <w:rPr>
                <w:sz w:val="20"/>
                <w:szCs w:val="20"/>
                <w:color w:val="auto"/>
              </w:rPr>
            </w:pPr>
            <w:r>
              <w:rPr>
                <w:rFonts w:ascii="Arial" w:cs="Arial" w:eastAsia="Arial" w:hAnsi="Arial"/>
                <w:sz w:val="18"/>
                <w:szCs w:val="18"/>
                <w:color w:val="auto"/>
              </w:rPr>
              <w:t>46,923,062</w:t>
            </w:r>
          </w:p>
        </w:tc>
        <w:tc>
          <w:tcPr>
            <w:tcW w:w="0" w:type="dxa"/>
            <w:vAlign w:val="bottom"/>
          </w:tcPr>
          <w:p>
            <w:pPr>
              <w:spacing w:after="0"/>
              <w:rPr>
                <w:sz w:val="1"/>
                <w:szCs w:val="1"/>
                <w:color w:val="auto"/>
              </w:rPr>
            </w:pPr>
          </w:p>
        </w:tc>
      </w:tr>
      <w:tr>
        <w:trPr>
          <w:trHeight w:val="631"/>
        </w:trPr>
        <w:tc>
          <w:tcPr>
            <w:tcW w:w="24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4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4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4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May 14, 2010</w:t>
      </w:r>
      <w:r>
        <w:rPr>
          <w:sz w:val="20"/>
          <w:szCs w:val="20"/>
          <w:color w:val="auto"/>
        </w:rPr>
        <w:tab/>
      </w:r>
      <w:r>
        <w:rPr>
          <w:rFonts w:ascii="Arial" w:cs="Arial" w:eastAsia="Arial" w:hAnsi="Arial"/>
          <w:sz w:val="17"/>
          <w:szCs w:val="17"/>
          <w:color w:val="auto"/>
        </w:rPr>
        <w:t>By:  /s/ Rick L Wittenbraker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14605</wp:posOffset>
            </wp:positionV>
            <wp:extent cx="25298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Rick L Wittenbraker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Senior Vice President</w:t>
      </w:r>
    </w:p>
    <w:sectPr>
      <w:pgSz w:w="11900" w:h="16838" w:orient="portrait"/>
      <w:cols w:equalWidth="0" w:num="1">
        <w:col w:w="11120"/>
      </w:cols>
      <w:pgMar w:left="240" w:top="95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lowerRoman"/>
      <w:start w:val="1"/>
    </w:lvl>
  </w:abstractNum>
  <w:abstractNum w:abstractNumId="2">
    <w:nsid w:val="238E1F29"/>
    <w:multiLevelType w:val="hybridMultilevel"/>
    <w:lvl w:ilvl="0">
      <w:lvlJc w:val="left"/>
      <w:lvlText w:val="(%1)"/>
      <w:numFmt w:val="lowerRoman"/>
      <w:start w:val="2"/>
    </w:lvl>
  </w:abstractNum>
  <w:abstractNum w:abstractNumId="3">
    <w:nsid w:val="46E87CCD"/>
    <w:multiLevelType w:val="hybridMultilevel"/>
    <w:lvl w:ilvl="0">
      <w:lvlJc w:val="left"/>
      <w:lvlText w:val="(%1)"/>
      <w:numFmt w:val="lowerRoman"/>
      <w:start w:val="3"/>
    </w:lvl>
  </w:abstractNum>
  <w:abstractNum w:abstractNumId="4">
    <w:nsid w:val="3D1B58BA"/>
    <w:multiLevelType w:val="hybridMultilevel"/>
    <w:lvl w:ilvl="0">
      <w:lvlJc w:val="left"/>
      <w:lvlText w:val="(%1)"/>
      <w:numFmt w:val="lowerRoman"/>
      <w:start w:val="4"/>
    </w:lvl>
  </w:abstractNum>
  <w:abstractNum w:abstractNumId="5">
    <w:nsid w:val="507ED7AB"/>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2019-12-10T06:44:42Z</dcterms:created>
  <dcterms:modified xsi:type="dcterms:W3CDTF">2019-12-10T06:44:42Z</dcterms:modified>
</cp:coreProperties>
</file>