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27,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March 27, 2006, Waste Management, Inc. (the “Company”) entered into an employment agreement with James Schultz, Senior Vice President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 and Customer Engagement, effective as of October 30, 2005. The Company announced in November of last year that Mr. Schultz had been named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Employee and Customer Engagement after serving as Vice President of Health and Safety for five years.</w:t>
      </w:r>
    </w:p>
    <w:p>
      <w:pPr>
        <w:spacing w:after="0" w:line="103"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Mr. Schultz shall be paid a minimum base salary of $315,416 per year and shall be entitled to a bonus in accordance with the Company’s incentive compensation plan. Mr. Schultz shall have a target annual bonus of 60% of his base salary, although his actual bonus may range from 0 – 120% of his base salary, depending on the achievement of certain personal and corporate performance goals. Additionally, Mr. Schultz shall be entitled to certain perquisites, including an annual automobile allowance, financial planning services, social organization initiation fees and dues and an annual physical examination. Mr. Schultz shall also be entitled to participate in or receive benefits under any and all plans and programs made available to executive employees of the Company generally.</w:t>
      </w:r>
    </w:p>
    <w:p>
      <w:pPr>
        <w:spacing w:after="0" w:line="57"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In the event of the termination of Mr. Schultz’s employment by the Company, he will be entitled to certain severance payments. Specifically, if Mr. Schultz is terminated without cause, in addition to the benefits all employees receive, including all accrued but unpaid base salary and payments under applicable Company plans, policies and arrangements, Mr. Schultz generally is entitled to cash payments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Schultz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accordance with the Company’s Executive Severance Policy,</w:t>
      </w:r>
    </w:p>
    <w:p>
      <w:pPr>
        <w:spacing w:after="0" w:line="1"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Mr. Schultz’s agreement provides that if the present value of severance benefits payable under his agreement would exceed 2.99 times the sum of his then current base salary and bonus (the “maximum severance amount”), the payments to Mr. Schultz will be reduced to an amount not to exceed the maximum severance amount. In the event Mr. Schultz’s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w:t>
      </w:r>
    </w:p>
    <w:p>
      <w:pPr>
        <w:spacing w:after="0" w:line="8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Mr. Schultz’s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terms “cause,” “good reason,” and “total disability” are all defined in Mr. Schultz’s employment agreement, which is attached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Waste Management, Inc. and James Schultz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6440" w:val="left"/>
          <w:tab w:leader="none" w:pos="6960" w:val="left"/>
        </w:tabs>
        <w:rPr>
          <w:sz w:val="20"/>
          <w:szCs w:val="20"/>
          <w:color w:val="auto"/>
        </w:rPr>
      </w:pPr>
      <w:r>
        <w:rPr>
          <w:rFonts w:ascii="Arial" w:cs="Arial" w:eastAsia="Arial" w:hAnsi="Arial"/>
          <w:sz w:val="18"/>
          <w:szCs w:val="18"/>
          <w:color w:val="auto"/>
        </w:rPr>
        <w:t>Date: March 28,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14605</wp:posOffset>
            </wp:positionV>
            <wp:extent cx="2169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56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19"/>
                <w:szCs w:val="19"/>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Employment Agreement between Waste Management, Inc, and James Schultz, dated March 27, 2006</w:t>
            </w:r>
          </w:p>
        </w:tc>
      </w:tr>
    </w:tbl>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27th day of March 2006, but as effective as of the date set forth herein, by and between Waste Management, Inc. (the “Company”), and James Schultz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Executive acknowledges and represents that, any and all prior employment agreements, including without limitation certain Employment Agreement between he and the Company dated November 1, 2000, is terminated, and that any and all obligations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October 30, 2005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right="40" w:firstLine="233"/>
        <w:spacing w:after="0" w:line="259" w:lineRule="auto"/>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Executive shall serve as the Senior Vice President Employee and Customer Engagement.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78" w:lineRule="exact"/>
        <w:rPr>
          <w:rFonts w:ascii="Arial" w:cs="Arial" w:eastAsia="Arial" w:hAnsi="Arial"/>
          <w:sz w:val="18"/>
          <w:szCs w:val="18"/>
          <w:b w:val="1"/>
          <w:bCs w:val="1"/>
          <w:color w:val="auto"/>
        </w:rPr>
      </w:pPr>
    </w:p>
    <w:p>
      <w:pPr>
        <w:ind w:right="60" w:firstLine="233"/>
        <w:spacing w:after="0" w:line="276" w:lineRule="auto"/>
        <w:tabs>
          <w:tab w:leader="none" w:pos="49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jc w:val="both"/>
        <w:ind w:right="260" w:firstLine="233"/>
        <w:spacing w:after="0" w:line="261"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Period, the Company shall pay Executive a base salary at the annual rate of Three Hundred Fifteen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Four Hundred Sixteen Dollars ($315,416.00)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71" w:lineRule="exact"/>
        <w:rPr>
          <w:rFonts w:ascii="Arial" w:cs="Arial" w:eastAsia="Arial" w:hAnsi="Arial"/>
          <w:sz w:val="18"/>
          <w:szCs w:val="18"/>
          <w:b w:val="1"/>
          <w:bCs w:val="1"/>
          <w:color w:val="auto"/>
        </w:rPr>
      </w:pPr>
    </w:p>
    <w:p>
      <w:pPr>
        <w:ind w:firstLine="233"/>
        <w:spacing w:after="0" w:line="255"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During the Employment Period, Executive will be entitled to participate in an annual incentive compensation plan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Compensation Committee of the Board from time to time. The Executive’s target annual bonus will be sixty percent (60%) of his Base Salary in effect for such year (the “Target Bonus”), and his actual annual bonus may range from 0% to 120% of Base Salary (</w:t>
      </w:r>
      <w:r>
        <w:rPr>
          <w:rFonts w:ascii="Arial" w:cs="Arial" w:eastAsia="Arial" w:hAnsi="Arial"/>
          <w:sz w:val="18"/>
          <w:szCs w:val="18"/>
          <w:i w:val="1"/>
          <w:iCs w:val="1"/>
          <w:color w:val="auto"/>
        </w:rPr>
        <w:t>i.e</w:t>
      </w:r>
      <w:r>
        <w:rPr>
          <w:rFonts w:ascii="Arial" w:cs="Arial" w:eastAsia="Arial" w:hAnsi="Arial"/>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2005 will be paid in 2006, if earned, at the same time as similarly situated executive employees receive or would otherwise receive their bonuses, subject to the terms of the annual incentive program generally applicable to similarly situated employees.</w:t>
      </w:r>
    </w:p>
    <w:p>
      <w:pPr>
        <w:spacing w:after="0" w:line="77" w:lineRule="exact"/>
        <w:rPr>
          <w:rFonts w:ascii="Arial" w:cs="Arial" w:eastAsia="Arial" w:hAnsi="Arial"/>
          <w:sz w:val="18"/>
          <w:szCs w:val="18"/>
          <w:b w:val="1"/>
          <w:bCs w:val="1"/>
          <w:color w:val="auto"/>
        </w:rPr>
      </w:pPr>
    </w:p>
    <w:p>
      <w:pPr>
        <w:ind w:right="20" w:firstLine="233"/>
        <w:spacing w:after="0" w:line="258" w:lineRule="auto"/>
        <w:tabs>
          <w:tab w:leader="none" w:pos="4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58" w:lineRule="exact"/>
        <w:rPr>
          <w:sz w:val="20"/>
          <w:szCs w:val="20"/>
          <w:color w:val="auto"/>
        </w:rPr>
      </w:pPr>
    </w:p>
    <w:p>
      <w:pPr>
        <w:ind w:right="40" w:firstLine="233"/>
        <w:spacing w:after="0" w:line="313" w:lineRule="auto"/>
        <w:tabs>
          <w:tab w:leader="none" w:pos="49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100" w:firstLine="233"/>
        <w:spacing w:after="0" w:line="282"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 including the following:</w:t>
      </w:r>
    </w:p>
    <w:p>
      <w:pPr>
        <w:spacing w:after="0" w:line="5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Automobile allowance at the annual rate of Twelve Thousand Dollars ($12,000.00), payable in accordance with the Company’s standard payroll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ind w:left="600"/>
        <w:spacing w:after="0"/>
        <w:rPr>
          <w:sz w:val="20"/>
          <w:szCs w:val="20"/>
          <w:color w:val="auto"/>
        </w:rPr>
      </w:pPr>
      <w:r>
        <w:rPr>
          <w:rFonts w:ascii="Arial" w:cs="Arial" w:eastAsia="Arial" w:hAnsi="Arial"/>
          <w:sz w:val="18"/>
          <w:szCs w:val="18"/>
          <w:color w:val="auto"/>
        </w:rPr>
        <w:t>practice for its executive officers and prorated in any year that Executive does not work a full calendar year;</w:t>
      </w:r>
    </w:p>
    <w:p>
      <w:pPr>
        <w:spacing w:after="0" w:line="131" w:lineRule="exact"/>
        <w:rPr>
          <w:sz w:val="20"/>
          <w:szCs w:val="20"/>
          <w:color w:val="auto"/>
        </w:rPr>
      </w:pPr>
    </w:p>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30" w:lineRule="exact"/>
        <w:rPr>
          <w:rFonts w:ascii="Arial" w:cs="Arial" w:eastAsia="Arial" w:hAnsi="Arial"/>
          <w:sz w:val="18"/>
          <w:szCs w:val="18"/>
          <w:color w:val="auto"/>
        </w:rPr>
      </w:pPr>
    </w:p>
    <w:p>
      <w:pPr>
        <w:ind w:left="600" w:right="20" w:hanging="436"/>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86" w:lineRule="exact"/>
        <w:rPr>
          <w:rFonts w:ascii="Arial" w:cs="Arial" w:eastAsia="Arial" w:hAnsi="Arial"/>
          <w:sz w:val="18"/>
          <w:szCs w:val="18"/>
          <w:color w:val="auto"/>
        </w:rPr>
      </w:pPr>
    </w:p>
    <w:p>
      <w:pPr>
        <w:ind w:left="600" w:right="120" w:hanging="436"/>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113" w:lineRule="exact"/>
        <w:rPr>
          <w:rFonts w:ascii="Arial" w:cs="Arial" w:eastAsia="Arial" w:hAnsi="Arial"/>
          <w:sz w:val="18"/>
          <w:szCs w:val="18"/>
          <w:color w:val="auto"/>
        </w:rPr>
      </w:pPr>
    </w:p>
    <w:p>
      <w:pPr>
        <w:ind w:left="340" w:hanging="167"/>
        <w:spacing w:after="0"/>
        <w:tabs>
          <w:tab w:leader="none" w:pos="3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20" w:hanging="247"/>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jc w:val="both"/>
        <w:ind w:left="-60" w:right="60" w:firstLine="233"/>
        <w:spacing w:after="0" w:line="258" w:lineRule="auto"/>
        <w:tabs>
          <w:tab w:leader="none" w:pos="42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Executive’s employment hereunder upon Executive becoming “Totally Disabled.”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w:t>
      </w:r>
    </w:p>
    <w:p>
      <w:pPr>
        <w:spacing w:after="0" w:line="75" w:lineRule="exact"/>
        <w:rPr>
          <w:rFonts w:ascii="Arial" w:cs="Arial" w:eastAsia="Arial" w:hAnsi="Arial"/>
          <w:sz w:val="18"/>
          <w:szCs w:val="18"/>
          <w:b w:val="1"/>
          <w:bCs w:val="1"/>
          <w:color w:val="auto"/>
        </w:rPr>
      </w:pPr>
    </w:p>
    <w:p>
      <w:pPr>
        <w:ind w:left="-60" w:right="40" w:firstLine="233"/>
        <w:spacing w:after="0" w:line="282" w:lineRule="auto"/>
        <w:tabs>
          <w:tab w:leader="none" w:pos="40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00" w:hanging="436"/>
        <w:spacing w:after="0" w:line="27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0" w:name="page11"/>
    <w:bookmarkEnd w:id="10"/>
    <w:p>
      <w:pPr>
        <w:ind w:left="620" w:right="120"/>
        <w:spacing w:after="0" w:line="259" w:lineRule="auto"/>
        <w:rPr>
          <w:sz w:val="20"/>
          <w:szCs w:val="20"/>
          <w:color w:val="auto"/>
        </w:rPr>
      </w:pPr>
      <w:r>
        <w:rPr>
          <w:rFonts w:ascii="Arial" w:cs="Arial" w:eastAsia="Arial" w:hAnsi="Arial"/>
          <w:sz w:val="18"/>
          <w:szCs w:val="18"/>
          <w:color w:val="auto"/>
        </w:rPr>
        <w:t xml:space="preserve">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92" w:lineRule="exact"/>
        <w:rPr>
          <w:sz w:val="20"/>
          <w:szCs w:val="20"/>
          <w:color w:val="auto"/>
        </w:rPr>
      </w:pPr>
    </w:p>
    <w:p>
      <w:pPr>
        <w:ind w:left="620" w:right="40" w:hanging="436"/>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w:t>
      </w:r>
    </w:p>
    <w:p>
      <w:pPr>
        <w:spacing w:after="0" w:line="69" w:lineRule="exact"/>
        <w:rPr>
          <w:rFonts w:ascii="Arial" w:cs="Arial" w:eastAsia="Arial" w:hAnsi="Arial"/>
          <w:sz w:val="18"/>
          <w:szCs w:val="18"/>
          <w:color w:val="auto"/>
        </w:rPr>
      </w:pPr>
    </w:p>
    <w:p>
      <w:pPr>
        <w:ind w:left="-40" w:right="280" w:firstLine="233"/>
        <w:spacing w:after="0" w:line="282" w:lineRule="auto"/>
        <w:tabs>
          <w:tab w:leader="none" w:pos="44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8" w:lineRule="exact"/>
        <w:rPr>
          <w:sz w:val="20"/>
          <w:szCs w:val="20"/>
          <w:color w:val="auto"/>
        </w:rPr>
      </w:pPr>
    </w:p>
    <w:p>
      <w:pPr>
        <w:ind w:left="620" w:hanging="436"/>
        <w:spacing w:after="0" w:line="268"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 Senior Vice-President of the Company or such other successor entity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88" w:lineRule="exact"/>
        <w:rPr>
          <w:rFonts w:ascii="Arial" w:cs="Arial" w:eastAsia="Arial" w:hAnsi="Arial"/>
          <w:sz w:val="17"/>
          <w:szCs w:val="17"/>
          <w:color w:val="auto"/>
        </w:rPr>
      </w:pPr>
    </w:p>
    <w:p>
      <w:pPr>
        <w:ind w:left="620" w:right="120" w:hanging="436"/>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“Notice of Termination for Good Reason” shall mean a notice that shall indicate the specific termination provision relied upon and shall set forth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1" w:name="page12"/>
    <w:bookmarkEnd w:id="11"/>
    <w:p>
      <w:pPr>
        <w:ind w:left="660" w:right="20"/>
        <w:spacing w:after="0" w:line="273" w:lineRule="auto"/>
        <w:rPr>
          <w:sz w:val="20"/>
          <w:szCs w:val="20"/>
          <w:color w:val="auto"/>
        </w:rPr>
      </w:pPr>
      <w:r>
        <w:rPr>
          <w:rFonts w:ascii="Arial" w:cs="Arial" w:eastAsia="Arial" w:hAnsi="Arial"/>
          <w:sz w:val="17"/>
          <w:szCs w:val="17"/>
          <w:color w:val="auto"/>
        </w:rPr>
        <w:t>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66" w:lineRule="exact"/>
        <w:rPr>
          <w:sz w:val="20"/>
          <w:szCs w:val="20"/>
          <w:color w:val="auto"/>
        </w:rPr>
      </w:pPr>
    </w:p>
    <w:p>
      <w:pPr>
        <w:ind w:right="400" w:firstLine="233"/>
        <w:spacing w:after="0" w:line="282" w:lineRule="auto"/>
        <w:tabs>
          <w:tab w:leader="none" w:pos="46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80" w:firstLine="233"/>
        <w:spacing w:after="0" w:line="282" w:lineRule="auto"/>
        <w:tabs>
          <w:tab w:leader="none" w:pos="45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23, as applicable to the form of termination:</w:t>
      </w:r>
    </w:p>
    <w:p>
      <w:pPr>
        <w:spacing w:after="0" w:line="69" w:lineRule="exact"/>
        <w:rPr>
          <w:sz w:val="20"/>
          <w:szCs w:val="20"/>
          <w:color w:val="auto"/>
        </w:rPr>
      </w:pPr>
    </w:p>
    <w:p>
      <w:pPr>
        <w:ind w:right="120" w:firstLine="233"/>
        <w:spacing w:after="0" w:line="282" w:lineRule="auto"/>
        <w:tabs>
          <w:tab w:leader="none" w:pos="477"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right="20" w:hanging="436"/>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92"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right="200" w:firstLine="233"/>
        <w:spacing w:after="0" w:line="282" w:lineRule="auto"/>
        <w:tabs>
          <w:tab w:leader="none" w:pos="48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Executive:</w:t>
      </w:r>
    </w:p>
    <w:p>
      <w:pPr>
        <w:spacing w:after="0" w:line="117" w:lineRule="exact"/>
        <w:rPr>
          <w:sz w:val="20"/>
          <w:szCs w:val="20"/>
          <w:color w:val="auto"/>
        </w:rPr>
      </w:pPr>
    </w:p>
    <w:p>
      <w:pPr>
        <w:jc w:val="both"/>
        <w:ind w:left="660" w:right="300" w:hanging="436"/>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59" w:lineRule="exact"/>
        <w:rPr>
          <w:rFonts w:ascii="Arial" w:cs="Arial" w:eastAsia="Arial" w:hAnsi="Arial"/>
          <w:sz w:val="16"/>
          <w:szCs w:val="16"/>
          <w:color w:val="auto"/>
        </w:rPr>
      </w:pPr>
    </w:p>
    <w:p>
      <w:pPr>
        <w:ind w:left="66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shall be determined and paid in accordance with the terms of such plans, policies and arrangements.</w:t>
      </w:r>
    </w:p>
    <w:p>
      <w:pPr>
        <w:spacing w:after="0" w:line="58" w:lineRule="exact"/>
        <w:rPr>
          <w:sz w:val="20"/>
          <w:szCs w:val="20"/>
          <w:color w:val="auto"/>
        </w:rPr>
      </w:pPr>
    </w:p>
    <w:p>
      <w:pPr>
        <w:ind w:right="360" w:firstLine="233"/>
        <w:spacing w:after="0" w:line="282" w:lineRule="auto"/>
        <w:tabs>
          <w:tab w:leader="none" w:pos="467"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60" w:right="300" w:hanging="436"/>
        <w:spacing w:after="0" w:line="342"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60" w:right="60" w:hanging="436"/>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firstLine="233"/>
        <w:spacing w:after="0" w:line="282" w:lineRule="auto"/>
        <w:tabs>
          <w:tab w:leader="none" w:pos="487"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58" w:lineRule="exact"/>
        <w:rPr>
          <w:sz w:val="20"/>
          <w:szCs w:val="20"/>
          <w:color w:val="auto"/>
        </w:rPr>
      </w:pPr>
    </w:p>
    <w:p>
      <w:pPr>
        <w:ind w:left="660" w:right="300" w:hanging="436"/>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60" w:right="6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right="420" w:firstLine="233"/>
        <w:spacing w:after="0" w:line="266" w:lineRule="auto"/>
        <w:tabs>
          <w:tab w:leader="none" w:pos="467"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or Executive terminates his employment for Good Reason outside of a Change in Control Period, the Company shall pay the following amounts to Executive:</w:t>
      </w:r>
    </w:p>
    <w:p>
      <w:pPr>
        <w:spacing w:after="0" w:line="140" w:lineRule="exact"/>
        <w:rPr>
          <w:sz w:val="20"/>
          <w:szCs w:val="20"/>
          <w:color w:val="auto"/>
        </w:rPr>
      </w:pPr>
    </w:p>
    <w:p>
      <w:pPr>
        <w:ind w:left="660" w:right="320" w:hanging="436"/>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60" w:right="700" w:hanging="43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jc w:val="both"/>
        <w:ind w:left="660" w:right="100" w:hanging="436"/>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59" w:lineRule="exact"/>
        <w:rPr>
          <w:rFonts w:ascii="Arial" w:cs="Arial" w:eastAsia="Arial" w:hAnsi="Arial"/>
          <w:sz w:val="16"/>
          <w:szCs w:val="16"/>
          <w:color w:val="auto"/>
        </w:rPr>
      </w:pPr>
    </w:p>
    <w:p>
      <w:pPr>
        <w:ind w:left="660" w:hanging="436"/>
        <w:spacing w:after="0" w:line="27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87" w:lineRule="exact"/>
        <w:rPr>
          <w:rFonts w:ascii="Arial" w:cs="Arial" w:eastAsia="Arial" w:hAnsi="Arial"/>
          <w:sz w:val="17"/>
          <w:szCs w:val="17"/>
          <w:color w:val="auto"/>
        </w:rPr>
      </w:pPr>
    </w:p>
    <w:p>
      <w:pPr>
        <w:ind w:left="660" w:hanging="43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69" w:lineRule="exact"/>
        <w:rPr>
          <w:rFonts w:ascii="Arial" w:cs="Arial" w:eastAsia="Arial" w:hAnsi="Arial"/>
          <w:sz w:val="18"/>
          <w:szCs w:val="18"/>
          <w:color w:val="auto"/>
        </w:rPr>
      </w:pPr>
    </w:p>
    <w:p>
      <w:pPr>
        <w:ind w:right="400" w:firstLine="233"/>
        <w:spacing w:after="0" w:line="313" w:lineRule="auto"/>
        <w:tabs>
          <w:tab w:leader="none" w:pos="450"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Suspension and Refund of Termination Benefits for Subsequently Discovered Cause. </w:t>
      </w:r>
      <w:r>
        <w:rPr>
          <w:rFonts w:ascii="Arial" w:cs="Arial" w:eastAsia="Arial" w:hAnsi="Arial"/>
          <w:sz w:val="17"/>
          <w:szCs w:val="17"/>
          <w:color w:val="auto"/>
        </w:rPr>
        <w:t>Notwithstanding any provision of this Agreement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if within one (1) year of termination of employment of Executive by the Company for any reason other than for Cause,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 is determined by Company that Executive could have been terminated for Cause then, to the extent permitted by law:</w:t>
      </w:r>
    </w:p>
    <w:p>
      <w:pPr>
        <w:spacing w:after="0" w:line="117" w:lineRule="exact"/>
        <w:rPr>
          <w:sz w:val="20"/>
          <w:szCs w:val="20"/>
          <w:color w:val="auto"/>
        </w:rPr>
      </w:pPr>
    </w:p>
    <w:p>
      <w:pPr>
        <w:ind w:left="660" w:hanging="43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660" w:right="200" w:hanging="43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 (iv) or 6(e)(v).</w:t>
      </w:r>
    </w:p>
    <w:p>
      <w:pPr>
        <w:spacing w:after="0" w:line="58" w:lineRule="exact"/>
        <w:rPr>
          <w:rFonts w:ascii="Arial" w:cs="Arial" w:eastAsia="Arial" w:hAnsi="Arial"/>
          <w:sz w:val="18"/>
          <w:szCs w:val="18"/>
          <w:color w:val="auto"/>
        </w:rPr>
      </w:pPr>
    </w:p>
    <w:p>
      <w:pPr>
        <w:ind w:left="420" w:hanging="187"/>
        <w:spacing w:after="0"/>
        <w:tabs>
          <w:tab w:leader="none" w:pos="42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Executive for Good Reason or Termination by Company Without Cause During a Change in Control Period.</w:t>
      </w:r>
    </w:p>
    <w:p>
      <w:pPr>
        <w:spacing w:after="0" w:line="117" w:lineRule="exact"/>
        <w:rPr>
          <w:sz w:val="20"/>
          <w:szCs w:val="20"/>
          <w:color w:val="auto"/>
        </w:rPr>
      </w:pPr>
    </w:p>
    <w:p>
      <w:pPr>
        <w:ind w:right="20" w:firstLine="233"/>
        <w:spacing w:after="0" w:line="281" w:lineRule="auto"/>
        <w:tabs>
          <w:tab w:leader="none" w:pos="480"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Terminations During a Change in Control Period. </w:t>
      </w:r>
      <w:r>
        <w:rPr>
          <w:rFonts w:ascii="Arial" w:cs="Arial" w:eastAsia="Arial" w:hAnsi="Arial"/>
          <w:sz w:val="17"/>
          <w:szCs w:val="17"/>
          <w:color w:val="auto"/>
        </w:rPr>
        <w:t>Subject to potential reduction as may be required by Section 23, in the event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occurs and (x) Executive terminates his employment 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0" w:lineRule="exact"/>
        <w:rPr>
          <w:rFonts w:ascii="Arial" w:cs="Arial" w:eastAsia="Arial" w:hAnsi="Arial"/>
          <w:sz w:val="17"/>
          <w:szCs w:val="17"/>
          <w:b w:val="1"/>
          <w:bCs w:val="1"/>
          <w:color w:val="auto"/>
        </w:rPr>
      </w:pPr>
    </w:p>
    <w:p>
      <w:pPr>
        <w:ind w:left="660" w:right="660" w:hanging="436"/>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6" w:lineRule="exact"/>
        <w:rPr>
          <w:rFonts w:ascii="Arial" w:cs="Arial" w:eastAsia="Arial" w:hAnsi="Arial"/>
          <w:sz w:val="18"/>
          <w:szCs w:val="18"/>
          <w:color w:val="auto"/>
        </w:rPr>
      </w:pPr>
    </w:p>
    <w:p>
      <w:pPr>
        <w:ind w:left="660" w:right="20" w:hanging="436"/>
        <w:spacing w:after="0" w:line="255"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81" w:lineRule="exact"/>
        <w:rPr>
          <w:rFonts w:ascii="Arial" w:cs="Arial" w:eastAsia="Arial" w:hAnsi="Arial"/>
          <w:sz w:val="18"/>
          <w:szCs w:val="18"/>
          <w:color w:val="auto"/>
        </w:rPr>
      </w:pPr>
    </w:p>
    <w:p>
      <w:pPr>
        <w:ind w:left="500" w:hanging="267"/>
        <w:spacing w:after="0"/>
        <w:tabs>
          <w:tab w:leader="none" w:pos="50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660" w:right="560" w:hanging="43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1120" w:right="100" w:hanging="450"/>
        <w:spacing w:after="0" w:line="277" w:lineRule="auto"/>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780" w:right="100" w:firstLine="7"/>
        <w:spacing w:after="0" w:line="273" w:lineRule="auto"/>
        <w:tabs>
          <w:tab w:leader="none" w:pos="1065"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83" w:lineRule="exact"/>
        <w:rPr>
          <w:rFonts w:ascii="Arial" w:cs="Arial" w:eastAsia="Arial" w:hAnsi="Arial"/>
          <w:sz w:val="17"/>
          <w:szCs w:val="17"/>
          <w:color w:val="auto"/>
        </w:rPr>
      </w:pPr>
    </w:p>
    <w:p>
      <w:pPr>
        <w:ind w:left="780" w:right="20" w:firstLine="7"/>
        <w:spacing w:after="0" w:line="286" w:lineRule="auto"/>
        <w:tabs>
          <w:tab w:leader="none" w:pos="1065"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w:t>
      </w:r>
    </w:p>
    <w:p>
      <w:pPr>
        <w:spacing w:after="0" w:line="1" w:lineRule="exact"/>
        <w:rPr>
          <w:rFonts w:ascii="Arial" w:cs="Arial" w:eastAsia="Arial" w:hAnsi="Arial"/>
          <w:sz w:val="16"/>
          <w:szCs w:val="16"/>
          <w:color w:val="auto"/>
        </w:rPr>
      </w:pPr>
    </w:p>
    <w:p>
      <w:pPr>
        <w:ind w:left="780" w:right="220"/>
        <w:spacing w:after="0" w:line="323" w:lineRule="auto"/>
        <w:rPr>
          <w:rFonts w:ascii="Arial" w:cs="Arial" w:eastAsia="Arial" w:hAnsi="Arial"/>
          <w:sz w:val="16"/>
          <w:szCs w:val="16"/>
          <w:color w:val="auto"/>
        </w:rPr>
      </w:pPr>
      <w:r>
        <w:rPr>
          <w:rFonts w:ascii="Arial" w:cs="Arial" w:eastAsia="Arial" w:hAnsi="Arial"/>
          <w:sz w:val="16"/>
          <w:szCs w:val="16"/>
          <w:color w:val="auto"/>
        </w:rPr>
        <w:t>(2)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44" w:lineRule="exact"/>
        <w:rPr>
          <w:rFonts w:ascii="Arial" w:cs="Arial" w:eastAsia="Arial" w:hAnsi="Arial"/>
          <w:sz w:val="16"/>
          <w:szCs w:val="16"/>
          <w:color w:val="auto"/>
        </w:rPr>
      </w:pPr>
    </w:p>
    <w:p>
      <w:pPr>
        <w:jc w:val="both"/>
        <w:ind w:left="780" w:firstLine="7"/>
        <w:spacing w:after="0" w:line="257" w:lineRule="auto"/>
        <w:tabs>
          <w:tab w:leader="none" w:pos="10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80" w:lineRule="exact"/>
        <w:rPr>
          <w:rFonts w:ascii="Arial" w:cs="Arial" w:eastAsia="Arial" w:hAnsi="Arial"/>
          <w:sz w:val="18"/>
          <w:szCs w:val="18"/>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30" w:lineRule="exact"/>
        <w:rPr>
          <w:rFonts w:ascii="Arial" w:cs="Arial" w:eastAsia="Arial" w:hAnsi="Arial"/>
          <w:sz w:val="18"/>
          <w:szCs w:val="18"/>
          <w:color w:val="auto"/>
        </w:rPr>
      </w:pPr>
    </w:p>
    <w:p>
      <w:pPr>
        <w:ind w:left="440" w:right="160" w:hanging="436"/>
        <w:spacing w:after="0" w:line="342"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29" w:lineRule="exact"/>
        <w:rPr>
          <w:rFonts w:ascii="Arial" w:cs="Arial" w:eastAsia="Arial" w:hAnsi="Arial"/>
          <w:sz w:val="16"/>
          <w:szCs w:val="16"/>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30" w:lineRule="exact"/>
        <w:rPr>
          <w:rFonts w:ascii="Arial" w:cs="Arial" w:eastAsia="Arial" w:hAnsi="Arial"/>
          <w:sz w:val="18"/>
          <w:szCs w:val="18"/>
          <w:color w:val="auto"/>
        </w:rPr>
      </w:pPr>
    </w:p>
    <w:p>
      <w:pPr>
        <w:ind w:left="440" w:right="180" w:hanging="436"/>
        <w:spacing w:after="0" w:line="277"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6" w:name="page17"/>
    <w:bookmarkEnd w:id="16"/>
    <w:p>
      <w:pPr>
        <w:ind w:left="600" w:right="220"/>
        <w:spacing w:after="0" w:line="286" w:lineRule="auto"/>
        <w:rPr>
          <w:sz w:val="20"/>
          <w:szCs w:val="20"/>
          <w:color w:val="auto"/>
        </w:rPr>
      </w:pPr>
      <w:r>
        <w:rPr>
          <w:rFonts w:ascii="Arial" w:cs="Arial" w:eastAsia="Arial" w:hAnsi="Arial"/>
          <w:sz w:val="17"/>
          <w:szCs w:val="17"/>
          <w:color w:val="auto"/>
        </w:rPr>
        <w:t>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71" w:lineRule="exact"/>
        <w:rPr>
          <w:sz w:val="20"/>
          <w:szCs w:val="20"/>
          <w:color w:val="auto"/>
        </w:rPr>
      </w:pPr>
    </w:p>
    <w:p>
      <w:pPr>
        <w:ind w:left="600" w:right="180" w:hanging="436"/>
        <w:spacing w:after="0" w:line="276"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60" w:lineRule="exact"/>
        <w:rPr>
          <w:sz w:val="20"/>
          <w:szCs w:val="20"/>
          <w:color w:val="auto"/>
        </w:rPr>
      </w:pPr>
    </w:p>
    <w:p>
      <w:pPr>
        <w:jc w:val="both"/>
        <w:ind w:left="-60" w:right="40" w:firstLine="233"/>
        <w:spacing w:after="0" w:line="314" w:lineRule="auto"/>
        <w:tabs>
          <w:tab w:leader="none" w:pos="34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34" w:lineRule="exact"/>
        <w:rPr>
          <w:rFonts w:ascii="Arial" w:cs="Arial" w:eastAsia="Arial" w:hAnsi="Arial"/>
          <w:sz w:val="16"/>
          <w:szCs w:val="16"/>
          <w:b w:val="1"/>
          <w:bCs w:val="1"/>
          <w:color w:val="auto"/>
        </w:rPr>
      </w:pPr>
    </w:p>
    <w:p>
      <w:pPr>
        <w:ind w:left="-60" w:firstLine="233"/>
        <w:spacing w:after="0" w:line="258" w:lineRule="auto"/>
        <w:tabs>
          <w:tab w:leader="none" w:pos="34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75" w:lineRule="exact"/>
        <w:rPr>
          <w:rFonts w:ascii="Arial" w:cs="Arial" w:eastAsia="Arial" w:hAnsi="Arial"/>
          <w:sz w:val="18"/>
          <w:szCs w:val="18"/>
          <w:b w:val="1"/>
          <w:bCs w:val="1"/>
          <w:color w:val="auto"/>
        </w:rPr>
      </w:pPr>
    </w:p>
    <w:p>
      <w:pPr>
        <w:ind w:left="440" w:hanging="267"/>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60" w:right="100" w:firstLine="233"/>
        <w:spacing w:after="0" w:line="255" w:lineRule="auto"/>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7" w:name="page18"/>
    <w:bookmarkEnd w:id="17"/>
    <w:p>
      <w:pPr>
        <w:ind w:right="140" w:firstLine="233"/>
        <w:spacing w:after="0" w:line="347" w:lineRule="auto"/>
        <w:tabs>
          <w:tab w:leader="none" w:pos="49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provided and will continue to provide Executive with access to “Confidential Information” relating to the business of the Company and its affiliates.</w:t>
      </w:r>
    </w:p>
    <w:p>
      <w:pPr>
        <w:spacing w:after="0" w:line="1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6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8" w:name="page19"/>
    <w:bookmarkEnd w:id="18"/>
    <w:p>
      <w:pPr>
        <w:ind w:right="20"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75" w:lineRule="exact"/>
        <w:rPr>
          <w:sz w:val="20"/>
          <w:szCs w:val="20"/>
          <w:color w:val="auto"/>
        </w:rPr>
      </w:pPr>
    </w:p>
    <w:p>
      <w:pPr>
        <w:ind w:right="20" w:firstLine="233"/>
        <w:spacing w:after="0" w:line="292" w:lineRule="auto"/>
        <w:tabs>
          <w:tab w:leader="none" w:pos="47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The Company agrees to and shall provide Executive with immediate access to Confidential Information.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58" w:lineRule="exact"/>
        <w:rPr>
          <w:sz w:val="20"/>
          <w:szCs w:val="20"/>
          <w:color w:val="auto"/>
        </w:rPr>
      </w:pPr>
    </w:p>
    <w:p>
      <w:pPr>
        <w:ind w:left="360" w:right="40"/>
        <w:spacing w:after="0" w:line="276" w:lineRule="auto"/>
        <w:rPr>
          <w:sz w:val="20"/>
          <w:szCs w:val="20"/>
          <w:color w:val="auto"/>
        </w:rPr>
      </w:pPr>
      <w:r>
        <w:rPr>
          <w:rFonts w:ascii="Arial" w:cs="Arial" w:eastAsia="Arial" w:hAnsi="Arial"/>
          <w:sz w:val="17"/>
          <w:szCs w:val="17"/>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79"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76" w:lineRule="exact"/>
        <w:rPr>
          <w:sz w:val="20"/>
          <w:szCs w:val="20"/>
          <w:color w:val="auto"/>
        </w:rPr>
      </w:pPr>
    </w:p>
    <w:p>
      <w:pPr>
        <w:jc w:val="both"/>
        <w:ind w:right="260" w:firstLine="233"/>
        <w:spacing w:after="0" w:line="261" w:lineRule="auto"/>
        <w:tabs>
          <w:tab w:leader="none" w:pos="49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71" w:lineRule="exact"/>
        <w:rPr>
          <w:rFonts w:ascii="Arial" w:cs="Arial" w:eastAsia="Arial" w:hAnsi="Arial"/>
          <w:sz w:val="18"/>
          <w:szCs w:val="18"/>
          <w:b w:val="1"/>
          <w:bCs w:val="1"/>
          <w:color w:val="auto"/>
        </w:rPr>
      </w:pPr>
    </w:p>
    <w:p>
      <w:pPr>
        <w:ind w:right="120" w:firstLine="233"/>
        <w:spacing w:after="0" w:line="261" w:lineRule="auto"/>
        <w:tabs>
          <w:tab w:leader="none" w:pos="4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right="20" w:firstLine="233"/>
        <w:spacing w:after="0" w:line="261" w:lineRule="auto"/>
        <w:tabs>
          <w:tab w:leader="none" w:pos="45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17" w:lineRule="exact"/>
        <w:rPr>
          <w:sz w:val="20"/>
          <w:szCs w:val="20"/>
          <w:color w:val="auto"/>
        </w:rPr>
      </w:pPr>
    </w:p>
    <w:p>
      <w:pPr>
        <w:ind w:firstLine="233"/>
        <w:spacing w:after="0" w:line="289" w:lineRule="auto"/>
        <w:tabs>
          <w:tab w:leader="none" w:pos="477"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50" w:lineRule="exact"/>
        <w:rPr>
          <w:rFonts w:ascii="Arial" w:cs="Arial" w:eastAsia="Arial" w:hAnsi="Arial"/>
          <w:sz w:val="17"/>
          <w:szCs w:val="17"/>
          <w:b w:val="1"/>
          <w:bCs w:val="1"/>
          <w:color w:val="auto"/>
        </w:rPr>
      </w:pPr>
    </w:p>
    <w:p>
      <w:pPr>
        <w:ind w:left="500" w:hanging="267"/>
        <w:spacing w:after="0"/>
        <w:tabs>
          <w:tab w:leader="none" w:pos="500"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4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competent jurisdiction expended and costs, including reasonable attorney’s fees, incurred by the Company to enforce the covenants set forth in this section.</w:t>
      </w:r>
    </w:p>
    <w:p>
      <w:pPr>
        <w:spacing w:after="0" w:line="136" w:lineRule="exact"/>
        <w:rPr>
          <w:sz w:val="20"/>
          <w:szCs w:val="20"/>
          <w:color w:val="auto"/>
        </w:rPr>
      </w:pPr>
    </w:p>
    <w:p>
      <w:pPr>
        <w:ind w:firstLine="233"/>
        <w:spacing w:after="0" w:line="290" w:lineRule="auto"/>
        <w:tabs>
          <w:tab w:leader="none" w:pos="4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Disputes and Payment of Attorney’s Fees.</w:t>
      </w:r>
    </w:p>
    <w:p>
      <w:pPr>
        <w:spacing w:after="0" w:line="12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Requirement of Timely Payments.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Source of Payments.</w:t>
      </w:r>
    </w:p>
    <w:p>
      <w:pPr>
        <w:spacing w:after="0" w:line="12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shall be no greater than the right of an unsecured creditor of the Company.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Assignment.</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Entire Agreement; Amendment.</w:t>
      </w:r>
    </w:p>
    <w:p>
      <w:pPr>
        <w:spacing w:after="0" w:line="121"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Governing Law.</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Notices.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1040"/>
              <w:spacing w:after="0"/>
              <w:rPr>
                <w:sz w:val="20"/>
                <w:szCs w:val="20"/>
                <w:color w:val="auto"/>
              </w:rPr>
            </w:pPr>
            <w:r>
              <w:rPr>
                <w:rFonts w:ascii="Arial" w:cs="Arial" w:eastAsia="Arial" w:hAnsi="Arial"/>
                <w:sz w:val="18"/>
                <w:szCs w:val="18"/>
                <w:color w:val="auto"/>
              </w:rPr>
              <w:t>To the Company:</w:t>
            </w:r>
          </w:p>
        </w:tc>
        <w:tc>
          <w:tcPr>
            <w:tcW w:w="7940" w:type="dxa"/>
            <w:vAlign w:val="bottom"/>
          </w:tcPr>
          <w:p>
            <w:pPr>
              <w:ind w:left="1200"/>
              <w:spacing w:after="0"/>
              <w:rPr>
                <w:sz w:val="20"/>
                <w:szCs w:val="20"/>
                <w:color w:val="auto"/>
              </w:rPr>
            </w:pPr>
            <w:r>
              <w:rPr>
                <w:rFonts w:ascii="Arial" w:cs="Arial" w:eastAsia="Arial" w:hAnsi="Arial"/>
                <w:sz w:val="18"/>
                <w:szCs w:val="18"/>
                <w:color w:val="auto"/>
              </w:rPr>
              <w:t>Waste Management , Inc.</w:t>
            </w:r>
          </w:p>
        </w:tc>
      </w:tr>
      <w:tr>
        <w:trPr>
          <w:trHeight w:val="216"/>
        </w:trPr>
        <w:tc>
          <w:tcPr>
            <w:tcW w:w="348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1001 Fannin, Suite 4000</w:t>
            </w:r>
          </w:p>
        </w:tc>
      </w:tr>
      <w:tr>
        <w:trPr>
          <w:trHeight w:val="216"/>
        </w:trPr>
        <w:tc>
          <w:tcPr>
            <w:tcW w:w="348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Houston, Texas 77002</w:t>
            </w:r>
          </w:p>
        </w:tc>
      </w:tr>
      <w:tr>
        <w:trPr>
          <w:trHeight w:val="230"/>
        </w:trPr>
        <w:tc>
          <w:tcPr>
            <w:tcW w:w="348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Attention: Corporate Secretary</w:t>
            </w:r>
          </w:p>
        </w:tc>
      </w:tr>
      <w:tr>
        <w:trPr>
          <w:trHeight w:val="432"/>
        </w:trPr>
        <w:tc>
          <w:tcPr>
            <w:tcW w:w="3480" w:type="dxa"/>
            <w:vAlign w:val="bottom"/>
          </w:tcPr>
          <w:p>
            <w:pPr>
              <w:ind w:left="1040"/>
              <w:spacing w:after="0"/>
              <w:rPr>
                <w:sz w:val="20"/>
                <w:szCs w:val="20"/>
                <w:color w:val="auto"/>
              </w:rPr>
            </w:pPr>
            <w:r>
              <w:rPr>
                <w:rFonts w:ascii="Arial" w:cs="Arial" w:eastAsia="Arial" w:hAnsi="Arial"/>
                <w:sz w:val="18"/>
                <w:szCs w:val="18"/>
                <w:color w:val="auto"/>
              </w:rPr>
              <w:t>To Executive:</w:t>
            </w:r>
          </w:p>
        </w:tc>
        <w:tc>
          <w:tcPr>
            <w:tcW w:w="7940" w:type="dxa"/>
            <w:vAlign w:val="bottom"/>
          </w:tcPr>
          <w:p>
            <w:pPr>
              <w:ind w:left="1200"/>
              <w:spacing w:after="0"/>
              <w:rPr>
                <w:sz w:val="20"/>
                <w:szCs w:val="20"/>
                <w:color w:val="auto"/>
              </w:rPr>
            </w:pPr>
            <w:r>
              <w:rPr>
                <w:rFonts w:ascii="Arial" w:cs="Arial" w:eastAsia="Arial" w:hAnsi="Arial"/>
                <w:sz w:val="18"/>
                <w:szCs w:val="18"/>
                <w:color w:val="auto"/>
              </w:rPr>
              <w:t>At the address for Executive set forth below.</w:t>
            </w:r>
          </w:p>
        </w:tc>
      </w:tr>
      <w:tr>
        <w:trPr>
          <w:trHeight w:val="405"/>
        </w:trPr>
        <w:tc>
          <w:tcPr>
            <w:tcW w:w="3480" w:type="dxa"/>
            <w:vAlign w:val="bottom"/>
          </w:tcPr>
          <w:p>
            <w:pPr>
              <w:spacing w:after="0"/>
              <w:rPr>
                <w:sz w:val="24"/>
                <w:szCs w:val="24"/>
                <w:color w:val="auto"/>
              </w:rPr>
            </w:pPr>
          </w:p>
        </w:tc>
        <w:tc>
          <w:tcPr>
            <w:tcW w:w="7940" w:type="dxa"/>
            <w:vAlign w:val="bottom"/>
          </w:tcPr>
          <w:p>
            <w:pPr>
              <w:ind w:left="2140"/>
              <w:spacing w:after="0"/>
              <w:rPr>
                <w:sz w:val="20"/>
                <w:szCs w:val="20"/>
                <w:color w:val="auto"/>
              </w:rPr>
            </w:pPr>
            <w:r>
              <w:rPr>
                <w:rFonts w:ascii="Arial" w:cs="Arial" w:eastAsia="Arial" w:hAnsi="Arial"/>
                <w:sz w:val="18"/>
                <w:szCs w:val="18"/>
                <w:color w:val="auto"/>
              </w:rPr>
              <w:t>16</w:t>
            </w:r>
          </w:p>
        </w:tc>
      </w:tr>
      <w:tr>
        <w:trPr>
          <w:trHeight w:val="226"/>
        </w:trPr>
        <w:tc>
          <w:tcPr>
            <w:tcW w:w="348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left="200"/>
        <w:spacing w:after="0"/>
        <w:rPr>
          <w:sz w:val="20"/>
          <w:szCs w:val="20"/>
          <w:color w:val="auto"/>
        </w:rPr>
      </w:pPr>
      <w:r>
        <w:rPr>
          <w:rFonts w:ascii="Arial" w:cs="Arial" w:eastAsia="Arial" w:hAnsi="Arial"/>
          <w:sz w:val="18"/>
          <w:szCs w:val="18"/>
          <w:b w:val="1"/>
          <w:bCs w:val="1"/>
          <w:color w:val="auto"/>
        </w:rPr>
        <w:t>22. Miscellaneous.</w:t>
      </w:r>
    </w:p>
    <w:p>
      <w:pPr>
        <w:spacing w:after="0" w:line="117" w:lineRule="exact"/>
        <w:rPr>
          <w:sz w:val="20"/>
          <w:szCs w:val="20"/>
          <w:color w:val="auto"/>
        </w:rPr>
      </w:pPr>
    </w:p>
    <w:p>
      <w:pPr>
        <w:ind w:left="-40" w:right="20" w:firstLine="233"/>
        <w:spacing w:after="0" w:line="282" w:lineRule="auto"/>
        <w:tabs>
          <w:tab w:leader="none" w:pos="43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left="-40" w:right="180" w:firstLine="233"/>
        <w:spacing w:after="0" w:line="266" w:lineRule="auto"/>
        <w:tabs>
          <w:tab w:leader="none" w:pos="45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440" w:hanging="247"/>
        <w:spacing w:after="0"/>
        <w:tabs>
          <w:tab w:leader="none" w:pos="4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460" w:hanging="267"/>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left="-40" w:firstLine="233"/>
        <w:spacing w:after="0" w:line="282" w:lineRule="auto"/>
        <w:tabs>
          <w:tab w:leader="none" w:pos="43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Potential Limitation on Severance Benefits.</w:t>
      </w:r>
    </w:p>
    <w:p>
      <w:pPr>
        <w:spacing w:after="0" w:line="117" w:lineRule="exact"/>
        <w:rPr>
          <w:sz w:val="20"/>
          <w:szCs w:val="20"/>
          <w:color w:val="auto"/>
        </w:rPr>
      </w:pPr>
    </w:p>
    <w:p>
      <w:pPr>
        <w:ind w:left="-40" w:right="140" w:firstLine="233"/>
        <w:spacing w:after="0" w:line="255" w:lineRule="auto"/>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Severance Amount. </w:t>
      </w:r>
      <w:r>
        <w:rPr>
          <w:rFonts w:ascii="Arial" w:cs="Arial" w:eastAsia="Arial" w:hAnsi="Arial"/>
          <w:sz w:val="18"/>
          <w:szCs w:val="18"/>
          <w:color w:val="auto"/>
        </w:rPr>
        <w:t>Notwithstanding any provision in this Agreement to the contrary, in the event of a qualifying termination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under Section 6(e) or Section 7 of this Agreement it is determined by the Company that the present value of payments or distributions by the Company, its subsidiaries or affiliated entities to or for the benefit of the Executive (whether paid or provided pursuant to the terms of this Agreement or otherwise) (“Severance Benefits”)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81" w:lineRule="exact"/>
        <w:rPr>
          <w:rFonts w:ascii="Arial" w:cs="Arial" w:eastAsia="Arial" w:hAnsi="Arial"/>
          <w:sz w:val="18"/>
          <w:szCs w:val="18"/>
          <w:b w:val="1"/>
          <w:bCs w:val="1"/>
          <w:color w:val="auto"/>
        </w:rPr>
      </w:pPr>
    </w:p>
    <w:p>
      <w:pPr>
        <w:ind w:left="-40" w:right="60" w:firstLine="233"/>
        <w:spacing w:after="0" w:line="273" w:lineRule="auto"/>
        <w:tabs>
          <w:tab w:leader="none" w:pos="45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Calculation of Maximum Severance Amount. </w:t>
      </w:r>
      <w:r>
        <w:rPr>
          <w:rFonts w:ascii="Arial" w:cs="Arial" w:eastAsia="Arial" w:hAnsi="Arial"/>
          <w:sz w:val="17"/>
          <w:szCs w:val="17"/>
          <w:color w:val="auto"/>
        </w:rPr>
        <w:t>For purposes of determining the Maximum Severance Amount under this Section 23,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in the calculation of the Maximum Severance Amount will include: (i) cash amounts payable by the Company in the event of termination of Executive’s employment; and (ii) the present value of benefits or perquisites provided for periods after termination of employment (but excluding benefits or perquisites provided to employees generally). The calculation of the Maximum Severance Amount will not include the following benefits: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24" w:name="page25"/>
    <w:bookmarkEnd w:id="24"/>
    <w:p>
      <w:pPr>
        <w:jc w:val="both"/>
        <w:ind w:right="120"/>
        <w:spacing w:after="0" w:line="259" w:lineRule="auto"/>
        <w:rPr>
          <w:sz w:val="20"/>
          <w:szCs w:val="20"/>
          <w:color w:val="auto"/>
        </w:rPr>
      </w:pPr>
      <w:r>
        <w:rPr>
          <w:rFonts w:ascii="Arial" w:cs="Arial" w:eastAsia="Arial" w:hAnsi="Arial"/>
          <w:sz w:val="18"/>
          <w:szCs w:val="18"/>
          <w:color w:val="auto"/>
        </w:rPr>
        <w:t>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75" w:lineRule="exact"/>
        <w:rPr>
          <w:sz w:val="20"/>
          <w:szCs w:val="20"/>
          <w:color w:val="auto"/>
        </w:rPr>
      </w:pPr>
    </w:p>
    <w:p>
      <w:pPr>
        <w:ind w:firstLine="233"/>
        <w:spacing w:after="0" w:line="285" w:lineRule="auto"/>
        <w:tabs>
          <w:tab w:leader="none" w:pos="470"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Possible Further Reduction. </w:t>
      </w:r>
      <w:r>
        <w:rPr>
          <w:rFonts w:ascii="Arial" w:cs="Arial" w:eastAsia="Arial" w:hAnsi="Arial"/>
          <w:sz w:val="16"/>
          <w:szCs w:val="16"/>
          <w:color w:val="auto"/>
        </w:rPr>
        <w:t>Following application of Section 23(b), in the event that the payment of the remaining Severance Benefits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payment or benefit received in connection with a Change in Control or the termination of Executive’s employment), would be subject (in whole or part), to any excise tax imposed under section 4999 of the Code (the “Excise Tax”), then the cash portion of the Severance Benefits shall first be further reduced, and the non-cash Severance Benefits shall thereafter be further reduced, to the extent necessary so that no portion of the Severance Benefits is subject to the Excise Tax, but only if (i) the net amount of the Severance Benefits to be received by Executive, as so additionally reduced by this Section 23(c) (and after subtracting the net amount of federal, state and local income taxes on such additionally reduced Severance Benefits and after taking into account the phase out of itemized deductions and personal exemptions attributable to such additionally reduced Severance Benefits) is greater than or equal to</w:t>
      </w:r>
    </w:p>
    <w:p>
      <w:pPr>
        <w:spacing w:after="0" w:line="1" w:lineRule="exact"/>
        <w:rPr>
          <w:rFonts w:ascii="Arial" w:cs="Arial" w:eastAsia="Arial" w:hAnsi="Arial"/>
          <w:sz w:val="16"/>
          <w:szCs w:val="16"/>
          <w:b w:val="1"/>
          <w:bCs w:val="1"/>
          <w:color w:val="auto"/>
        </w:rPr>
      </w:pPr>
    </w:p>
    <w:p>
      <w:pPr>
        <w:ind w:right="60" w:firstLine="8"/>
        <w:spacing w:after="0" w:line="253"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net amount of the Severance Benefits to be received by Executive without such additional reduction (but after subtracting the net amount of federal, state and local income taxes on such Severance Benefits and the amount of Excise Tax to which Executive would be subject in respect of such unreduced Severance Benefits and after taking into account the phase out of itemized deductions and personal exemptions attributable to such unreduced Severance Benefits ); provided, however, that Executive may elect to have the non-cash portion of the Severance Benefits reduced (or eliminated) prior to any reduction of the cash portion of the Severance Benefits.</w:t>
      </w:r>
    </w:p>
    <w:p>
      <w:pPr>
        <w:spacing w:after="0" w:line="79" w:lineRule="exact"/>
        <w:rPr>
          <w:rFonts w:ascii="Arial" w:cs="Arial" w:eastAsia="Arial" w:hAnsi="Arial"/>
          <w:sz w:val="18"/>
          <w:szCs w:val="18"/>
          <w:color w:val="auto"/>
        </w:rPr>
      </w:pPr>
    </w:p>
    <w:p>
      <w:pPr>
        <w:ind w:right="40" w:firstLine="233"/>
        <w:spacing w:after="0" w:line="289" w:lineRule="auto"/>
        <w:tabs>
          <w:tab w:leader="none" w:pos="490"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Excise Tax. </w:t>
      </w:r>
      <w:r>
        <w:rPr>
          <w:rFonts w:ascii="Arial" w:cs="Arial" w:eastAsia="Arial" w:hAnsi="Arial"/>
          <w:sz w:val="16"/>
          <w:szCs w:val="16"/>
          <w:color w:val="auto"/>
        </w:rPr>
        <w:t>For purposes of determining whether and the extent to which portions of the Severance Benefits will be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(i) no portion of the Severance Benefits the receipt or enjoyment of which Executive shall have waived at such time and in such manner as not to constitute a “payment” within the meaning of section 280G(b) of the Code shall be taken into account, (ii) no portion of the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section 280G(b)(2) of the Code (including by reason of section 280G(b)(4)(A) of the Code) and, in calculating the Excise Tax, no portion of such Severance Benefits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Severance Benefits shall be determined by the Auditor in accordance with the principles of sections 280G(d)(3) and (4) of the Code.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280" w:firstLine="233"/>
        <w:spacing w:after="0" w:line="282" w:lineRule="auto"/>
        <w:tabs>
          <w:tab w:leader="none" w:pos="47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Determination of Present Value. </w:t>
      </w:r>
      <w:r>
        <w:rPr>
          <w:rFonts w:ascii="Arial" w:cs="Arial" w:eastAsia="Arial" w:hAnsi="Arial"/>
          <w:sz w:val="18"/>
          <w:szCs w:val="18"/>
          <w:color w:val="auto"/>
        </w:rPr>
        <w:t>For purposes of this Section 23, the present value of Severance Benefits shall be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280G(d)(4) of the Code.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24. Code Section 409A.</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the intention of the Company and Executive that his Agreement not result in an unfavorable tax consequences to Executive under section 409A of the Code. Accordingly, Executive consents to any amendment of this Agreement as the Company may reasonably make in furtherance of such intention, and the Company shall promptly provide, or make available to, Executive a copy of such amendment.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James Schultz</w:t>
            </w:r>
          </w:p>
        </w:tc>
        <w:tc>
          <w:tcPr>
            <w:tcW w:w="5060" w:type="dxa"/>
            <w:vAlign w:val="bottom"/>
            <w:gridSpan w:val="2"/>
          </w:tcPr>
          <w:p>
            <w:pPr>
              <w:ind w:left="200"/>
              <w:spacing w:after="0"/>
              <w:rPr>
                <w:sz w:val="20"/>
                <w:szCs w:val="20"/>
                <w:color w:val="auto"/>
              </w:rPr>
            </w:pPr>
            <w:r>
              <w:rPr>
                <w:rFonts w:ascii="Arial" w:cs="Arial" w:eastAsia="Arial" w:hAnsi="Arial"/>
                <w:sz w:val="18"/>
                <w:szCs w:val="18"/>
                <w:b w:val="1"/>
                <w:bCs w:val="1"/>
                <w:color w:val="auto"/>
              </w:rPr>
              <w:t>WASTE MANAGEMENT, INC.</w:t>
            </w: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James Schultz</w:t>
            </w: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(The “Company”)</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By:    /s/ Jimmy LaValley</w:t>
            </w:r>
          </w:p>
        </w:tc>
      </w:tr>
      <w:tr>
        <w:trPr>
          <w:trHeight w:val="209"/>
        </w:trPr>
        <w:tc>
          <w:tcPr>
            <w:tcW w:w="2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Home Address</w:t>
            </w:r>
          </w:p>
        </w:tc>
        <w:tc>
          <w:tcPr>
            <w:tcW w:w="50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LaValley</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060" w:type="dxa"/>
            <w:vAlign w:val="bottom"/>
            <w:gridSpan w:val="2"/>
          </w:tcPr>
          <w:p>
            <w:pPr>
              <w:ind w:left="500"/>
              <w:spacing w:after="0"/>
              <w:rPr>
                <w:sz w:val="20"/>
                <w:szCs w:val="20"/>
                <w:color w:val="auto"/>
              </w:rPr>
            </w:pPr>
            <w:r>
              <w:rPr>
                <w:rFonts w:ascii="Arial" w:cs="Arial" w:eastAsia="Arial" w:hAnsi="Arial"/>
                <w:sz w:val="18"/>
                <w:szCs w:val="18"/>
                <w:color w:val="auto"/>
              </w:rPr>
              <w:t>Senior Vice President &amp; Chief</w:t>
            </w: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060" w:type="dxa"/>
            <w:vAlign w:val="bottom"/>
            <w:gridSpan w:val="2"/>
          </w:tcPr>
          <w:p>
            <w:pPr>
              <w:ind w:left="500"/>
              <w:spacing w:after="0"/>
              <w:rPr>
                <w:sz w:val="20"/>
                <w:szCs w:val="20"/>
                <w:color w:val="auto"/>
              </w:rPr>
            </w:pPr>
            <w:r>
              <w:rPr>
                <w:rFonts w:ascii="Arial" w:cs="Arial" w:eastAsia="Arial" w:hAnsi="Arial"/>
                <w:sz w:val="18"/>
                <w:szCs w:val="18"/>
                <w:color w:val="auto"/>
              </w:rPr>
              <w:t>People Officer</w:t>
            </w:r>
          </w:p>
        </w:tc>
      </w:tr>
      <w:tr>
        <w:trPr>
          <w:trHeight w:val="216"/>
        </w:trPr>
        <w:tc>
          <w:tcPr>
            <w:tcW w:w="4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City, State, ZIP Code</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060" w:type="dxa"/>
            <w:vAlign w:val="bottom"/>
            <w:gridSpan w:val="2"/>
          </w:tcPr>
          <w:p>
            <w:pPr>
              <w:jc w:val="right"/>
              <w:ind w:right="3710"/>
              <w:spacing w:after="0"/>
              <w:rPr>
                <w:sz w:val="20"/>
                <w:szCs w:val="20"/>
                <w:color w:val="auto"/>
              </w:rPr>
            </w:pPr>
            <w:r>
              <w:rPr>
                <w:rFonts w:ascii="Arial" w:cs="Arial" w:eastAsia="Arial" w:hAnsi="Arial"/>
                <w:sz w:val="18"/>
                <w:szCs w:val="18"/>
                <w:color w:val="auto"/>
              </w:rPr>
              <w:t>19</w:t>
            </w:r>
          </w:p>
        </w:tc>
      </w:tr>
    </w:tbl>
    <w:p>
      <w:pPr>
        <w:spacing w:after="0" w:line="1" w:lineRule="exact"/>
        <w:rPr>
          <w:sz w:val="20"/>
          <w:szCs w:val="20"/>
          <w:color w:val="auto"/>
        </w:rPr>
      </w:pPr>
    </w:p>
    <w:sectPr>
      <w:pgSz w:w="11900" w:h="16838" w:orient="portrait"/>
      <w:cols w:equalWidth="0" w:num="1">
        <w:col w:w="11300"/>
      </w:cols>
      <w:pgMar w:left="24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Letter"/>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4"/>
    </w:lvl>
    <w:lvl w:ilvl="1">
      <w:lvlJc w:val="left"/>
      <w:lvlText w:val="%2"/>
      <w:numFmt w:val="lowerLetter"/>
      <w:start w:val="1"/>
    </w:lvl>
  </w:abstractNum>
  <w:abstractNum w:abstractNumId="3">
    <w:nsid w:val="75A2A8D4"/>
    <w:multiLevelType w:val="hybridMultilevel"/>
    <w:lvl w:ilvl="0">
      <w:lvlJc w:val="left"/>
      <w:lvlText w:val="(%1)"/>
      <w:numFmt w:val="lowerLetter"/>
      <w:start w:val="9"/>
    </w:lvl>
    <w:lvl w:ilvl="1">
      <w:lvlJc w:val="left"/>
      <w:lvlText w:val="%2"/>
      <w:numFmt w:val="lowerLetter"/>
      <w:start w:val="1"/>
    </w:lvl>
  </w:abstractNum>
  <w:abstractNum w:abstractNumId="4">
    <w:nsid w:val="8EDBDAB"/>
    <w:multiLevelType w:val="hybridMultilevel"/>
    <w:lvl w:ilvl="0">
      <w:lvlJc w:val="left"/>
      <w:lvlText w:val="(%1)"/>
      <w:numFmt w:val="lowerRoman"/>
      <w:start w:val="2"/>
    </w:lvl>
    <w:lvl w:ilvl="1">
      <w:lvlJc w:val="left"/>
      <w:lvlText w:val="%2."/>
      <w:numFmt w:val="decimal"/>
      <w:start w:val="5"/>
    </w:lvl>
  </w:abstractNum>
  <w:abstractNum w:abstractNumId="5">
    <w:nsid w:val="79838CB2"/>
    <w:multiLevelType w:val="hybridMultilevel"/>
    <w:lvl w:ilvl="0">
      <w:lvlJc w:val="left"/>
      <w:lvlText w:val="(%1)"/>
      <w:numFmt w:val="lowerLetter"/>
      <w:start w:val="1"/>
    </w:lvl>
    <w:lvl w:ilvl="1">
      <w:lvlJc w:val="left"/>
      <w:lvlText w:val="%2"/>
      <w:numFmt w:val="lowerLetter"/>
      <w:start w:val="1"/>
    </w:lvl>
  </w:abstractNum>
  <w:abstractNum w:abstractNumId="6">
    <w:nsid w:val="4353D0CD"/>
    <w:multiLevelType w:val="hybridMultilevel"/>
    <w:lvl w:ilvl="0">
      <w:lvlJc w:val="left"/>
      <w:lvlText w:val="(%1)"/>
      <w:numFmt w:val="lowerLetter"/>
      <w:start w:val="9"/>
    </w:lvl>
    <w:lvl w:ilvl="1">
      <w:lvlJc w:val="left"/>
      <w:lvlText w:val="%2"/>
      <w:numFmt w:val="lowerLetter"/>
      <w:start w:val="1"/>
    </w:lvl>
  </w:abstractNum>
  <w:abstractNum w:abstractNumId="7">
    <w:nsid w:val="B03E0C6"/>
    <w:multiLevelType w:val="hybridMultilevel"/>
    <w:lvl w:ilvl="0">
      <w:lvlJc w:val="left"/>
      <w:lvlText w:val="(%1)"/>
      <w:numFmt w:val="lowerLetter"/>
      <w:start w:val="35"/>
    </w:lvl>
    <w:lvl w:ilvl="1">
      <w:lvlJc w:val="left"/>
      <w:lvlText w:val="%2"/>
      <w:numFmt w:val="lowerLetter"/>
      <w:start w:val="1"/>
    </w:lvl>
  </w:abstractNum>
  <w:abstractNum w:abstractNumId="8">
    <w:nsid w:val="189A769B"/>
    <w:multiLevelType w:val="hybridMultilevel"/>
    <w:lvl w:ilvl="0">
      <w:lvlJc w:val="left"/>
      <w:lvlText w:val="(%1)"/>
      <w:numFmt w:val="lowerLetter"/>
      <w:start w:val="4"/>
    </w:lvl>
    <w:lvl w:ilvl="1">
      <w:lvlJc w:val="left"/>
      <w:lvlText w:val="%2"/>
      <w:numFmt w:val="lowerLetter"/>
      <w:start w:val="1"/>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1)"/>
      <w:numFmt w:val="lowerLetter"/>
      <w:start w:val="5"/>
    </w:lvl>
  </w:abstractNum>
  <w:abstractNum w:abstractNumId="11">
    <w:nsid w:val="2CA88611"/>
    <w:multiLevelType w:val="hybridMultilevel"/>
    <w:lvl w:ilvl="0">
      <w:lvlJc w:val="left"/>
      <w:lvlText w:val="%1"/>
      <w:numFmt w:val="lowerRoman"/>
      <w:start w:val="1"/>
    </w:lvl>
    <w:lvl w:ilvl="1">
      <w:lvlJc w:val="left"/>
      <w:lvlText w:val="(%2)"/>
      <w:numFmt w:val="lowerLetter"/>
      <w:start w:val="1"/>
    </w:lvl>
  </w:abstractNum>
  <w:abstractNum w:abstractNumId="12">
    <w:nsid w:val="836C40E"/>
    <w:multiLevelType w:val="hybridMultilevel"/>
    <w:lvl w:ilvl="0">
      <w:lvlJc w:val="left"/>
      <w:lvlText w:val="%1"/>
      <w:numFmt w:val="lowerRoman"/>
      <w:start w:val="1"/>
    </w:lvl>
    <w:lvl w:ilvl="1">
      <w:lvlJc w:val="left"/>
      <w:lvlText w:val="(%2)"/>
      <w:numFmt w:val="lowerLetter"/>
      <w:start w:val="9"/>
    </w:lvl>
  </w:abstractNum>
  <w:abstractNum w:abstractNumId="13">
    <w:nsid w:val="2901D82"/>
    <w:multiLevelType w:val="hybridMultilevel"/>
    <w:lvl w:ilvl="0">
      <w:lvlJc w:val="left"/>
      <w:lvlText w:val="%1"/>
      <w:numFmt w:val="lowerRoman"/>
      <w:start w:val="1"/>
    </w:lvl>
    <w:lvl w:ilvl="1">
      <w:lvlJc w:val="left"/>
      <w:lvlText w:val="(%2)"/>
      <w:numFmt w:val="lowerLetter"/>
      <w:start w:val="35"/>
    </w:lvl>
  </w:abstractNum>
  <w:abstractNum w:abstractNumId="14">
    <w:nsid w:val="3A95F874"/>
    <w:multiLevelType w:val="hybridMultilevel"/>
    <w:lvl w:ilvl="0">
      <w:lvlJc w:val="left"/>
      <w:lvlText w:val="%1"/>
      <w:numFmt w:val="lowerRoman"/>
      <w:start w:val="1"/>
    </w:lvl>
    <w:lvl w:ilvl="1">
      <w:lvlJc w:val="left"/>
      <w:lvlText w:val="(%2)"/>
      <w:numFmt w:val="lowerLetter"/>
      <w:start w:val="2"/>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lowerRoman"/>
      <w:start w:val="1"/>
    </w:lvl>
    <w:lvl w:ilvl="1">
      <w:lvlJc w:val="left"/>
      <w:lvlText w:val="(%2)"/>
      <w:numFmt w:val="lowerLetter"/>
      <w:start w:val="3"/>
    </w:lvl>
  </w:abstractNum>
  <w:abstractNum w:abstractNumId="17">
    <w:nsid w:val="7C3DBD3D"/>
    <w:multiLevelType w:val="hybridMultilevel"/>
    <w:lvl w:ilvl="0">
      <w:lvlJc w:val="left"/>
      <w:lvlText w:val="%1"/>
      <w:numFmt w:val="lowerRoman"/>
      <w:start w:val="1"/>
    </w:lvl>
    <w:lvl w:ilvl="1">
      <w:lvlJc w:val="left"/>
      <w:lvlText w:val="(%2)"/>
      <w:numFmt w:val="lowerLetter"/>
      <w:start w:val="9"/>
    </w:lvl>
  </w:abstractNum>
  <w:abstractNum w:abstractNumId="18">
    <w:nsid w:val="737B8DDC"/>
    <w:multiLevelType w:val="hybridMultilevel"/>
    <w:lvl w:ilvl="0">
      <w:lvlJc w:val="left"/>
      <w:lvlText w:val="%1"/>
      <w:numFmt w:val="lowerRoman"/>
      <w:start w:val="1"/>
    </w:lvl>
    <w:lvl w:ilvl="1">
      <w:lvlJc w:val="left"/>
      <w:lvlText w:val="(%2)"/>
      <w:numFmt w:val="lowerLetter"/>
      <w:start w:val="35"/>
    </w:lvl>
  </w:abstractNum>
  <w:abstractNum w:abstractNumId="19">
    <w:nsid w:val="6CEAF087"/>
    <w:multiLevelType w:val="hybridMultilevel"/>
    <w:lvl w:ilvl="0">
      <w:lvlJc w:val="left"/>
      <w:lvlText w:val="%1"/>
      <w:numFmt w:val="lowerRoman"/>
      <w:start w:val="1"/>
    </w:lvl>
    <w:lvl w:ilvl="1">
      <w:lvlJc w:val="left"/>
      <w:lvlText w:val="(%2)"/>
      <w:numFmt w:val="lowerLetter"/>
      <w:start w:val="4"/>
    </w:lvl>
  </w:abstractNum>
  <w:abstractNum w:abstractNumId="20">
    <w:nsid w:val="22221A70"/>
    <w:multiLevelType w:val="hybridMultilevel"/>
    <w:lvl w:ilvl="0">
      <w:lvlJc w:val="left"/>
      <w:lvlText w:val="(%1)"/>
      <w:numFmt w:val="lowerRoman"/>
      <w:start w:val="1"/>
    </w:lvl>
    <w:lvl w:ilvl="1">
      <w:lvlJc w:val="left"/>
      <w:lvlText w:val="(%2)"/>
      <w:numFmt w:val="lowerLetter"/>
      <w:start w:val="5"/>
    </w:lvl>
  </w:abstractNum>
  <w:abstractNum w:abstractNumId="21">
    <w:nsid w:val="4516DDE9"/>
    <w:multiLevelType w:val="hybridMultilevel"/>
    <w:lvl w:ilvl="0">
      <w:lvlJc w:val="left"/>
      <w:lvlText w:val="(%1)"/>
      <w:numFmt w:val="lowerRoman"/>
      <w:start w:val="1"/>
    </w:lvl>
    <w:lvl w:ilvl="1">
      <w:lvlJc w:val="left"/>
      <w:lvlText w:val="(%2)"/>
      <w:numFmt w:val="lowerLetter"/>
      <w:start w:val="6"/>
    </w:lvl>
  </w:abstractNum>
  <w:abstractNum w:abstractNumId="22">
    <w:nsid w:val="3006C83E"/>
    <w:multiLevelType w:val="hybridMultilevel"/>
    <w:lvl w:ilvl="0">
      <w:lvlJc w:val="left"/>
      <w:lvlText w:val="(%1)"/>
      <w:numFmt w:val="lowerRoman"/>
      <w:start w:val="1"/>
    </w:lvl>
    <w:lvl w:ilvl="1">
      <w:lvlJc w:val="left"/>
      <w:lvlText w:val="%2."/>
      <w:numFmt w:val="decimal"/>
      <w:start w:val="7"/>
    </w:lvl>
  </w:abstractNum>
  <w:abstractNum w:abstractNumId="23">
    <w:nsid w:val="614FD4A1"/>
    <w:multiLevelType w:val="hybridMultilevel"/>
    <w:lvl w:ilvl="0">
      <w:lvlJc w:val="left"/>
      <w:lvlText w:val="%1"/>
      <w:numFmt w:val="lowerRoman"/>
      <w:start w:val="1"/>
    </w:lvl>
    <w:lvl w:ilvl="1">
      <w:lvlJc w:val="left"/>
      <w:lvlText w:val="(%2)"/>
      <w:numFmt w:val="lowerLetter"/>
      <w:start w:val="1"/>
    </w:lvl>
  </w:abstractNum>
  <w:abstractNum w:abstractNumId="24">
    <w:nsid w:val="419AC241"/>
    <w:multiLevelType w:val="hybridMultilevel"/>
    <w:lvl w:ilvl="0">
      <w:lvlJc w:val="left"/>
      <w:lvlText w:val="%1"/>
      <w:numFmt w:val="lowerRoman"/>
      <w:start w:val="1"/>
    </w:lvl>
    <w:lvl w:ilvl="1">
      <w:lvlJc w:val="left"/>
      <w:lvlText w:val="(%2)"/>
      <w:numFmt w:val="lowerLetter"/>
      <w:start w:val="9"/>
    </w:lvl>
  </w:abstractNum>
  <w:abstractNum w:abstractNumId="25">
    <w:nsid w:val="5577F8E1"/>
    <w:multiLevelType w:val="hybridMultilevel"/>
    <w:lvl w:ilvl="0">
      <w:lvlJc w:val="left"/>
      <w:lvlText w:val="%1"/>
      <w:numFmt w:val="lowerRoman"/>
      <w:start w:val="1"/>
    </w:lvl>
    <w:lvl w:ilvl="1">
      <w:lvlJc w:val="left"/>
      <w:lvlText w:val="(%2)"/>
      <w:numFmt w:val="lowerLetter"/>
      <w:start w:val="35"/>
    </w:lvl>
  </w:abstractNum>
  <w:abstractNum w:abstractNumId="26">
    <w:nsid w:val="440BADFC"/>
    <w:multiLevelType w:val="hybridMultilevel"/>
    <w:lvl w:ilvl="0">
      <w:lvlJc w:val="left"/>
      <w:lvlText w:val="%1"/>
      <w:numFmt w:val="lowerRoman"/>
      <w:start w:val="1"/>
    </w:lvl>
    <w:lvl w:ilvl="1">
      <w:lvlJc w:val="left"/>
      <w:lvlText w:val="(%2)"/>
      <w:numFmt w:val="lowerLetter"/>
      <w:start w:val="2"/>
    </w:lvl>
  </w:abstractNum>
  <w:abstractNum w:abstractNumId="27">
    <w:nsid w:val="5072367"/>
    <w:multiLevelType w:val="hybridMultilevel"/>
    <w:lvl w:ilvl="0">
      <w:lvlJc w:val="left"/>
      <w:lvlText w:val="(%1)"/>
      <w:numFmt w:val="lowerRoman"/>
      <w:start w:val="1"/>
    </w:lvl>
    <w:lvl w:ilvl="1">
      <w:lvlJc w:val="left"/>
      <w:lvlText w:val="(%2)"/>
      <w:numFmt w:val="upperLetter"/>
      <w:start w:val="1"/>
    </w:lvl>
  </w:abstractNum>
  <w:abstractNum w:abstractNumId="28">
    <w:nsid w:val="3804823E"/>
    <w:multiLevelType w:val="hybridMultilevel"/>
    <w:lvl w:ilvl="0">
      <w:lvlJc w:val="left"/>
      <w:lvlText w:val="%1"/>
      <w:numFmt w:val="lowerRoman"/>
      <w:start w:val="1"/>
    </w:lvl>
    <w:lvl w:ilvl="1">
      <w:lvlJc w:val="left"/>
      <w:lvlText w:val="(%2)"/>
      <w:numFmt w:val="upperLetter"/>
      <w:start w:val="2"/>
    </w:lvl>
  </w:abstractNum>
  <w:abstractNum w:abstractNumId="29">
    <w:nsid w:val="77465F01"/>
    <w:multiLevelType w:val="hybridMultilevel"/>
    <w:lvl w:ilvl="0">
      <w:lvlJc w:val="left"/>
      <w:lvlText w:val="(%1)"/>
      <w:numFmt w:val="lowerRoman"/>
      <w:start w:val="2"/>
    </w:lvl>
    <w:lvl w:ilvl="1">
      <w:lvlJc w:val="left"/>
      <w:lvlText w:val="%2"/>
      <w:numFmt w:val="upperLetter"/>
      <w:start w:val="1"/>
    </w:lvl>
  </w:abstractNum>
  <w:abstractNum w:abstractNumId="30">
    <w:nsid w:val="7724C67E"/>
    <w:multiLevelType w:val="hybridMultilevel"/>
    <w:lvl w:ilvl="0">
      <w:lvlJc w:val="left"/>
      <w:lvlText w:val="(%1)"/>
      <w:numFmt w:val="lowerRoman"/>
      <w:start w:val="6"/>
    </w:lvl>
  </w:abstractNum>
  <w:abstractNum w:abstractNumId="31">
    <w:nsid w:val="5C482A97"/>
    <w:multiLevelType w:val="hybridMultilevel"/>
    <w:lvl w:ilvl="0">
      <w:lvlJc w:val="left"/>
      <w:lvlText w:val="%1."/>
      <w:numFmt w:val="decimal"/>
      <w:start w:val="8"/>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3"/>
    </w:lvl>
  </w:abstractNum>
  <w:abstractNum w:abstractNumId="35">
    <w:nsid w:val="2D517796"/>
    <w:multiLevelType w:val="hybridMultilevel"/>
    <w:lvl w:ilvl="0">
      <w:lvlJc w:val="left"/>
      <w:lvlText w:val="(%1)"/>
      <w:numFmt w:val="lowerLetter"/>
      <w:start w:val="4"/>
    </w:lvl>
  </w:abstractNum>
  <w:abstractNum w:abstractNumId="36">
    <w:nsid w:val="580BD78F"/>
    <w:multiLevelType w:val="hybridMultilevel"/>
    <w:lvl w:ilvl="0">
      <w:lvlJc w:val="left"/>
      <w:lvlText w:val="%1"/>
      <w:numFmt w:val="upperLetter"/>
      <w:start w:val="1"/>
    </w:lvl>
    <w:lvl w:ilvl="1">
      <w:lvlJc w:val="left"/>
      <w:lvlText w:val="(%2)"/>
      <w:numFmt w:val="lowerLetter"/>
      <w:start w:val="1"/>
    </w:lvl>
  </w:abstractNum>
  <w:abstractNum w:abstractNumId="37">
    <w:nsid w:val="153EA438"/>
    <w:multiLevelType w:val="hybridMultilevel"/>
    <w:lvl w:ilvl="0">
      <w:lvlJc w:val="left"/>
      <w:lvlText w:val="(%1)"/>
      <w:numFmt w:val="upperLetter"/>
      <w:start w:val="2"/>
    </w:lvl>
    <w:lvl w:ilvl="1">
      <w:lvlJc w:val="left"/>
      <w:lvlText w:val="%2"/>
      <w:numFmt w:val="lowerLetter"/>
      <w:start w:val="1"/>
    </w:lvl>
  </w:abstractNum>
  <w:abstractNum w:abstractNumId="38">
    <w:nsid w:val="3855585C"/>
    <w:multiLevelType w:val="hybridMultilevel"/>
    <w:lvl w:ilvl="0">
      <w:lvlJc w:val="left"/>
      <w:lvlText w:val="(%1)"/>
      <w:numFmt w:val="lowerLetter"/>
      <w:start w:val="3"/>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lvl w:ilvl="1">
      <w:lvlJc w:val="left"/>
      <w:lvlText w:val="(%2)"/>
      <w:numFmt w:val="lowerLetter"/>
      <w:start w:val="3"/>
    </w:lvl>
  </w:abstractNum>
  <w:abstractNum w:abstractNumId="42">
    <w:nsid w:val="1D4ED43B"/>
    <w:multiLevelType w:val="hybridMultilevel"/>
    <w:lvl w:ilvl="0">
      <w:lvlJc w:val="left"/>
      <w:lvlText w:val="(%1)"/>
      <w:numFmt w:val="lowerLetter"/>
      <w:start w:val="35"/>
    </w:lvl>
    <w:lvl w:ilvl="1">
      <w:lvlJc w:val="left"/>
      <w:lvlText w:val="(%2)"/>
      <w:numFmt w:val="lowerLetter"/>
      <w:start w:val="4"/>
    </w:lvl>
  </w:abstractNum>
  <w:abstractNum w:abstractNumId="43">
    <w:nsid w:val="725A06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2019-12-20T04:08:16Z</dcterms:created>
  <dcterms:modified xsi:type="dcterms:W3CDTF">2019-12-20T04:08:16Z</dcterms:modified>
</cp:coreProperties>
</file>