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CURRENT REPORT</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17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DATE OF REPORT (date of earliest event reported): August 26, 1997</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1-12154</w:t>
      </w:r>
    </w:p>
    <w:p>
      <w:pPr>
        <w:sectPr>
          <w:pgSz w:w="11900" w:h="16838" w:orient="portrait"/>
          <w:cols w:equalWidth="0" w:num="1">
            <w:col w:w="10239"/>
          </w:cols>
          <w:pgMar w:left="220" w:top="225" w:right="1440" w:bottom="1440" w:gutter="0" w:footer="0" w:header="0"/>
        </w:sectPr>
      </w:pPr>
    </w:p>
    <w:p>
      <w:pPr>
        <w:spacing w:after="0" w:line="16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73-1309529</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540" w:space="720"/>
            <w:col w:w="4979"/>
          </w:cols>
          <w:pgMar w:left="220" w:top="225" w:right="1440" w:bottom="1440" w:gutter="0" w:footer="0" w:header="0"/>
          <w:type w:val="continuous"/>
        </w:sectPr>
      </w:pPr>
    </w:p>
    <w:p>
      <w:pPr>
        <w:jc w:val="center"/>
        <w:ind w:right="1300"/>
        <w:spacing w:after="0"/>
        <w:rPr>
          <w:sz w:val="20"/>
          <w:szCs w:val="20"/>
          <w:color w:val="auto"/>
        </w:rPr>
      </w:pPr>
      <w:r>
        <w:rPr>
          <w:rFonts w:ascii="Courier New" w:cs="Courier New" w:eastAsia="Courier New" w:hAnsi="Courier New"/>
          <w:sz w:val="15"/>
          <w:szCs w:val="15"/>
          <w:color w:val="auto"/>
        </w:rPr>
        <w:t>1001 FANNIN, SUITE 4000</w:t>
      </w:r>
    </w:p>
    <w:p>
      <w:pPr>
        <w:jc w:val="center"/>
        <w:ind w:right="1220"/>
        <w:spacing w:after="0" w:line="237" w:lineRule="auto"/>
        <w:rPr>
          <w:sz w:val="20"/>
          <w:szCs w:val="20"/>
          <w:color w:val="auto"/>
        </w:rPr>
      </w:pPr>
      <w:r>
        <w:rPr>
          <w:rFonts w:ascii="Courier New" w:cs="Courier New" w:eastAsia="Courier New" w:hAnsi="Courier New"/>
          <w:sz w:val="15"/>
          <w:szCs w:val="15"/>
          <w:color w:val="auto"/>
        </w:rPr>
        <w:t>HOUSTON, TEXAS</w:t>
      </w:r>
    </w:p>
    <w:p>
      <w:pPr>
        <w:spacing w:after="0" w:line="5" w:lineRule="exact"/>
        <w:rPr>
          <w:sz w:val="24"/>
          <w:szCs w:val="24"/>
          <w:color w:val="auto"/>
        </w:rPr>
      </w:pPr>
    </w:p>
    <w:p>
      <w:pPr>
        <w:jc w:val="center"/>
        <w:ind w:right="12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77002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838" w:orient="portrait"/>
          <w:cols w:equalWidth="0" w:num="2">
            <w:col w:w="4720" w:space="720"/>
            <w:col w:w="4799"/>
          </w:cols>
          <w:pgMar w:left="220" w:top="225"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(713) 512-6200</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ITEM 2. ACQUISITION OR DISPOSITION OF ASSETS.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Pursuant to the Agreement and Plan of Merger, dated as of April 13, 1997, as amended August 26, 1997 (the "Merger Agreement"), by and among USA Waste Services, Inc. ("USA Waste"), Riviera Acquisition Corporation, a wholly owned subsidiary of USA Waste ("Acquisition"), and United Waste Systems, Inc. ("United"), the merger of Acquisition with and into United became effective on August 26, 1997, whereupon United became a wholly owned subsidiary of USA Waste (the "Merger"). United's common stock, par value $0.001 per share ("United Common Stock"), is no longer transferable, and certificates evidencing shares of United Common Stock represent only the right to receive, without interest, shares of USA Waste Common Stock, par value $0.01 per share ("USA Waste Common Stock"), in accordance with the provisions of the Merger Agreement. The holders of shares of United Common Stock ("United Stockholders") are entitled to receive 1.075 (the "Exchange Ratio") shares of USA Waste Common Stock for each share of United Common Stock held, or an aggregate of approximately 52 million shares of USA Waste Common Stock. The Stockholders of USA Waste (the "USA Waste Stockholders") and the United Stockholders approved the Merger on August 26, 1997. The Exchange Ratio was determined through negotiations between the managements of USA Waste and United and was approved by their respective boards of directors. Cash will be paid in lieu of fractional shares of USA Waste Common Stock on the basis of $41.10 per share. Pursuant to the Merger Agreement, no interest will be paid or accrued on the consideration paid in the Merger. The Merger was accounted for as a pooling of interests. In addition, in connection with the Merger, USA Waste assumed approximately $325 million in United debt. United owns and operates nonhazardous waste disposal, treatment, collection, transfer and recycling businesses and complimentary operations throughout the United States. As of June 30, 1997, United operated 39 disposal and treatment facilities, 78 transfer stations and 80 collection operations.</w:t>
      </w:r>
    </w:p>
    <w:p>
      <w:pPr>
        <w:spacing w:after="0" w:line="178"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Also in connection with the Merger, USA Waste also announced the addition of two new members to its Board of Directors, Richard D. Kinder, Chairman and CEO of Kinder Morgan Energy Partners, L.P. and former President and COO of Enron Corporation, and Jerome B. York, Vice Chairman of Tracinda Corporation and former Senior Vice President and CFO of IBM Corporation.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PARTIES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On August 7, 1997, USA Waste replaced its existing line of credit facility with a $2.0 billion senior revolving credit facility (the "Credit Facility") with a consortium of banks including Bank of America Illinois and Morgan Guaranty Trust Company. The Credit Facility is for a term of five years and will also be available for standby letters of credit of up to $650 million. Loans under the Credit Facility bear interest at either a base rate or a rate based on the Eurodollar rate plus a spread not to exceed 0.575% per annum, which spread is initially set at 0.2375% per annum. The Credit facility requires a facility fee, initially set at 0.1125% per annum, not to exceed 0.30% per annum on the entire available credit facility. No principal reductions are required during the entire term of the agreement. USA Waste plans to use the funds available under the Credit Facility to refinance existing bank loans and Letters of credit, to fund additional acquisitions and to provide working capital for the Company's business.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On August 26, 1997, USA Waste executed a Supplemental Indenture (the "Supplemental Indenture") by and among USA Waste, United and Bankers Trust Company with respect to United's 4 1/2% Convertible Subordinated Notes due June 1, 2001 (the "Convertible Debentures"). The Supplemental Indenture amended the original indenture, dated June 5, 1996 (the "Indenture"), by providing that the Convertible Debentures would be convertible into shares of USA Waste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66" w:lineRule="exact"/>
        <w:rPr>
          <w:sz w:val="20"/>
          <w:szCs w:val="20"/>
          <w:color w:val="auto"/>
        </w:rPr>
      </w:pPr>
    </w:p>
    <w:p>
      <w:pPr>
        <w:ind w:left="1140" w:hanging="431"/>
        <w:spacing w:after="0"/>
        <w:tabs>
          <w:tab w:leader="none" w:pos="11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BUSINESS ACQUIRED</w:t>
      </w:r>
    </w:p>
    <w:p>
      <w:pPr>
        <w:spacing w:after="0" w:line="173" w:lineRule="exact"/>
        <w:rPr>
          <w:sz w:val="20"/>
          <w:szCs w:val="20"/>
          <w:color w:val="auto"/>
        </w:rPr>
      </w:pPr>
    </w:p>
    <w:p>
      <w:pPr>
        <w:ind w:left="700" w:right="3579"/>
        <w:spacing w:after="0" w:line="234" w:lineRule="auto"/>
        <w:rPr>
          <w:sz w:val="20"/>
          <w:szCs w:val="20"/>
          <w:color w:val="auto"/>
        </w:rPr>
      </w:pPr>
      <w:r>
        <w:rPr>
          <w:rFonts w:ascii="Courier New" w:cs="Courier New" w:eastAsia="Courier New" w:hAnsi="Courier New"/>
          <w:sz w:val="15"/>
          <w:szCs w:val="15"/>
          <w:color w:val="auto"/>
        </w:rPr>
        <w:t>The following financial statements and notes thereto of United Waste Systems, Inc. are included herein:</w:t>
      </w:r>
    </w:p>
    <w:p>
      <w:pPr>
        <w:spacing w:after="0" w:line="173" w:lineRule="exact"/>
        <w:rPr>
          <w:sz w:val="20"/>
          <w:szCs w:val="20"/>
          <w:color w:val="auto"/>
        </w:rPr>
      </w:pPr>
    </w:p>
    <w:p>
      <w:pPr>
        <w:ind w:left="1060" w:right="3579" w:hanging="351"/>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Condensed Consolidated Balance Sheets (unaudited) as of June 30, 1997 and December 31, 1996.</w:t>
      </w:r>
    </w:p>
    <w:p>
      <w:pPr>
        <w:spacing w:after="0" w:line="173" w:lineRule="exact"/>
        <w:rPr>
          <w:rFonts w:ascii="Courier New" w:cs="Courier New" w:eastAsia="Courier New" w:hAnsi="Courier New"/>
          <w:sz w:val="15"/>
          <w:szCs w:val="15"/>
          <w:color w:val="auto"/>
        </w:rPr>
      </w:pPr>
    </w:p>
    <w:p>
      <w:pPr>
        <w:ind w:left="1060" w:right="3399" w:hanging="351"/>
        <w:spacing w:after="0" w:line="235"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Condensed Consolidated Statements of Operations (unaudited) for the three and six months ended June 30, 1997 and 1996.</w:t>
      </w:r>
    </w:p>
    <w:p>
      <w:pPr>
        <w:spacing w:after="0" w:line="173" w:lineRule="exact"/>
        <w:rPr>
          <w:rFonts w:ascii="Courier New" w:cs="Courier New" w:eastAsia="Courier New" w:hAnsi="Courier New"/>
          <w:sz w:val="15"/>
          <w:szCs w:val="15"/>
          <w:color w:val="auto"/>
        </w:rPr>
      </w:pPr>
    </w:p>
    <w:p>
      <w:pPr>
        <w:ind w:left="1060" w:right="3399" w:hanging="351"/>
        <w:spacing w:after="0" w:line="235"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Condensed Consolidated Statement of Stockholders' Equity (unaudited) for the six months ended June 30, 1997.</w:t>
      </w:r>
    </w:p>
    <w:p>
      <w:pPr>
        <w:spacing w:after="0" w:line="173" w:lineRule="exact"/>
        <w:rPr>
          <w:rFonts w:ascii="Courier New" w:cs="Courier New" w:eastAsia="Courier New" w:hAnsi="Courier New"/>
          <w:sz w:val="15"/>
          <w:szCs w:val="15"/>
          <w:color w:val="auto"/>
        </w:rPr>
      </w:pPr>
    </w:p>
    <w:p>
      <w:pPr>
        <w:ind w:left="1060" w:right="3239" w:hanging="351"/>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Condensed Consolidated Statements of Cash Flows for the six months ended June 30, 1997 and 1996.</w:t>
      </w:r>
    </w:p>
    <w:p>
      <w:pPr>
        <w:spacing w:after="0" w:line="173" w:lineRule="exact"/>
        <w:rPr>
          <w:rFonts w:ascii="Courier New" w:cs="Courier New" w:eastAsia="Courier New" w:hAnsi="Courier New"/>
          <w:sz w:val="15"/>
          <w:szCs w:val="15"/>
          <w:color w:val="auto"/>
        </w:rPr>
      </w:pPr>
    </w:p>
    <w:p>
      <w:pPr>
        <w:ind w:left="1060" w:right="4099" w:hanging="351"/>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Notes to Condensed Consolidated Financial Statements (unaudited).</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Auditors.</w:t>
      </w:r>
    </w:p>
    <w:p>
      <w:pPr>
        <w:spacing w:after="0" w:line="172" w:lineRule="exact"/>
        <w:rPr>
          <w:rFonts w:ascii="Courier New" w:cs="Courier New" w:eastAsia="Courier New" w:hAnsi="Courier New"/>
          <w:sz w:val="15"/>
          <w:szCs w:val="15"/>
          <w:color w:val="auto"/>
        </w:rPr>
      </w:pPr>
    </w:p>
    <w:p>
      <w:pPr>
        <w:ind w:left="1060" w:right="3939" w:hanging="351"/>
        <w:spacing w:after="0" w:line="234"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Consolidated Balance Sheets as of December 31, 1996 and 1995.</w:t>
      </w:r>
    </w:p>
    <w:p>
      <w:pPr>
        <w:spacing w:after="0" w:line="173" w:lineRule="exact"/>
        <w:rPr>
          <w:rFonts w:ascii="Courier New" w:cs="Courier New" w:eastAsia="Courier New" w:hAnsi="Courier New"/>
          <w:sz w:val="15"/>
          <w:szCs w:val="15"/>
          <w:color w:val="auto"/>
        </w:rPr>
      </w:pPr>
    </w:p>
    <w:p>
      <w:pPr>
        <w:ind w:left="1060" w:right="3579" w:hanging="351"/>
        <w:spacing w:after="0" w:line="261" w:lineRule="auto"/>
        <w:tabs>
          <w:tab w:leader="none" w:pos="10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Waste Systems, Inc. Consolidated Statements of Operations for the three years in the period ended December 31, 1996.</w:t>
      </w:r>
    </w:p>
    <w:p>
      <w:pPr>
        <w:spacing w:after="0" w:line="159" w:lineRule="exact"/>
        <w:rPr>
          <w:rFonts w:ascii="Courier New" w:cs="Courier New" w:eastAsia="Courier New" w:hAnsi="Courier New"/>
          <w:sz w:val="14"/>
          <w:szCs w:val="14"/>
          <w:color w:val="auto"/>
        </w:rPr>
      </w:pPr>
    </w:p>
    <w:p>
      <w:pPr>
        <w:ind w:left="1060" w:right="3939" w:hanging="351"/>
        <w:spacing w:after="0" w:line="235"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Consolidated Statements of Stockholders' Equity for the three years in the period ended December 31, 1996.</w:t>
      </w:r>
    </w:p>
    <w:p>
      <w:pPr>
        <w:sectPr>
          <w:pgSz w:w="11900" w:h="16838" w:orient="portrait"/>
          <w:cols w:equalWidth="0" w:num="1">
            <w:col w:w="10239"/>
          </w:cols>
          <w:pgMar w:left="220" w:top="281" w:right="1440" w:bottom="0" w:gutter="0" w:footer="0" w:header="0"/>
        </w:sectPr>
      </w:pPr>
    </w:p>
    <w:bookmarkStart w:id="2" w:name="page3"/>
    <w:bookmarkEnd w:id="2"/>
    <w:p>
      <w:pPr>
        <w:ind w:left="351" w:right="3579" w:hanging="351"/>
        <w:spacing w:after="0" w:line="261" w:lineRule="auto"/>
        <w:tabs>
          <w:tab w:leader="none" w:pos="35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Waste Systems, Inc. Consolidated Statements of Cash Flows for the three years in the period ended December 31, 1996.</w:t>
      </w:r>
    </w:p>
    <w:p>
      <w:pPr>
        <w:spacing w:after="0" w:line="159" w:lineRule="exact"/>
        <w:rPr>
          <w:rFonts w:ascii="Courier New" w:cs="Courier New" w:eastAsia="Courier New" w:hAnsi="Courier New"/>
          <w:sz w:val="14"/>
          <w:szCs w:val="14"/>
          <w:color w:val="auto"/>
        </w:rPr>
      </w:pPr>
    </w:p>
    <w:p>
      <w:pPr>
        <w:ind w:left="351" w:right="4099" w:hanging="351"/>
        <w:spacing w:after="0" w:line="234" w:lineRule="auto"/>
        <w:tabs>
          <w:tab w:leader="none" w:pos="35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Waste Systems, Inc. Notes to Consolidated Financial Statements.</w:t>
      </w:r>
    </w:p>
    <w:p>
      <w:pPr>
        <w:sectPr>
          <w:pgSz w:w="11900" w:h="16838" w:orient="portrait"/>
          <w:cols w:equalWidth="0" w:num="1">
            <w:col w:w="9530"/>
          </w:cols>
          <w:pgMar w:left="929" w:top="31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UNITED WASTE SYSTEMS, INC.</w:t>
      </w:r>
    </w:p>
    <w:p>
      <w:pPr>
        <w:ind w:left="1840"/>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June 30</w:t>
            </w:r>
          </w:p>
        </w:tc>
        <w:tc>
          <w:tcPr>
            <w:tcW w:w="4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780" w:type="dxa"/>
            <w:vAlign w:val="bottom"/>
          </w:tcPr>
          <w:p>
            <w:pPr>
              <w:spacing w:after="0"/>
              <w:rPr>
                <w:sz w:val="14"/>
                <w:szCs w:val="14"/>
                <w:color w:val="auto"/>
              </w:rPr>
            </w:pPr>
          </w:p>
        </w:tc>
        <w:tc>
          <w:tcPr>
            <w:tcW w:w="3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25,823,244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2,567,854</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 of</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$4,898,000 in 1997 and</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$3,076,000 in 1996</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68,824,043</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54,963,664</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29,170,740</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29,989,310</w:t>
            </w:r>
          </w:p>
        </w:tc>
      </w:tr>
      <w:tr>
        <w:trPr>
          <w:trHeight w:val="168"/>
        </w:trPr>
        <w:tc>
          <w:tcPr>
            <w:tcW w:w="4780" w:type="dxa"/>
            <w:vAlign w:val="bottom"/>
          </w:tcPr>
          <w:p>
            <w:pPr>
              <w:spacing w:after="0"/>
              <w:rPr>
                <w:sz w:val="14"/>
                <w:szCs w:val="14"/>
                <w:color w:val="auto"/>
              </w:rPr>
            </w:pPr>
          </w:p>
        </w:tc>
        <w:tc>
          <w:tcPr>
            <w:tcW w:w="3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780" w:type="dxa"/>
            <w:vAlign w:val="bottom"/>
          </w:tcPr>
          <w:p>
            <w:pPr>
              <w:spacing w:after="0"/>
              <w:rPr>
                <w:sz w:val="24"/>
                <w:szCs w:val="24"/>
                <w:color w:val="auto"/>
              </w:rPr>
            </w:pP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123,818,027</w:t>
            </w: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87,520,828</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accumulated depreciation of</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$136,429,000 in 1997 and</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$94,407,000 in 1996</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438,171,464</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387,980,224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338,309,380</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286,851,677</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40,968,086</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38,688,965</w:t>
            </w:r>
          </w:p>
        </w:tc>
      </w:tr>
      <w:tr>
        <w:trPr>
          <w:trHeight w:val="168"/>
        </w:trPr>
        <w:tc>
          <w:tcPr>
            <w:tcW w:w="4780" w:type="dxa"/>
            <w:vAlign w:val="bottom"/>
          </w:tcPr>
          <w:p>
            <w:pPr>
              <w:spacing w:after="0"/>
              <w:rPr>
                <w:sz w:val="14"/>
                <w:szCs w:val="14"/>
                <w:color w:val="auto"/>
              </w:rPr>
            </w:pPr>
          </w:p>
        </w:tc>
        <w:tc>
          <w:tcPr>
            <w:tcW w:w="3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941,266,957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801,041,694</w:t>
            </w:r>
          </w:p>
        </w:tc>
      </w:tr>
      <w:tr>
        <w:trPr>
          <w:trHeight w:val="168"/>
        </w:trPr>
        <w:tc>
          <w:tcPr>
            <w:tcW w:w="4780" w:type="dxa"/>
            <w:vAlign w:val="bottom"/>
          </w:tcPr>
          <w:p>
            <w:pPr>
              <w:spacing w:after="0"/>
              <w:rPr>
                <w:sz w:val="14"/>
                <w:szCs w:val="14"/>
                <w:color w:val="auto"/>
              </w:rPr>
            </w:pPr>
          </w:p>
        </w:tc>
        <w:tc>
          <w:tcPr>
            <w:tcW w:w="3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nonrecourse bonds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6,561,743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5,064,413</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25,448,174</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23,923,298</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13,958,658</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12,189,998</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seller</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5,087,733</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4,258,016</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accrued landfill costs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4,745,575</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4,648,923</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capital lease</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476,676</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846,528</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24,997,006</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15,572,292</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13,892,939</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9,196,178</w:t>
            </w:r>
          </w:p>
        </w:tc>
      </w:tr>
      <w:tr>
        <w:trPr>
          <w:trHeight w:val="168"/>
        </w:trPr>
        <w:tc>
          <w:tcPr>
            <w:tcW w:w="4780" w:type="dxa"/>
            <w:vAlign w:val="bottom"/>
          </w:tcPr>
          <w:p>
            <w:pPr>
              <w:spacing w:after="0"/>
              <w:rPr>
                <w:sz w:val="14"/>
                <w:szCs w:val="14"/>
                <w:color w:val="auto"/>
              </w:rPr>
            </w:pPr>
          </w:p>
        </w:tc>
        <w:tc>
          <w:tcPr>
            <w:tcW w:w="3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95,168,504</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75,699,646</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780" w:type="dxa"/>
            <w:vAlign w:val="bottom"/>
          </w:tcPr>
          <w:p>
            <w:pPr>
              <w:spacing w:after="0"/>
              <w:rPr>
                <w:sz w:val="24"/>
                <w:szCs w:val="24"/>
                <w:color w:val="auto"/>
              </w:rPr>
            </w:pP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265,252,535</w:t>
            </w: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302,704,119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leases, less</w:t>
            </w: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w:t>
            </w:r>
          </w:p>
        </w:tc>
        <w:tc>
          <w:tcPr>
            <w:tcW w:w="178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141,197</w:t>
            </w:r>
          </w:p>
        </w:tc>
        <w:tc>
          <w:tcPr>
            <w:tcW w:w="4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373,296</w:t>
            </w:r>
          </w:p>
        </w:tc>
      </w:tr>
    </w:tbl>
    <w:p>
      <w:pPr>
        <w:spacing w:after="0" w:line="341" w:lineRule="exact"/>
        <w:rPr>
          <w:sz w:val="20"/>
          <w:szCs w:val="20"/>
          <w:color w:val="auto"/>
        </w:rPr>
      </w:pPr>
    </w:p>
    <w:p>
      <w:pPr>
        <w:ind w:right="37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340"/>
          </w:cols>
          <w:pgMar w:left="220" w:top="281" w:right="13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UNITED WASTE SYSTEMS, INC.</w:t>
      </w:r>
    </w:p>
    <w:p>
      <w:pPr>
        <w:jc w:val="center"/>
        <w:ind w:right="3500"/>
        <w:spacing w:after="0" w:line="237" w:lineRule="auto"/>
        <w:rPr>
          <w:sz w:val="20"/>
          <w:szCs w:val="20"/>
          <w:color w:val="auto"/>
        </w:rPr>
      </w:pPr>
      <w:r>
        <w:rPr>
          <w:rFonts w:ascii="Courier New" w:cs="Courier New" w:eastAsia="Courier New" w:hAnsi="Courier New"/>
          <w:sz w:val="15"/>
          <w:szCs w:val="15"/>
          <w:color w:val="auto"/>
        </w:rPr>
        <w:t>CONDENSED CONSOLIDATED BALANCE SHEETS - CON'T</w:t>
      </w:r>
    </w:p>
    <w:p>
      <w:pPr>
        <w:jc w:val="center"/>
        <w:ind w:right="350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1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Nonrecourse sewage facility revenue bonds,</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7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8,500,000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8,900,000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costs</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48,259,951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44,878,800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14,525,536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13,137,811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39,326,427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36,634,609</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Common stock, $.001 par value, 75,000,000 in 1997 and</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7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 shares authorized; 44,569,287 in 1997 and 39,089,553 in 1996 shares</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7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44,569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39,090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374,084,722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248,973,700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95,963,516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69,700,623</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470,092,807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318,713,413</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$941,266,957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$801,041,694</w:t>
            </w:r>
          </w:p>
        </w:tc>
      </w:tr>
      <w:tr>
        <w:trPr>
          <w:trHeight w:val="168"/>
        </w:trPr>
        <w:tc>
          <w:tcPr>
            <w:tcW w:w="7220" w:type="dxa"/>
            <w:vAlign w:val="bottom"/>
          </w:tcPr>
          <w:p>
            <w:pPr>
              <w:spacing w:after="0"/>
              <w:rPr>
                <w:sz w:val="14"/>
                <w:szCs w:val="14"/>
                <w:color w:val="auto"/>
              </w:rPr>
            </w:pPr>
          </w:p>
        </w:tc>
        <w:tc>
          <w:tcPr>
            <w:tcW w:w="19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420"/>
          </w:cols>
          <w:pgMar w:left="220" w:top="281" w:right="125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WASTE SYSTEMS,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2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260" w:type="dxa"/>
            <w:vAlign w:val="bottom"/>
          </w:tcPr>
          <w:p>
            <w:pPr>
              <w:spacing w:after="0"/>
              <w:rPr>
                <w:sz w:val="14"/>
                <w:szCs w:val="14"/>
                <w:color w:val="auto"/>
              </w:rPr>
            </w:pP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4"/>
              </w:rPr>
              <w:t>------------------------------</w:t>
            </w:r>
          </w:p>
        </w:tc>
        <w:tc>
          <w:tcPr>
            <w:tcW w:w="1260" w:type="dxa"/>
            <w:vAlign w:val="bottom"/>
          </w:tcPr>
          <w:p>
            <w:pPr>
              <w:spacing w:after="0"/>
              <w:rPr>
                <w:sz w:val="14"/>
                <w:szCs w:val="14"/>
                <w:color w:val="auto"/>
              </w:rPr>
            </w:pPr>
          </w:p>
        </w:tc>
        <w:tc>
          <w:tcPr>
            <w:tcW w:w="2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16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216,619,407</w:t>
            </w:r>
          </w:p>
        </w:tc>
        <w:tc>
          <w:tcPr>
            <w:tcW w:w="12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$ 151,838,019</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$ 121,039,879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82,257,521</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30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136,199,914</w:t>
            </w:r>
          </w:p>
        </w:tc>
        <w:tc>
          <w:tcPr>
            <w:tcW w:w="1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96,479,784</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74,337,620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51,025,442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33,295,326</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24,778,093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18,093,586</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13,368,408</w:t>
            </w:r>
          </w:p>
        </w:tc>
      </w:tr>
      <w:tr>
        <w:trPr>
          <w:trHeight w:val="168"/>
        </w:trPr>
        <w:tc>
          <w:tcPr>
            <w:tcW w:w="216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47,124,167</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30,580,142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28,608,673</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17,863,671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7,898,849</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7,206,432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3,758,322</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3,797,745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net</w:t>
            </w:r>
          </w:p>
        </w:tc>
        <w:tc>
          <w:tcPr>
            <w:tcW w:w="3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(1,584,695)</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1,767,682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(922,961)</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1,906,916</w:t>
            </w:r>
          </w:p>
        </w:tc>
      </w:tr>
      <w:tr>
        <w:trPr>
          <w:trHeight w:val="168"/>
        </w:trPr>
        <w:tc>
          <w:tcPr>
            <w:tcW w:w="216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40,810,013</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21,606,028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25,773,312</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12,159,010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16,961,046</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8,739,293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10,759,207</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5,069,859</w:t>
            </w:r>
          </w:p>
        </w:tc>
      </w:tr>
      <w:tr>
        <w:trPr>
          <w:trHeight w:val="168"/>
        </w:trPr>
        <w:tc>
          <w:tcPr>
            <w:tcW w:w="216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23,848,967</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  12,866,735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15,014,105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7,089,151</w:t>
            </w:r>
          </w:p>
        </w:tc>
      </w:tr>
      <w:tr>
        <w:trPr>
          <w:trHeight w:val="168"/>
        </w:trPr>
        <w:tc>
          <w:tcPr>
            <w:tcW w:w="216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WASTE SYSTEMS,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CONDENSED CONSOLIDATED STATEMENTS OF OPERATIONS - CON'T</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Six Months Ended</w:t>
      </w:r>
    </w:p>
    <w:p>
      <w:pPr>
        <w:ind w:left="3680"/>
        <w:spacing w:after="0" w:line="237" w:lineRule="auto"/>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tabs>
          <w:tab w:leader="none" w:pos="43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3160"/>
        <w:spacing w:after="0"/>
        <w:tabs>
          <w:tab w:leader="none" w:pos="4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Three Months Ended</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319"/>
        <w:spacing w:after="0"/>
        <w:tabs>
          <w:tab w:leader="none" w:pos="6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jc w:val="center"/>
        <w:ind w:right="3399"/>
        <w:spacing w:after="0" w:line="237" w:lineRule="auto"/>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4820" w:space="440"/>
            <w:col w:w="49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Primary earnings per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share and</w:t>
      </w:r>
    </w:p>
    <w:p>
      <w:pPr>
        <w:spacing w:after="0" w:line="5"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common</w:t>
        <w:tab/>
        <w:t>equivalent</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5">
            <w:col w:w="2440" w:space="720"/>
            <w:col w:w="700" w:space="440"/>
            <w:col w:w="520" w:space="440"/>
            <w:col w:w="520" w:space="440"/>
            <w:col w:w="40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Fully diluted</w:t>
      </w:r>
    </w:p>
    <w:p>
      <w:pPr>
        <w:ind w:left="180"/>
        <w:spacing w:after="0" w:line="237" w:lineRule="auto"/>
        <w:rPr>
          <w:sz w:val="20"/>
          <w:szCs w:val="20"/>
          <w:color w:val="auto"/>
        </w:rPr>
      </w:pPr>
      <w:r>
        <w:rPr>
          <w:rFonts w:ascii="Courier New" w:cs="Courier New" w:eastAsia="Courier New" w:hAnsi="Courier New"/>
          <w:sz w:val="15"/>
          <w:szCs w:val="15"/>
          <w:color w:val="auto"/>
        </w:rPr>
        <w:t>earnings per</w:t>
      </w:r>
    </w:p>
    <w:p>
      <w:pPr>
        <w:ind w:left="180"/>
        <w:spacing w:after="0" w:line="238" w:lineRule="auto"/>
        <w:rPr>
          <w:sz w:val="20"/>
          <w:szCs w:val="20"/>
          <w:color w:val="auto"/>
        </w:rPr>
      </w:pPr>
      <w:r>
        <w:rPr>
          <w:rFonts w:ascii="Courier New" w:cs="Courier New" w:eastAsia="Courier New" w:hAnsi="Courier New"/>
          <w:sz w:val="15"/>
          <w:szCs w:val="15"/>
          <w:color w:val="auto"/>
        </w:rPr>
        <w:t>common share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equivalent</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40" w:space="720"/>
            <w:col w:w="1380" w:space="720"/>
            <w:col w:w="49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320" w:type="dxa"/>
            <w:vAlign w:val="bottom"/>
          </w:tcPr>
          <w:p>
            <w:pPr>
              <w:ind w:left="280"/>
              <w:spacing w:after="0"/>
              <w:rPr>
                <w:sz w:val="20"/>
                <w:szCs w:val="20"/>
                <w:color w:val="auto"/>
              </w:rPr>
            </w:pPr>
            <w:r>
              <w:rPr>
                <w:rFonts w:ascii="Courier New" w:cs="Courier New" w:eastAsia="Courier New" w:hAnsi="Courier New"/>
                <w:sz w:val="15"/>
                <w:szCs w:val="15"/>
                <w:color w:val="auto"/>
              </w:rPr>
              <w:t>7</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2320" w:type="dxa"/>
            <w:vAlign w:val="bottom"/>
          </w:tcPr>
          <w:p>
            <w:pPr>
              <w:spacing w:after="0"/>
              <w:rPr>
                <w:sz w:val="24"/>
                <w:szCs w:val="24"/>
                <w:color w:val="auto"/>
              </w:rPr>
            </w:pPr>
          </w:p>
        </w:tc>
        <w:tc>
          <w:tcPr>
            <w:tcW w:w="30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8"/>
              </w:rPr>
              <w:t>UNITED WASTE SYSTEMS, INC.</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36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CONDENSED CONSOLIDATED STATEMENT OF STOCKHOLDERS' EQUITY</w:t>
            </w: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41"/>
        </w:trPr>
        <w:tc>
          <w:tcPr>
            <w:tcW w:w="232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40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Number</w:t>
            </w:r>
          </w:p>
        </w:tc>
        <w:tc>
          <w:tcPr>
            <w:tcW w:w="980" w:type="dxa"/>
            <w:vAlign w:val="bottom"/>
          </w:tcPr>
          <w:p>
            <w:pPr>
              <w:spacing w:after="0"/>
              <w:rPr>
                <w:sz w:val="14"/>
                <w:szCs w:val="14"/>
                <w:color w:val="auto"/>
              </w:rPr>
            </w:pP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Additional</w:t>
            </w:r>
          </w:p>
        </w:tc>
        <w:tc>
          <w:tcPr>
            <w:tcW w:w="13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0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of</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Paid-in</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Retained</w:t>
            </w:r>
          </w:p>
        </w:tc>
        <w:tc>
          <w:tcPr>
            <w:tcW w:w="130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Capital</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320" w:type="dxa"/>
            <w:vAlign w:val="bottom"/>
          </w:tcPr>
          <w:p>
            <w:pPr>
              <w:spacing w:after="0"/>
              <w:rPr>
                <w:sz w:val="14"/>
                <w:szCs w:val="14"/>
                <w:color w:val="auto"/>
              </w:rPr>
            </w:pP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1996</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39,089,553</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$39,090</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$248,973,700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$69,700,623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Pooling-of-interests</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1,752,549</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1,752</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388,314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527,359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warrants</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options</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164,150</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164</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3,995,630</w:t>
            </w:r>
          </w:p>
        </w:tc>
        <w:tc>
          <w:tcPr>
            <w:tcW w:w="130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30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3,563,035</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3,563</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122,461,987</w:t>
            </w:r>
          </w:p>
        </w:tc>
        <w:tc>
          <w:tcPr>
            <w:tcW w:w="130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tax</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319,803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Subchapter S</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 of</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pooled entities</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(168,145)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Subchapter S accumulated</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to paid-in</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(1,734,909)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1,734,909</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WASTE SYSTEMS, INC.</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 OF STOCKHOLDERS' EQUITY - CON'T</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4120"/>
        <w:spacing w:after="0"/>
        <w:tabs>
          <w:tab w:leader="none" w:pos="54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Paid-in</w:t>
      </w:r>
    </w:p>
    <w:p>
      <w:pPr>
        <w:spacing w:after="0" w:line="3" w:lineRule="exact"/>
        <w:rPr>
          <w:sz w:val="20"/>
          <w:szCs w:val="20"/>
          <w:color w:val="auto"/>
        </w:rPr>
      </w:pPr>
    </w:p>
    <w:p>
      <w:pPr>
        <w:ind w:left="4040"/>
        <w:spacing w:after="0"/>
        <w:tabs>
          <w:tab w:leader="none" w:pos="5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ind w:left="3860"/>
        <w:spacing w:after="0"/>
        <w:tabs>
          <w:tab w:leader="none" w:pos="5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ind w:left="80"/>
        <w:spacing w:after="0" w:line="237" w:lineRule="auto"/>
        <w:rPr>
          <w:sz w:val="20"/>
          <w:szCs w:val="20"/>
          <w:color w:val="auto"/>
        </w:rPr>
      </w:pPr>
      <w:r>
        <w:rPr>
          <w:rFonts w:ascii="Courier New" w:cs="Courier New" w:eastAsia="Courier New" w:hAnsi="Courier New"/>
          <w:sz w:val="15"/>
          <w:szCs w:val="15"/>
          <w:color w:val="auto"/>
        </w:rPr>
        <w:t>Retained</w:t>
      </w:r>
    </w:p>
    <w:p>
      <w:pPr>
        <w:ind w:left="180"/>
        <w:spacing w:after="0" w:line="238" w:lineRule="auto"/>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040" w:space="620"/>
            <w:col w:w="1040" w:space="620"/>
            <w:col w:w="19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23,848,967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5">
            <w:col w:w="3140" w:space="720"/>
            <w:col w:w="880" w:space="700"/>
            <w:col w:w="600" w:space="620"/>
            <w:col w:w="1040" w:space="620"/>
            <w:col w:w="19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June 30,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44,569,287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$44,569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$374,084,722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$95,963,516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3140" w:space="720"/>
            <w:col w:w="880" w:space="700"/>
            <w:col w:w="600" w:space="620"/>
            <w:col w:w="1040" w:space="620"/>
            <w:col w:w="1919"/>
          </w:cols>
          <w:pgMar w:left="220" w:top="281"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WASTE SYSTEMS,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8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520" w:type="dxa"/>
            <w:vAlign w:val="bottom"/>
          </w:tcPr>
          <w:p>
            <w:pPr>
              <w:spacing w:after="0"/>
              <w:rPr>
                <w:sz w:val="14"/>
                <w:szCs w:val="14"/>
                <w:color w:val="auto"/>
              </w:rPr>
            </w:pPr>
          </w:p>
        </w:tc>
        <w:tc>
          <w:tcPr>
            <w:tcW w:w="284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4520" w:type="dxa"/>
            <w:vAlign w:val="bottom"/>
          </w:tcPr>
          <w:p>
            <w:pPr>
              <w:spacing w:after="0"/>
              <w:rPr>
                <w:sz w:val="14"/>
                <w:szCs w:val="14"/>
                <w:color w:val="auto"/>
              </w:rPr>
            </w:pPr>
          </w:p>
        </w:tc>
        <w:tc>
          <w:tcPr>
            <w:tcW w:w="2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23,848,967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12,866,735</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operating</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23,380,878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17,744,758</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5,134,491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2,077,749</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(647,564)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(126,445)</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 tax adjustment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319,803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(133,034)</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Changes in operating assets and liabilities: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(8,660,503)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(3,891,052)</w:t>
            </w: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2,401,049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(1,039,894)</w:t>
            </w: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1,076,250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(141,944)</w:t>
            </w: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landfill costs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(1,566,614)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4,811</w:t>
            </w: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5,228,200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7,999,962</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50,514,957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35,361,646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(26,263,896)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(21,204,295)</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1,372,028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120,941</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 net (held to</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maturity)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907,196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1,501,540</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contingent purchase price</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(1,548,291)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(2,009,671)</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capitalized project costs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(1,797,498)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(655,519)</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other companies,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(73,943,865)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(63,354,449)</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(101,274,326)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(85,601,453)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sellers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(231,836)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(5,201,439)</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debt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17,300,000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182,772,812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41"/>
        </w:trPr>
        <w:tc>
          <w:tcPr>
            <w:tcW w:w="4640" w:type="dxa"/>
            <w:vAlign w:val="bottom"/>
          </w:tcPr>
          <w:p>
            <w:pPr>
              <w:ind w:left="2380"/>
              <w:spacing w:after="0"/>
              <w:rPr>
                <w:sz w:val="20"/>
                <w:szCs w:val="20"/>
                <w:color w:val="auto"/>
              </w:rPr>
            </w:pPr>
            <w:r>
              <w:rPr>
                <w:rFonts w:ascii="Courier New" w:cs="Courier New" w:eastAsia="Courier New" w:hAnsi="Courier New"/>
                <w:sz w:val="15"/>
                <w:szCs w:val="15"/>
                <w:color w:val="auto"/>
                <w:w w:val="95"/>
              </w:rPr>
              <w:t>UNITED WASTE SYSTEMS, INC.</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000" w:type="dxa"/>
            <w:vAlign w:val="bottom"/>
            <w:gridSpan w:val="3"/>
          </w:tcPr>
          <w:p>
            <w:pPr>
              <w:ind w:left="1060"/>
              <w:spacing w:after="0" w:line="168" w:lineRule="exact"/>
              <w:rPr>
                <w:sz w:val="20"/>
                <w:szCs w:val="20"/>
                <w:color w:val="auto"/>
              </w:rPr>
            </w:pPr>
            <w:r>
              <w:rPr>
                <w:rFonts w:ascii="Courier New" w:cs="Courier New" w:eastAsia="Courier New" w:hAnsi="Courier New"/>
                <w:sz w:val="15"/>
                <w:szCs w:val="15"/>
                <w:color w:val="auto"/>
                <w:w w:val="99"/>
              </w:rPr>
              <w:t>CONDENSED CONSOLIDATED STATEMENTS OF CASH FLOWS - CON'T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27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Repayments of debt</w:t>
            </w:r>
          </w:p>
        </w:tc>
        <w:tc>
          <w:tcPr>
            <w:tcW w:w="14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(65,222,174)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(79,053,858)</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of capital lease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obligations</w:t>
            </w:r>
          </w:p>
        </w:tc>
        <w:tc>
          <w:tcPr>
            <w:tcW w:w="14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(601,951)</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(1,550,971)</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financing costs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(4,737,000)</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exercise of common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warrants and options</w:t>
            </w:r>
          </w:p>
        </w:tc>
        <w:tc>
          <w:tcPr>
            <w:tcW w:w="1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3,995,794</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15,302,757</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proceeds from issuance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118,943,071</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Subchapter S distributions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pooled entities</w:t>
            </w:r>
          </w:p>
        </w:tc>
        <w:tc>
          <w:tcPr>
            <w:tcW w:w="14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(168,145)</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(1,704,621)</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from financing activities</w:t>
            </w:r>
          </w:p>
        </w:tc>
        <w:tc>
          <w:tcPr>
            <w:tcW w:w="1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74,014,759</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105,827,680</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cash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23,255,390</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55,587,873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2,567,854</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6,721,849</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period</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25,823,244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62,309,722</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period for interest,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amounts capitalized</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7,439,086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6,031,573</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(received) paid during the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period for income taxes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(1,345,230)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3,259,570</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UNITED WASTE SYSTEMS,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CONDENSED CONSOLIDATED STATEMENTS OF CASH FLOWS - CON'T</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6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820" w:type="dxa"/>
            <w:vAlign w:val="bottom"/>
          </w:tcPr>
          <w:p>
            <w:pPr>
              <w:spacing w:after="0"/>
              <w:rPr>
                <w:sz w:val="14"/>
                <w:szCs w:val="14"/>
                <w:color w:val="auto"/>
              </w:rPr>
            </w:pPr>
          </w:p>
        </w:tc>
        <w:tc>
          <w:tcPr>
            <w:tcW w:w="266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820" w:type="dxa"/>
            <w:vAlign w:val="bottom"/>
          </w:tcPr>
          <w:p>
            <w:pPr>
              <w:spacing w:after="0"/>
              <w:rPr>
                <w:sz w:val="14"/>
                <w:szCs w:val="14"/>
                <w:color w:val="auto"/>
              </w:rPr>
            </w:pPr>
          </w:p>
        </w:tc>
        <w:tc>
          <w:tcPr>
            <w:tcW w:w="2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financing activities: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Company acquired the net assets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assumed certain liabilities of</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companies as follows: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 value of net assets acquired:</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$ 26,270,128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$ 30,318,792</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 net of cash acquired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65,634,145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50,378,809</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liabilities assumed</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(10,249,845)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(12,902,755)</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amounts due to seller</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(3,561,553)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(3,170,578)</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amounts paid in common stock</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(3,522,479)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1,144,983)</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deposits and capitalized project</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costs paid in prior periods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(626,531)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(124,836)</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paid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$ 73,943,865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$ 63,354,449</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UNITED WASTE SYSTEMS,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NOTES TO UNAUDITED CONDENSED CONSOLIDATED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June 30, 1997 and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Condensed Consolidated Financial Statements of United Waste Systems, Inc. and its subsidiaries (the "Company") included herein are unaudited and, in the opinion of management, such financial statements reflect all adjustments, consisting only of normal recurring adjustments, necessary to a fair statement of the results of the interim periods presented. Interim financial statements do not require all disclosures normally presented in year-end financial statements, and, accordingly, certain disclosures have been omitted. The Condensed Consolidated Financial Statements included herein should be read in conjunction with the Company's Consolidated Financial Statements and related Notes thereto included in the Company's Annual Report on Form 10-K for the year ended December 31, 1996.</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Condensed Consolidated Statements of Operations and Statement of Cash Flows for 1996 have been restated to include the accounts of certain acquisitions completed in 1996, that were accounted for as pooling-of-interests. See Note 2.</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entered into an Agreement and Plan of Merger (the "Merger Agreement"), dated as of April 13, 1997 with USA Waste Services, Inc. ("USA Waste") a Delaware corporation, and Riviera Acquisition Corporation, a Delaware corporation and a wholly-owned subsidiary of USA Waste ("Sub"). Subject to the terms and conditions of the Merger Agreement, the Sub will merge with and into the Company (the "Merger"), and each share of common stock of the Company will be converted into 1.075 shares of common stock of USA Waste. The Merger is conditioned upon, among other things, approval by shareholders of the Company and USA Waste, and expiration or termination of the waiting period under the Hart-Scott-Rodino Antitrust Improvements Act of 1976.</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No. 128, Earnings per Share ("SFAS 128"), which is required to be adopted on December 31, 1997. At that time, the Company will be required to change the method currently used to compute earnings per share and to restate all prior periods. Under the new requirements for calculating earnings per share, basic earnings per share will exclude the dilutive effect of the Company's stock options and warrants. Implementation of SFAS 128 is expected to result in basic earnings per share for the six months ended June 30, 1997 and 1996 of $.57 and $.35, respectively, and diluted earnings per share for such periods of $.53 and $.33, respectively, and basic earnings per share for the three months ended June 30, 1997 and 1996 of $.35 and $.19, respectively, and diluted earnings per share for such periods of $.32 and $.18, respectively.</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October 1996, the Accounting Standards Executive Committee of the American Institute of Certified Public Accountants issued Statement of Position No. 96-1 ("SOP 96-1"), Environmental Remediation Liabilities. SOP 96-1 provides authoritative guidance on the recognition, measurement, display and disclosure of environmental remediation liabilities. SOP 96-1 also contains a discussion of major federal legislation relating to environmental remediation and pollution prevention and control. The adoption of SOP 96-1 did not have a material effect on the Company's financial position and results of operations.</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ACQUISITIONS</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table below provides a summary description of completed acquisitions (not including acquisitions described below that were accounted for as pooling-of-interests) during the six months ended June 30, 1997: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Type of Operation</w:t>
            </w: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Acquired</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Landfill</w:t>
            </w:r>
          </w:p>
        </w:tc>
        <w:tc>
          <w:tcPr>
            <w:tcW w:w="2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Collection companies</w:t>
            </w:r>
          </w:p>
        </w:tc>
        <w:tc>
          <w:tcPr>
            <w:tcW w:w="2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37(2)</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Transfer stations</w:t>
            </w:r>
          </w:p>
        </w:tc>
        <w:tc>
          <w:tcPr>
            <w:tcW w:w="2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7(3)</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landfills are located in Illinois and Nebraska.</w:t>
      </w:r>
    </w:p>
    <w:p>
      <w:pPr>
        <w:spacing w:after="0" w:line="172" w:lineRule="exact"/>
        <w:rPr>
          <w:rFonts w:ascii="Courier New" w:cs="Courier New" w:eastAsia="Courier New" w:hAnsi="Courier New"/>
          <w:sz w:val="15"/>
          <w:szCs w:val="15"/>
          <w:color w:val="auto"/>
        </w:rPr>
      </w:pPr>
    </w:p>
    <w:p>
      <w:pPr>
        <w:jc w:val="both"/>
        <w:ind w:right="3319" w:firstLine="10"/>
        <w:spacing w:after="0" w:line="258"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collection companies (including 26 tuck-in acquisitions) are located in Arizona, California, Illinois, Iowa, Kentucky, Maine, Massachusetts, Minnesota, New Mexico, North Dakota, Pennsylvania, Rhode Island, Vermont, and Wisconsin.</w:t>
      </w:r>
    </w:p>
    <w:p>
      <w:pPr>
        <w:spacing w:after="0" w:line="161" w:lineRule="exact"/>
        <w:rPr>
          <w:rFonts w:ascii="Courier New" w:cs="Courier New" w:eastAsia="Courier New" w:hAnsi="Courier New"/>
          <w:sz w:val="14"/>
          <w:szCs w:val="14"/>
          <w:color w:val="auto"/>
        </w:rPr>
      </w:pPr>
    </w:p>
    <w:p>
      <w:pPr>
        <w:ind w:right="3579" w:firstLine="10"/>
        <w:spacing w:after="0" w:line="234"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stations are located in California, Kentucky, Minnesota and Wisconsin.</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above acquisitions have been accounted for as purchases and, accordingly, the results of their operations have been included in the Company's Condensed Consolidated Financial Statements from their respective acquisition dates.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following table summarizes, on an unaudited pro forma basis, the combined results of operations of the Company for the six months ended June 30, 1997 and 1996 as though (i) the acquisitions summarized above (excluding certain thereof that were not material individually or in the aggregate) which were consummated in the six months ended June 30, 1997, were made on January 1, 1997, in the case of the results for the six months ended June 30, 1997, and</w:t>
      </w:r>
    </w:p>
    <w:p>
      <w:pPr>
        <w:ind w:left="440" w:hanging="430"/>
        <w:spacing w:after="0" w:line="233"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acquisition which was consummated during the period of January 1,</w:t>
      </w:r>
    </w:p>
    <w:p>
      <w:pPr>
        <w:spacing w:after="0" w:line="5"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1996 to June 30, 1997 as described above and in Note 3 to the Notes to Consolidated Financial Statements included in the Company's 1996 Annual Report on Form 10-K (excluding certain thereof that were not material individually or in the aggregate), was made on January 1, 1996, in the case of the results for the six months ended June 30,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380" w:type="dxa"/>
            <w:vAlign w:val="bottom"/>
          </w:tcPr>
          <w:p>
            <w:pPr>
              <w:spacing w:after="0"/>
              <w:rPr>
                <w:sz w:val="14"/>
                <w:szCs w:val="14"/>
                <w:color w:val="auto"/>
              </w:rPr>
            </w:pPr>
          </w:p>
        </w:tc>
        <w:tc>
          <w:tcPr>
            <w:tcW w:w="372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80" w:type="dxa"/>
            <w:vAlign w:val="bottom"/>
          </w:tcPr>
          <w:p>
            <w:pPr>
              <w:spacing w:after="0"/>
              <w:rPr>
                <w:sz w:val="14"/>
                <w:szCs w:val="14"/>
                <w:color w:val="auto"/>
              </w:rPr>
            </w:pPr>
          </w:p>
        </w:tc>
        <w:tc>
          <w:tcPr>
            <w:tcW w:w="3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80" w:type="dxa"/>
            <w:vAlign w:val="bottom"/>
          </w:tcPr>
          <w:p>
            <w:pPr>
              <w:spacing w:after="0"/>
              <w:rPr>
                <w:sz w:val="14"/>
                <w:szCs w:val="14"/>
                <w:color w:val="auto"/>
              </w:rPr>
            </w:pP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226,188,143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184,393,110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23,992,604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14,152,411</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Primary earnings</w:t>
            </w: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and common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Fully diluted earnings</w:t>
            </w: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and common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bl>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unaudited pro forma results are based upon certain assumptions and estimates which are subject to change. These results are not necessarily indicative of the actual results of operations that might have occurred, nor are they necessarily indicative of expected results in the future.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April, May and June 1997, the Company issued 1,368,077 shares of its common stock for the acquisition of six solid waste management companies. These transactions were accounted for as pooling-of-interests; however these acquisitions were not material to the Company's consolidated operations and financial position and, therefore, the first quarter of 1997 and the 1996 Condensed Consolidated Financial Statements have not been restated.</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February and March 1997, the Company issued 384,472 shares of its Common Stock for the acquisitions of five solid waste management companies. These transactions were accounted for as pooling-of-interests; however, these acquisitions were not material to the Company's consolidated operations and financial position and, therefore, the 1996 Condensed Consolidated Financial Statements have not been restated.</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June 28, 1996, the Company issued 730,765 shares of its Common Stock for all of the outstanding shares of common stock of Salinas Disposal Service, Inc., Rural Dispos-All Service, Inc. and Madison Lane Properties, Inc. (the "Salinas Companies"), a group of affiliated companies that comprise an integrated solid waste management company. This transaction has been accounted for as a pooling-of-interests and, accordingly, the Condensed Consolidated Financial Statements have been restated for the three months ended March 31, 1996 to include the accounts of the Salinas Companies.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September 1996, the Company issued 579,857 shares of its Common Stock for the acquisition of three solid waste management companies (the "Pooled Companies"). These transactions were accounted for as pooling-of-interests and, accordingly, the Condensed Consolidated Financial Statements have been restated for the three and six months ended June 30, 1996 to include the accounts of the Pooled Companies.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December 1996, the Company issued 178,701 shares of its Common Stock</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the acquisition of two solid waste management companies. These transactions were accounted for as pooling-of-interests; however, these acquisitions were not material to the Company's consolidated operations and financial position and, therefore, the 1996 Condensed Consolidated Financial Statements have not been restated.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CONTINGENCIES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While the Company carries a wide range of insurance coverage for the protection of the Company's assets and operations, the Company does not carry insurance coverage for environmental liability, except as described in the following sentence. The Company's insurance coverage for environmental liability is limited to (i) contractor pollution liability insurance that relates to certain environmental services provided by the Company and (ii) certain other pollution liability insurance which is the equivalent to self-insurance because under the terms thereof the Company is required to fully reimburse the</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insurance company for any paid claims. In the event uninsured losses occur, the Company's net income and financial position could be materially adversely affected.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May 26, 1995, the Company sued Robert Foley and Matthew Parzych in the</w:t>
      </w:r>
    </w:p>
    <w:p>
      <w:pPr>
        <w:spacing w:after="0" w:line="237" w:lineRule="auto"/>
        <w:rPr>
          <w:sz w:val="20"/>
          <w:szCs w:val="20"/>
          <w:color w:val="auto"/>
        </w:rPr>
      </w:pPr>
      <w:r>
        <w:rPr>
          <w:rFonts w:ascii="Courier New" w:cs="Courier New" w:eastAsia="Courier New" w:hAnsi="Courier New"/>
          <w:sz w:val="15"/>
          <w:szCs w:val="15"/>
          <w:color w:val="auto"/>
        </w:rPr>
        <w:t>United States District Court for the District of Connecticut, Case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3:95-CV-985. The defendants sold stock in certain Massachusetts corporations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under an agreement dated April 1, 1992 (the "1992 agreement").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suit the Company seeks approximately $1,115,000 in cash and securities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escrow account and additional amounts from defendants by reason of indemnity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contained in the 1992 agreement and confirmed in an agreement 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1994 (the "1994 agreement"). The defendants have counterclaimed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the Company and its chief executive officer, seeking to invalidate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agreement primarily for alleged lack of consideration and economic duress,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receive alleged damages and costs. The counterclaims for damages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for alleged misrepresentations by the Company in connection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agreement, and were asserted by defendants notwithstanding provisions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1994 agreement which generally released the Company from all claims. The</w:t>
      </w:r>
    </w:p>
    <w:p>
      <w:pPr>
        <w:spacing w:after="0" w:line="237" w:lineRule="auto"/>
        <w:rPr>
          <w:sz w:val="20"/>
          <w:szCs w:val="20"/>
          <w:color w:val="auto"/>
        </w:rPr>
      </w:pPr>
      <w:r>
        <w:rPr>
          <w:rFonts w:ascii="Courier New" w:cs="Courier New" w:eastAsia="Courier New" w:hAnsi="Courier New"/>
          <w:sz w:val="15"/>
          <w:szCs w:val="15"/>
          <w:color w:val="auto"/>
        </w:rPr>
        <w:t>Company moved to summarily dismiss the counterclaims. On March 31, 1997,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Court granted the Company's motion in part and denied it in part.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intends vigorously to pursue its claims in this action and to defend against</w:t>
      </w:r>
    </w:p>
    <w:p>
      <w:pPr>
        <w:spacing w:after="0" w:line="237" w:lineRule="auto"/>
        <w:rPr>
          <w:sz w:val="20"/>
          <w:szCs w:val="20"/>
          <w:color w:val="auto"/>
        </w:rPr>
      </w:pPr>
      <w:r>
        <w:rPr>
          <w:rFonts w:ascii="Courier New" w:cs="Courier New" w:eastAsia="Courier New" w:hAnsi="Courier New"/>
          <w:sz w:val="15"/>
          <w:szCs w:val="15"/>
          <w:color w:val="auto"/>
        </w:rPr>
        <w:t>the remaining counterclaims. In the opinion of management, this claim should</w:t>
      </w:r>
    </w:p>
    <w:p>
      <w:pPr>
        <w:spacing w:after="0" w:line="238" w:lineRule="auto"/>
        <w:rPr>
          <w:sz w:val="20"/>
          <w:szCs w:val="20"/>
          <w:color w:val="auto"/>
        </w:rPr>
      </w:pPr>
      <w:r>
        <w:rPr>
          <w:rFonts w:ascii="Courier New" w:cs="Courier New" w:eastAsia="Courier New" w:hAnsi="Courier New"/>
          <w:sz w:val="15"/>
          <w:szCs w:val="15"/>
          <w:color w:val="auto"/>
        </w:rPr>
        <w:t>not materially affect the financial position or operating results of the</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1996, Dale Lynch, Dennis Lynch and D.L. Lynch sued the Company, its chief executive officer and a subsidiary of the Company in the Circuit Court of Whitley County, Kentucky (Index No. 96 CI 00355). The subsidiary purchased the Tri-County landfill from the plaintiffs in 1991. The suit primarily seeks compensatory and punitive damages for alleged breach of contract and for allegedly fraudulent representations in connection with this purchase. The Company has filed a counterclaim for breach of warranties and fraud. The Company has also sought indemnification for breach of warranties. In January 1997, the plaintiffs filed an amended complaint, which seeks relief similar to that of their original complaint. The Company filed a Motion to Dismiss seven of the eight counts in the complaint, including the fraud count. The Company has served discovery requests and deposition notices on plaintiffs and intends to vigorously defend against plaintiffs' claims and prosecute its counterclaim. In the opinion of management, this suit should not materially affect the financial position or operating results of the Company.</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July 1996 the Company filed suit against H.A.M. Sanitary Landfill, Inc. and its shareholders. The suit is now pending in the Circuit Court for Monroe County, West Virginia, Civil Action No. 96-C-51. The Company, among other things, seeks to recover $1.8 million in advances which the Company made in connection with an agreement, since terminated, to purchase the H.A.M. Sanitary Landfill in West Virginia from the defendants, and to recover certain machinery and equipment with an aggregate replacement value of approximately $150,000. The defendants in September 1996 filed a counterclaim against the Company and a subsidiary which seeks compensatory and punitive damages for claims of alleged breach of contract, breach of fiduciary duty under an alleged joint venture, unjust enrichment and fraud. The Company will vigorously prosecute its claim and defend against the counterclaim. In the opinion of management, the counterclaim should not materially affect the financial position or operating results of the Company.</w:t>
      </w:r>
    </w:p>
    <w:p>
      <w:pPr>
        <w:spacing w:after="0" w:line="332"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On April 17, 1997, a purported class action on behalf of the public shareholders of the Company entitled Schipper v. United Waste et al., Civil Action No. 15664-NC, was filed in the Court of Chancery of the State of Delaware against the Company and each of the members</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of the Company's Board of Directors asserting, among other things, that defendants breached their fiduciary duties to stockholders of the Company in negotiating the Merger Agreement and in engaging in certain related alleged acts and omissions. The complaint seeks, among other things, injunctive and other equitable relief against consummation of the Merger, and damages and costs in an unspecified amount. The Company believes the claim is without merit.</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June 25, 1997, Richard and Martin Zielinski (the "Claimants") filed a demand for arbitration against Connecticut Valley Sanitary Waste Disposal, Inc. ("CVSWD"), a subsidiary of United Waste. The Claimants seek approximately $8,600,000, plus treble damages, based on CVSWD's alleged breaches of obligations under a lease and Massachusetts law in relation to the operation of CVSWD's Chicopee, Massachusetts landfill. CVWSD disagrees with Claimants' contentions and intends to vigorously defend against this claim. CVSWD will be filing a counter-demand for arbitration, based on the Claimants' breaches of the lease and Massachusetts law. It is too early to predict the outcome of the arbitration.</w:t>
      </w:r>
    </w:p>
    <w:p>
      <w:pPr>
        <w:spacing w:after="0" w:line="17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accrues the costs for closure and post-closure monitoring over the life of its owned landfills and will pay out these costs over the next thirty years. Major components of these costs include closure cap construction, leachate treatment and groundwater monitoring. The Company accrues these costs utilizing engineering estimates based on current governmental regulations regarding closure requirements. The Company estimates that the aggregate liability for the closure, post-closure and remediation costs of its landfills owned at June 30, 1997 will be approximately $71.8 million. At June 30, 1997, the Company has approximately $53.0 million of these costs accrued and, therefore, has accrued approximately 73.8% of its estimated total costs to date.</w:t>
      </w:r>
    </w:p>
    <w:p>
      <w:pPr>
        <w:spacing w:after="0" w:line="18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monitors the availability of airspace at each of its landfills and the need to obtain permit modifications for approvals for expansion in order to continue operating these landfills. In order to develop and operate a landfill, a composting facility or transfer station, or other solid waste management facility, the Company typically must go through several governmental review processes and obtain one or more permits and often zoning or other land use approvals. Once obtained, operating permits generally must be periodically renewed and are subject to modification and revocation by the issuing agency. There can be no assurance that the Company will succeed in obtaining these permits, permit modifications or approvals.</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ind w:left="1580"/>
        <w:spacing w:after="0" w:line="237" w:lineRule="auto"/>
        <w:rPr>
          <w:sz w:val="20"/>
          <w:szCs w:val="20"/>
          <w:color w:val="auto"/>
        </w:rPr>
      </w:pPr>
      <w:r>
        <w:rPr>
          <w:rFonts w:ascii="Courier New" w:cs="Courier New" w:eastAsia="Courier New" w:hAnsi="Courier New"/>
          <w:sz w:val="15"/>
          <w:szCs w:val="15"/>
          <w:color w:val="auto"/>
        </w:rPr>
        <w:t>REPORT OF INDEPENDENT AUDITORS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United Waste Systems, Inc.</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United Waste Systems, Inc. as of December 31, 1996 and 1995 and the related consolidated statements of operations, stockholders' equity, and cash flows for each of the three years in the period ended December 31, 1996. These financial statements are the responsibility of the management of United Waste Systems, Inc. Our responsibility is to express an opinion on these financial statements based on our audits. We did not audit the 1994 financial statements of the Carmel Marina Companies, wholly-owned subsidiaries, which statements reflect total revenues constituting 15% in 1994 of the related consolidated totals. Those statements were audited by other auditors, whose report has been furnished to us and our opinion, insofar as it relates to data included for the Carmel Marina Companies, is based solely on the report of the other auditors.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our opinion, based on our audits and, for 1994, the report of other auditors, the financial statements referred to above present fairly, in all material respects, the consolidated financial position of United Waste Systems, Inc. at December 31, 1996 and 1995, and the consolidated results of its operations and its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ERNST &amp; YOUNG LLP</w:t>
      </w:r>
    </w:p>
    <w:p>
      <w:pPr>
        <w:spacing w:after="0" w:line="237" w:lineRule="auto"/>
        <w:rPr>
          <w:sz w:val="20"/>
          <w:szCs w:val="20"/>
          <w:color w:val="auto"/>
        </w:rPr>
      </w:pPr>
      <w:r>
        <w:rPr>
          <w:rFonts w:ascii="Courier New" w:cs="Courier New" w:eastAsia="Courier New" w:hAnsi="Courier New"/>
          <w:sz w:val="15"/>
          <w:szCs w:val="15"/>
          <w:color w:val="auto"/>
        </w:rPr>
        <w:t>MetroPark, New Jersey</w:t>
      </w:r>
    </w:p>
    <w:p>
      <w:pPr>
        <w:spacing w:after="0" w:line="238" w:lineRule="auto"/>
        <w:rPr>
          <w:sz w:val="20"/>
          <w:szCs w:val="20"/>
          <w:color w:val="auto"/>
        </w:rPr>
      </w:pPr>
      <w:r>
        <w:rPr>
          <w:rFonts w:ascii="Courier New" w:cs="Courier New" w:eastAsia="Courier New" w:hAnsi="Courier New"/>
          <w:sz w:val="15"/>
          <w:szCs w:val="15"/>
          <w:color w:val="auto"/>
        </w:rPr>
        <w:t>February 21, 1997,</w:t>
      </w:r>
    </w:p>
    <w:p>
      <w:pPr>
        <w:spacing w:after="0" w:line="237" w:lineRule="auto"/>
        <w:rPr>
          <w:sz w:val="20"/>
          <w:szCs w:val="20"/>
          <w:color w:val="auto"/>
        </w:rPr>
      </w:pPr>
      <w:r>
        <w:rPr>
          <w:rFonts w:ascii="Courier New" w:cs="Courier New" w:eastAsia="Courier New" w:hAnsi="Courier New"/>
          <w:sz w:val="15"/>
          <w:szCs w:val="15"/>
          <w:color w:val="auto"/>
        </w:rPr>
        <w:t>except for Note 13, as</w:t>
      </w:r>
    </w:p>
    <w:p>
      <w:pPr>
        <w:spacing w:after="0" w:line="238" w:lineRule="auto"/>
        <w:rPr>
          <w:sz w:val="20"/>
          <w:szCs w:val="20"/>
          <w:color w:val="auto"/>
        </w:rPr>
      </w:pPr>
      <w:r>
        <w:rPr>
          <w:rFonts w:ascii="Courier New" w:cs="Courier New" w:eastAsia="Courier New" w:hAnsi="Courier New"/>
          <w:sz w:val="15"/>
          <w:szCs w:val="15"/>
          <w:color w:val="auto"/>
        </w:rPr>
        <w:t>to which the date is</w:t>
      </w:r>
    </w:p>
    <w:p>
      <w:pPr>
        <w:spacing w:after="0" w:line="237" w:lineRule="auto"/>
        <w:rPr>
          <w:sz w:val="20"/>
          <w:szCs w:val="20"/>
          <w:color w:val="auto"/>
        </w:rPr>
      </w:pPr>
      <w:r>
        <w:rPr>
          <w:rFonts w:ascii="Courier New" w:cs="Courier New" w:eastAsia="Courier New" w:hAnsi="Courier New"/>
          <w:sz w:val="15"/>
          <w:szCs w:val="15"/>
          <w:color w:val="auto"/>
        </w:rPr>
        <w:t>March 25, 1997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UNITED WASTE SYSTEMS, INC.</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80" w:type="dxa"/>
            <w:vAlign w:val="bottom"/>
          </w:tcPr>
          <w:p>
            <w:pPr>
              <w:spacing w:after="0"/>
              <w:rPr>
                <w:sz w:val="14"/>
                <w:szCs w:val="14"/>
                <w:color w:val="auto"/>
              </w:rPr>
            </w:pPr>
          </w:p>
        </w:tc>
        <w:tc>
          <w:tcPr>
            <w:tcW w:w="28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80" w:type="dxa"/>
            <w:vAlign w:val="bottom"/>
          </w:tcPr>
          <w:p>
            <w:pPr>
              <w:spacing w:after="0"/>
              <w:rPr>
                <w:sz w:val="14"/>
                <w:szCs w:val="14"/>
                <w:color w:val="auto"/>
              </w:rPr>
            </w:pPr>
          </w:p>
        </w:tc>
        <w:tc>
          <w:tcPr>
            <w:tcW w:w="16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center"/>
              <w:ind w:left="1567"/>
              <w:spacing w:after="0" w:line="168" w:lineRule="exact"/>
              <w:rPr>
                <w:sz w:val="20"/>
                <w:szCs w:val="20"/>
                <w:color w:val="auto"/>
              </w:rPr>
            </w:pPr>
            <w:r>
              <w:rPr>
                <w:rFonts w:ascii="Courier New" w:cs="Courier New" w:eastAsia="Courier New" w:hAnsi="Courier New"/>
                <w:sz w:val="15"/>
                <w:szCs w:val="15"/>
                <w:color w:val="auto"/>
                <w:w w:val="99"/>
              </w:rPr>
              <w:t>ASSETS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2,567,854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6,721,849</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 of</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$3,076,000 in 1996 and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$2,249,000 in 1995</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54,963,664</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38,522,126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29,989,310</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14,198,544</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87,520,828</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59,442,519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accumulated depreciation of</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$94,407,414 in 1996 and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$58,866,599 in 1995</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387,980,224</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289,378,346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286,851,677</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171,739,197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38,688,965</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20,008,399</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$801,041,694</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$540,568,461</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LIABILITIES AND STOCKHOLDERS' EQUITY</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nonrecourse bonds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5,064,413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5,644,096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23,923,298</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18,031,701</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12,189,998</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8,291,415</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seller</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4,258,016</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6,465,720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accrued landfill costs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4,648,923</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6,524,024</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capital lease</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846,528</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1,383,576</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15,572,292</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11,143,769</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9,196,178</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5,933,633</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75,699,646</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63,417,934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302,704,119</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156,193,971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leases, less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373,296</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4,687,554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Nonrecourse sewage facility revenue</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bonds, less current portion</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8,900,000</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9,400,000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landfill costs, less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44,878,800</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27,663,907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13,137,811</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3,056,578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36,634,609</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33,885,306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UNITED WASTE SYSTEMS, INC.</w:t>
      </w:r>
    </w:p>
    <w:p>
      <w:pPr>
        <w:ind w:left="2280"/>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780" w:type="dxa"/>
            <w:vAlign w:val="bottom"/>
          </w:tcPr>
          <w:p>
            <w:pPr>
              <w:spacing w:after="0"/>
              <w:rPr>
                <w:sz w:val="14"/>
                <w:szCs w:val="14"/>
                <w:color w:val="auto"/>
              </w:rPr>
            </w:pPr>
          </w:p>
        </w:tc>
        <w:tc>
          <w:tcPr>
            <w:tcW w:w="3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$.001</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 value, 5,000,000 shares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$.001 par value,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75,000,000 shares authorized;</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39,089,553 in 1996 and</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17,578,550 in 1995 shares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17,579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248,973,700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200,267,630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69,700,623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41,978,002</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318,713,413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242,263,211</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$801,041,694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$540,568,461</w:t>
            </w:r>
          </w:p>
        </w:tc>
      </w:tr>
      <w:tr>
        <w:trPr>
          <w:trHeight w:val="168"/>
        </w:trPr>
        <w:tc>
          <w:tcPr>
            <w:tcW w:w="378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ind w:left="2380"/>
        <w:spacing w:after="0" w:line="237" w:lineRule="auto"/>
        <w:rPr>
          <w:sz w:val="20"/>
          <w:szCs w:val="20"/>
          <w:color w:val="auto"/>
        </w:rPr>
      </w:pPr>
      <w:r>
        <w:rPr>
          <w:rFonts w:ascii="Courier New" w:cs="Courier New" w:eastAsia="Courier New" w:hAnsi="Courier New"/>
          <w:sz w:val="15"/>
          <w:szCs w:val="15"/>
          <w:color w:val="auto"/>
        </w:rPr>
        <w:t>UNITED WASTE SYSTEMS, INC.</w:t>
      </w:r>
    </w:p>
    <w:tbl>
      <w:tblPr>
        <w:tblLayout w:type="fixed"/>
        <w:tblInd w:w="0" w:type="dxa"/>
        <w:tblCellMar>
          <w:top w:w="0" w:type="dxa"/>
          <w:left w:w="0" w:type="dxa"/>
          <w:bottom w:w="0" w:type="dxa"/>
          <w:right w:w="0" w:type="dxa"/>
        </w:tblCellMar>
      </w:tblPr>
      <w:tr>
        <w:trPr>
          <w:trHeight w:val="169"/>
        </w:trPr>
        <w:tc>
          <w:tcPr>
            <w:tcW w:w="5860" w:type="dxa"/>
            <w:vAlign w:val="bottom"/>
            <w:gridSpan w:val="5"/>
          </w:tcPr>
          <w:p>
            <w:pPr>
              <w:ind w:left="1840"/>
              <w:spacing w:after="0" w:line="169" w:lineRule="exact"/>
              <w:rPr>
                <w:sz w:val="20"/>
                <w:szCs w:val="20"/>
                <w:color w:val="auto"/>
              </w:rPr>
            </w:pPr>
            <w:r>
              <w:rPr>
                <w:rFonts w:ascii="Courier New" w:cs="Courier New" w:eastAsia="Courier New" w:hAnsi="Courier New"/>
                <w:sz w:val="15"/>
                <w:szCs w:val="15"/>
                <w:color w:val="auto"/>
              </w:rPr>
              <w:t>CONSOLIDATED STATEMENTS OF OPERATIONS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December</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46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4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$ 335,743,175</w:t>
            </w:r>
          </w:p>
        </w:tc>
        <w:tc>
          <w:tcPr>
            <w:tcW w:w="188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$ 228,376,762</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$ 146,042,523</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Cost of operations</w:t>
            </w:r>
          </w:p>
        </w:tc>
        <w:tc>
          <w:tcPr>
            <w:tcW w:w="3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8"/>
              </w:rPr>
              <w:t>206,786,205</w:t>
            </w:r>
          </w:p>
        </w:tc>
        <w:tc>
          <w:tcPr>
            <w:tcW w:w="440" w:type="dxa"/>
            <w:vAlign w:val="bottom"/>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140,813,834</w:t>
            </w:r>
          </w:p>
        </w:tc>
        <w:tc>
          <w:tcPr>
            <w:tcW w:w="2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88,611,515</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53,106,485</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34,841,125</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22,526,867</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75,850,485</w:t>
            </w:r>
          </w:p>
        </w:tc>
        <w:tc>
          <w:tcPr>
            <w:tcW w:w="440" w:type="dxa"/>
            <w:vAlign w:val="bottom"/>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52,721,803</w:t>
            </w:r>
          </w:p>
        </w:tc>
        <w:tc>
          <w:tcPr>
            <w:tcW w:w="2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34,904,141</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14,949,746</w:t>
            </w:r>
          </w:p>
        </w:tc>
        <w:tc>
          <w:tcPr>
            <w:tcW w:w="440" w:type="dxa"/>
            <w:vAlign w:val="bottom"/>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10,061,290</w:t>
            </w:r>
          </w:p>
        </w:tc>
        <w:tc>
          <w:tcPr>
            <w:tcW w:w="2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6,424,630</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net</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251,661</w:t>
            </w:r>
          </w:p>
        </w:tc>
        <w:tc>
          <w:tcPr>
            <w:tcW w:w="4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(948,830)</w:t>
            </w:r>
          </w:p>
        </w:tc>
        <w:tc>
          <w:tcPr>
            <w:tcW w:w="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(474,211)</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before provision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pro forma</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60,649,078</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43,609,343</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28,953,722</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for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25,256,286</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15,320,898</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7,944,023</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35,392,792</w:t>
            </w:r>
          </w:p>
        </w:tc>
        <w:tc>
          <w:tcPr>
            <w:tcW w:w="440" w:type="dxa"/>
            <w:vAlign w:val="bottom"/>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28,288,445</w:t>
            </w:r>
          </w:p>
        </w:tc>
        <w:tc>
          <w:tcPr>
            <w:tcW w:w="2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21,009,699</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deductions from pro</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forma income available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common stockholders</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372,501</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1,275,180</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income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to</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stockholders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35,392,792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27,915,944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19,734,519</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primary earnings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equivalent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fully diluted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and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.81</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 forma tax</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363,280</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1,458,361</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2,064,773</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35,029,512</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26,830,084</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18,944,926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deductions from</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income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to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372,501</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1,275,180</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to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35,029,512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26,457,583</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17,669,746</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 forma primary</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and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fully diluted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and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UNITED WASTE SYSTEMS, INC.</w:t>
      </w:r>
    </w:p>
    <w:tbl>
      <w:tblPr>
        <w:tblLayout w:type="fixed"/>
        <w:tblInd w:w="0" w:type="dxa"/>
        <w:tblCellMar>
          <w:top w:w="0" w:type="dxa"/>
          <w:left w:w="0" w:type="dxa"/>
          <w:bottom w:w="0" w:type="dxa"/>
          <w:right w:w="0" w:type="dxa"/>
        </w:tblCellMar>
      </w:tblPr>
      <w:tr>
        <w:trPr>
          <w:trHeight w:val="168"/>
        </w:trPr>
        <w:tc>
          <w:tcPr>
            <w:tcW w:w="6220" w:type="dxa"/>
            <w:vAlign w:val="bottom"/>
            <w:gridSpan w:val="5"/>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CONSOLIDATED STATEMENTS OF STOCKHOLDERS' EQUITY</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73"/>
        </w:trPr>
        <w:tc>
          <w:tcPr>
            <w:tcW w:w="1840" w:type="dxa"/>
            <w:vAlign w:val="bottom"/>
          </w:tcPr>
          <w:p>
            <w:pPr>
              <w:spacing w:after="0"/>
              <w:rPr>
                <w:sz w:val="24"/>
                <w:szCs w:val="24"/>
                <w:color w:val="auto"/>
              </w:rPr>
            </w:pPr>
          </w:p>
        </w:tc>
        <w:tc>
          <w:tcPr>
            <w:tcW w:w="29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Preferred Stock</w:t>
            </w:r>
          </w:p>
        </w:tc>
        <w:tc>
          <w:tcPr>
            <w:tcW w:w="314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Common Stock</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294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Number</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Additional</w:t>
            </w:r>
          </w:p>
        </w:tc>
        <w:tc>
          <w:tcPr>
            <w:tcW w:w="15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of</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Paid-in</w:t>
            </w:r>
          </w:p>
        </w:tc>
        <w:tc>
          <w:tcPr>
            <w:tcW w:w="15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18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44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Amount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44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Amount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Capital</w:t>
            </w:r>
          </w:p>
        </w:tc>
        <w:tc>
          <w:tcPr>
            <w:tcW w:w="15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18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Balance, December</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1,797,581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1,798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11,514,060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11,514</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83,935,580</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4,535,071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763,578</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764</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15,279,707</w:t>
            </w:r>
          </w:p>
        </w:tc>
        <w:tc>
          <w:tcPr>
            <w:tcW w:w="15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 and</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568,394</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569</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7,311,162</w:t>
            </w:r>
          </w:p>
        </w:tc>
        <w:tc>
          <w:tcPr>
            <w:tcW w:w="15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8%</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(854,152)</w:t>
            </w:r>
          </w:p>
        </w:tc>
        <w:tc>
          <w:tcPr>
            <w:tcW w:w="4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780,563</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780</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15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(1,275,180)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Contributed capital</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590,667</w:t>
            </w:r>
          </w:p>
        </w:tc>
        <w:tc>
          <w:tcPr>
            <w:tcW w:w="15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Subchapter 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pooled</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entities</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(3,413,997)</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21,009,699</w:t>
            </w:r>
          </w:p>
        </w:tc>
      </w:tr>
      <w:tr>
        <w:trPr>
          <w:trHeight w:val="168"/>
        </w:trPr>
        <w:tc>
          <w:tcPr>
            <w:tcW w:w="18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943,429</w:t>
            </w:r>
          </w:p>
        </w:tc>
        <w:tc>
          <w:tcPr>
            <w:tcW w:w="4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13,626,595</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13,627</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107,117,160</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20,855,593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2,469,299</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2,469</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79,684,075</w:t>
            </w:r>
          </w:p>
        </w:tc>
        <w:tc>
          <w:tcPr>
            <w:tcW w:w="15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70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1540"/>
          </w:cols>
          <w:pgMar w:left="220" w:top="281" w:right="1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ind w:left="2380"/>
        <w:spacing w:after="0" w:line="237" w:lineRule="auto"/>
        <w:rPr>
          <w:sz w:val="20"/>
          <w:szCs w:val="20"/>
          <w:color w:val="auto"/>
        </w:rPr>
      </w:pPr>
      <w:r>
        <w:rPr>
          <w:rFonts w:ascii="Courier New" w:cs="Courier New" w:eastAsia="Courier New" w:hAnsi="Courier New"/>
          <w:sz w:val="15"/>
          <w:szCs w:val="15"/>
          <w:color w:val="auto"/>
        </w:rPr>
        <w:t>UNITED WASTE SYSTEMS, INC.</w:t>
      </w:r>
    </w:p>
    <w:tbl>
      <w:tblPr>
        <w:tblLayout w:type="fixed"/>
        <w:tblInd w:w="0" w:type="dxa"/>
        <w:tblCellMar>
          <w:top w:w="0" w:type="dxa"/>
          <w:left w:w="0" w:type="dxa"/>
          <w:bottom w:w="0" w:type="dxa"/>
          <w:right w:w="0" w:type="dxa"/>
        </w:tblCellMar>
      </w:tblPr>
      <w:tr>
        <w:trPr>
          <w:trHeight w:val="169"/>
        </w:trPr>
        <w:tc>
          <w:tcPr>
            <w:tcW w:w="6260" w:type="dxa"/>
            <w:vAlign w:val="bottom"/>
            <w:gridSpan w:val="4"/>
          </w:tcPr>
          <w:p>
            <w:pPr>
              <w:ind w:left="880"/>
              <w:spacing w:after="0" w:line="169" w:lineRule="exact"/>
              <w:rPr>
                <w:sz w:val="20"/>
                <w:szCs w:val="20"/>
                <w:color w:val="auto"/>
              </w:rPr>
            </w:pPr>
            <w:r>
              <w:rPr>
                <w:rFonts w:ascii="Courier New" w:cs="Courier New" w:eastAsia="Courier New" w:hAnsi="Courier New"/>
                <w:sz w:val="15"/>
                <w:szCs w:val="15"/>
                <w:color w:val="auto"/>
              </w:rPr>
              <w:t>CONSOLIDATED STATEMENTS OF STOCKHOLDERS' EQUITY - Continued</w:t>
            </w: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1940" w:type="dxa"/>
            <w:vAlign w:val="bottom"/>
          </w:tcPr>
          <w:p>
            <w:pPr>
              <w:spacing w:after="0"/>
              <w:rPr>
                <w:sz w:val="24"/>
                <w:szCs w:val="24"/>
                <w:color w:val="auto"/>
              </w:rPr>
            </w:pPr>
          </w:p>
        </w:tc>
        <w:tc>
          <w:tcPr>
            <w:tcW w:w="28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Preferred Stock</w:t>
            </w:r>
          </w:p>
        </w:tc>
        <w:tc>
          <w:tcPr>
            <w:tcW w:w="31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Common Stock</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2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1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62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w:t>
            </w:r>
          </w:p>
        </w:tc>
        <w:tc>
          <w:tcPr>
            <w:tcW w:w="1660" w:type="dxa"/>
            <w:vAlign w:val="bottom"/>
          </w:tcPr>
          <w:p>
            <w:pPr>
              <w:spacing w:after="0"/>
              <w:rPr>
                <w:sz w:val="14"/>
                <w:szCs w:val="14"/>
                <w:color w:val="auto"/>
              </w:rPr>
            </w:pP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Additional</w:t>
            </w:r>
          </w:p>
        </w:tc>
        <w:tc>
          <w:tcPr>
            <w:tcW w:w="148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of</w:t>
            </w:r>
          </w:p>
        </w:tc>
        <w:tc>
          <w:tcPr>
            <w:tcW w:w="162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of</w:t>
            </w:r>
          </w:p>
        </w:tc>
        <w:tc>
          <w:tcPr>
            <w:tcW w:w="166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Paid-in</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Amount</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Amount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Capital</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19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 and</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529,582</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530</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8,145,726</w:t>
            </w:r>
          </w:p>
        </w:tc>
        <w:tc>
          <w:tcPr>
            <w:tcW w:w="14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8%</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(943,429)</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(944)</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862,105</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862</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82</w:t>
            </w:r>
          </w:p>
        </w:tc>
        <w:tc>
          <w:tcPr>
            <w:tcW w:w="14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debt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90,969</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2,660,752</w:t>
            </w:r>
          </w:p>
        </w:tc>
        <w:tc>
          <w:tcPr>
            <w:tcW w:w="14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(372,501)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Subchapter 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pooled</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entities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(4,133,700)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28,288,445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subchapter S</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to</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paid-in capital</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2,659,835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(2,659,835)</w:t>
            </w:r>
          </w:p>
        </w:tc>
      </w:tr>
      <w:tr>
        <w:trPr>
          <w:trHeight w:val="168"/>
        </w:trPr>
        <w:tc>
          <w:tcPr>
            <w:tcW w:w="19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17,578,550</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17,579</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200,267,630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41,978,002</w:t>
            </w:r>
          </w:p>
        </w:tc>
      </w:tr>
    </w:tbl>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ind w:left="19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1460"/>
          </w:cols>
          <w:pgMar w:left="220" w:top="281"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19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5"/>
        </w:trPr>
        <w:tc>
          <w:tcPr>
            <w:tcW w:w="1940" w:type="dxa"/>
            <w:vAlign w:val="bottom"/>
          </w:tcPr>
          <w:p>
            <w:pPr>
              <w:spacing w:after="0"/>
              <w:rPr>
                <w:sz w:val="24"/>
                <w:szCs w:val="24"/>
                <w:color w:val="auto"/>
              </w:rPr>
            </w:pPr>
          </w:p>
        </w:tc>
        <w:tc>
          <w:tcPr>
            <w:tcW w:w="29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UNITED WASTE SYSTEMS, INC.</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260" w:type="dxa"/>
            <w:vAlign w:val="bottom"/>
            <w:gridSpan w:val="5"/>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CONSOLIDATED STATEMENTS OF STOCKHOLDERS' EQUITY - Continued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1940" w:type="dxa"/>
            <w:vAlign w:val="bottom"/>
          </w:tcPr>
          <w:p>
            <w:pPr>
              <w:spacing w:after="0"/>
              <w:rPr>
                <w:sz w:val="24"/>
                <w:szCs w:val="24"/>
                <w:color w:val="auto"/>
              </w:rPr>
            </w:pPr>
          </w:p>
        </w:tc>
        <w:tc>
          <w:tcPr>
            <w:tcW w:w="22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Preferred Stock</w:t>
            </w:r>
          </w:p>
        </w:tc>
        <w:tc>
          <w:tcPr>
            <w:tcW w:w="660" w:type="dxa"/>
            <w:vAlign w:val="bottom"/>
          </w:tcPr>
          <w:p>
            <w:pPr>
              <w:spacing w:after="0"/>
              <w:rPr>
                <w:sz w:val="24"/>
                <w:szCs w:val="24"/>
                <w:color w:val="auto"/>
              </w:rPr>
            </w:pPr>
          </w:p>
        </w:tc>
        <w:tc>
          <w:tcPr>
            <w:tcW w:w="306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Common Stock</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292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306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Number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Additional</w:t>
            </w:r>
          </w:p>
        </w:tc>
        <w:tc>
          <w:tcPr>
            <w:tcW w:w="14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of</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of</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194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0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2"/>
              </w:rPr>
              <w:t>Amount</w:t>
            </w:r>
          </w:p>
        </w:tc>
        <w:tc>
          <w:tcPr>
            <w:tcW w:w="660" w:type="dxa"/>
            <w:vAlign w:val="bottom"/>
          </w:tcPr>
          <w:p>
            <w:pPr>
              <w:spacing w:after="0"/>
              <w:rPr>
                <w:sz w:val="14"/>
                <w:szCs w:val="14"/>
                <w:color w:val="auto"/>
              </w:rPr>
            </w:pP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Amount</w:t>
            </w:r>
          </w:p>
        </w:tc>
        <w:tc>
          <w:tcPr>
            <w:tcW w:w="1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19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40" w:type="dxa"/>
            <w:vAlign w:val="bottom"/>
          </w:tcPr>
          <w:p>
            <w:pPr>
              <w:spacing w:after="0"/>
              <w:rPr>
                <w:sz w:val="20"/>
                <w:szCs w:val="20"/>
                <w:color w:val="auto"/>
              </w:rPr>
            </w:pPr>
            <w:r>
              <w:rPr>
                <w:rFonts w:ascii="Courier New" w:cs="Courier New" w:eastAsia="Courier New" w:hAnsi="Courier New"/>
                <w:sz w:val="15"/>
                <w:szCs w:val="15"/>
                <w:color w:val="auto"/>
              </w:rPr>
              <w:t>Two-for-one stock</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split</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18,238,718</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18,238</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(18,238)</w:t>
            </w:r>
          </w:p>
        </w:tc>
        <w:tc>
          <w:tcPr>
            <w:tcW w:w="14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Poolings-of-</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758,558</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759</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422,967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(4,781,320)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to</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conform fiscal</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of pooled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entities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(506,803)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warrants and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2,468,630</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2,469</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43,335,486</w:t>
            </w:r>
          </w:p>
        </w:tc>
        <w:tc>
          <w:tcPr>
            <w:tcW w:w="14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45,097</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3,823,807</w:t>
            </w:r>
          </w:p>
        </w:tc>
        <w:tc>
          <w:tcPr>
            <w:tcW w:w="14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Subchapter 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 of</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pooled entities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(1,240,000)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35,392,792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Subchapter 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to paid-in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1,142,048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(1,142,048)</w:t>
            </w:r>
          </w:p>
        </w:tc>
      </w:tr>
      <w:tr>
        <w:trPr>
          <w:trHeight w:val="168"/>
        </w:trPr>
        <w:tc>
          <w:tcPr>
            <w:tcW w:w="19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9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39,089,553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39,090</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248,973,700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$ 69,700,623</w:t>
            </w:r>
          </w:p>
        </w:tc>
      </w:tr>
      <w:tr>
        <w:trPr>
          <w:trHeight w:val="168"/>
        </w:trPr>
        <w:tc>
          <w:tcPr>
            <w:tcW w:w="19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ind w:left="19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1300"/>
          </w:cols>
          <w:pgMar w:left="220" w:top="281" w:right="37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UNITED WASTE SYSTEMS, INC.</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95"/>
              </w:rPr>
              <w:t>Year ended December 31</w:t>
            </w:r>
          </w:p>
        </w:tc>
        <w:tc>
          <w:tcPr>
            <w:tcW w:w="118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45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$ 35,392,792</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$ 28,288,445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$ 21,009,699</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 forma net income to</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37,875,896</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24,308,227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14,247,906</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taxes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10,057,369</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3,859,374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1,871,425</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of</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assets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(929,661)</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(174,767)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(25,618)</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operating assets</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liabilities:</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receivable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(5,332,538)</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(2,446,181)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(6,076,126)</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1,614,204</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(3,874,321)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(163,365)</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1,994,813</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(882,447)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4,870,279</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landfill</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costs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(5,525,390)</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34,893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(1,849,037)</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3,045,562</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7,277,122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3,536,541</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activities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78,193,047</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56,390,345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37,421,704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equipment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(55,317,981)</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(39,189,791)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(22,562,624)</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assets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3,071,440</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280,290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285,243</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 net</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to maturity)</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(8,151,482)</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(7,954,428)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(186,741)</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capitalized</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project costs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(1,244,535)</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(1,279,671)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(2,305,851)</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contingent</w:t>
            </w: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price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(3,752,072)</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(2,337,751)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(6,262,879)</w:t>
            </w:r>
          </w:p>
        </w:tc>
      </w:tr>
    </w:tbl>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WASTE SYSTEMS,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Year ended December 31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6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Purchases of other companies,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(157,092,207)</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(159,062,810)</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(27,331,361)</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used in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(222,486,837)</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(209,544,161)</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(58,364,213)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on preferred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(372,501)</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(1,275,180)</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debt</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225,130,225</w:t>
            </w: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278,281,793</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40,839,022</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of debt</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(94,638,687)</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(185,233,930)</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(32,977,036)</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of capital lease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(3,456,053)</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(614,686)</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(1,570,971)</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proceeds from issuance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common stock</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66,072,051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15,280,471</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exercise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common stock warrants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options</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26,652,798</w:t>
            </w: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8,146,256</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6,296,716</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of financing costs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(5,437,000)</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(2,684,074)</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(582,483)</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sellers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(6,871,488)</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(2,185,751)</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(317,498)</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receivable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(1,104,505)</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Contributed capital of</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pooled entities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590,667</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Subchapter S distributions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pooled entities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(1,240,000)</w:t>
            </w:r>
          </w:p>
        </w:tc>
        <w:tc>
          <w:tcPr>
            <w:tcW w:w="5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(4,133,700)</w:t>
            </w:r>
          </w:p>
        </w:tc>
        <w:tc>
          <w:tcPr>
            <w:tcW w:w="1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(3,413,997)</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140,139,795</w:t>
            </w: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157,275,458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21,765,206</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cash</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cash equivalents</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(4,153,995)</w:t>
            </w: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4,121,642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822,697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3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6,721,849</w:t>
            </w:r>
          </w:p>
        </w:tc>
        <w:tc>
          <w:tcPr>
            <w:tcW w:w="52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2,600,207</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1,777,510</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 end of year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2,567,854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6,721,849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2,600,207</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interest, net of</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amounts capitalized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13,328,310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8,337,161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5,970,394</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income taxes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5,644,573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10,362,953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3,426,391</w:t>
            </w:r>
          </w:p>
        </w:tc>
      </w:tr>
      <w:tr>
        <w:trPr>
          <w:trHeight w:val="168"/>
        </w:trPr>
        <w:tc>
          <w:tcPr>
            <w:tcW w:w="452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WASTE SYSTEMS,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Year ended December 31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52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Supplemental schedule of</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 investing and</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Company acquired the</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assets and assumed</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certain liabilities of</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companies as follows:</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 value of net assets acquired:</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51,505,429</w:t>
            </w: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$ 121,210,509</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$ 14,795,348</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 of cash</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acquired</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138,909,867</w:t>
            </w:r>
          </w:p>
        </w:tc>
        <w:tc>
          <w:tcPr>
            <w:tcW w:w="5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129,422,285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22,425,750</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liabilities assumed</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(24,603,268)</w:t>
            </w:r>
          </w:p>
        </w:tc>
        <w:tc>
          <w:tcPr>
            <w:tcW w:w="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(67,813,389)</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(9,227,426)</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amounts due to</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seller</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(4,671,023)</w:t>
            </w:r>
          </w:p>
        </w:tc>
        <w:tc>
          <w:tcPr>
            <w:tcW w:w="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(7,965,999)</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(594,483)</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amounts paid in common</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(3,823,852)</w:t>
            </w:r>
          </w:p>
        </w:tc>
        <w:tc>
          <w:tcPr>
            <w:tcW w:w="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(13,333,150)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deposits and</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capitalized project costs</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paid in</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prior periods</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(224,946)</w:t>
            </w:r>
          </w:p>
        </w:tc>
        <w:tc>
          <w:tcPr>
            <w:tcW w:w="5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(2,457,446)</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(67,828)</w:t>
            </w:r>
          </w:p>
        </w:tc>
      </w:tr>
      <w:tr>
        <w:trPr>
          <w:trHeight w:val="168"/>
        </w:trPr>
        <w:tc>
          <w:tcPr>
            <w:tcW w:w="39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paid</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$ 157,092,207</w:t>
            </w:r>
          </w:p>
        </w:tc>
        <w:tc>
          <w:tcPr>
            <w:tcW w:w="20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$ 159,062,810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$ 27,331,361</w:t>
            </w:r>
          </w:p>
        </w:tc>
      </w:tr>
      <w:tr>
        <w:trPr>
          <w:trHeight w:val="168"/>
        </w:trPr>
        <w:tc>
          <w:tcPr>
            <w:tcW w:w="39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financed by capital</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obligations</w:t>
            </w:r>
          </w:p>
        </w:tc>
        <w:tc>
          <w:tcPr>
            <w:tcW w:w="1960" w:type="dxa"/>
            <w:vAlign w:val="bottom"/>
          </w:tcPr>
          <w:p>
            <w:pPr>
              <w:spacing w:after="0"/>
              <w:rPr>
                <w:sz w:val="14"/>
                <w:szCs w:val="14"/>
                <w:color w:val="auto"/>
              </w:rPr>
            </w:pP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777,867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167,370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convertible</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10,377,719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9,395,672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convertible</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w:t>
            </w: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2,660,843</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27</w:t>
      </w:r>
    </w:p>
    <w:p>
      <w:pPr>
        <w:jc w:val="center"/>
        <w:ind w:right="3219"/>
        <w:spacing w:after="0" w:line="237" w:lineRule="auto"/>
        <w:rPr>
          <w:sz w:val="20"/>
          <w:szCs w:val="20"/>
          <w:color w:val="auto"/>
        </w:rPr>
      </w:pPr>
      <w:r>
        <w:rPr>
          <w:rFonts w:ascii="Courier New" w:cs="Courier New" w:eastAsia="Courier New" w:hAnsi="Courier New"/>
          <w:sz w:val="15"/>
          <w:szCs w:val="15"/>
          <w:color w:val="auto"/>
        </w:rPr>
        <w:t>UNITED WASTE SYSTEMS,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December 31, 1996, 1995 and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ORGANIZATION AND BASIS OF PRESENTATION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United Waste Systems, Inc. and its subsidiaries ("United" or "the Company") own, operate, acquire and develop nonhazardous solid waste landfills, collection operations and other related environmental services in selected markets in the United States.</w:t>
      </w:r>
    </w:p>
    <w:p>
      <w:pPr>
        <w:spacing w:after="0" w:line="175"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wholly-owned subsidiaries. All significant intercompany accounts and transactions have been eliminated. The accompanying Consolidated Financial Statements have been restated to include accounts of certain acquisitions accounted for as poolings-of-interests (see Note 3).</w:t>
      </w:r>
    </w:p>
    <w:p>
      <w:pPr>
        <w:spacing w:after="0" w:line="16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All per share data of the Company for all periods included in the Consolidated Financial Statements and related Notes to Consolidated Financial Statements and all share data in the Notes to Consolidated Financial Statements have been adjusted to reflect a two-for-one stock split in the form of a 100% stock dividend that became effective in June 1996 (see Note 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3" w:lineRule="exact"/>
        <w:rPr>
          <w:sz w:val="20"/>
          <w:szCs w:val="20"/>
          <w:color w:val="auto"/>
        </w:rPr>
      </w:pPr>
    </w:p>
    <w:p>
      <w:pPr>
        <w:jc w:val="both"/>
        <w:ind w:right="3399" w:firstLine="787"/>
        <w:spacing w:after="0" w:line="261" w:lineRule="auto"/>
        <w:rPr>
          <w:sz w:val="20"/>
          <w:szCs w:val="20"/>
          <w:color w:val="auto"/>
        </w:rPr>
      </w:pPr>
      <w:r>
        <w:rPr>
          <w:rFonts w:ascii="Courier New" w:cs="Courier New" w:eastAsia="Courier New" w:hAnsi="Courier New"/>
          <w:sz w:val="14"/>
          <w:szCs w:val="14"/>
          <w:color w:val="auto"/>
        </w:rPr>
        <w:t>Cash Equivalents: The Company considers all highly liquid instruments with a maturity of three months or less when purchased to be cash equivalents.</w:t>
      </w:r>
    </w:p>
    <w:p>
      <w:pPr>
        <w:spacing w:after="0" w:line="160"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Property and Equipment: Property and equipment are recorded at cost and depreciated over their estimated useful lives using the straight-line method. The estimated useful life ranges for property and equipment are as follows: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Range of</w:t>
      </w:r>
    </w:p>
    <w:p>
      <w:pPr>
        <w:ind w:left="4480"/>
        <w:spacing w:after="0" w:line="237" w:lineRule="auto"/>
        <w:rPr>
          <w:sz w:val="20"/>
          <w:szCs w:val="20"/>
          <w:color w:val="auto"/>
        </w:rPr>
      </w:pPr>
      <w:r>
        <w:rPr>
          <w:rFonts w:ascii="Courier New" w:cs="Courier New" w:eastAsia="Courier New" w:hAnsi="Courier New"/>
          <w:sz w:val="15"/>
          <w:szCs w:val="15"/>
          <w:color w:val="auto"/>
        </w:rPr>
        <w:t>Estimated</w:t>
      </w:r>
    </w:p>
    <w:p>
      <w:pPr>
        <w:ind w:left="4300"/>
        <w:spacing w:after="0" w:line="238" w:lineRule="auto"/>
        <w:rPr>
          <w:sz w:val="20"/>
          <w:szCs w:val="20"/>
          <w:color w:val="auto"/>
        </w:rPr>
      </w:pPr>
      <w:r>
        <w:rPr>
          <w:rFonts w:ascii="Courier New" w:cs="Courier New" w:eastAsia="Courier New" w:hAnsi="Courier New"/>
          <w:sz w:val="15"/>
          <w:szCs w:val="15"/>
          <w:color w:val="auto"/>
        </w:rPr>
        <w:t>Useful Lives</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309"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Amortization of assets recorded under capital leases is included in depreciation expense. The Company's sludge composting facility is being depreciated over the original contract period of 20 years. Landfill and landfill improvement costs are amortized based upon total units of airspace filled during the year in relation to estimated permitted airspace capacity. Land held for future development is excluded from amortization.</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Engineering and legal fees paid to third parties incurred to obtain a disposal facility permit are capitalized as landfill costs and amortized over the estimated related airspace capacity. These costs are not amortized until the permit is obtained and the disposal facility is ready for its intended use. If the permit is denied, these costs are charged to expense.</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Other Assets: Other assets consist primarily of deposits for, or advances to, pending or prospective acquisitions and restricted cash and cash equivalents which are collateral for letters of credit and bonds and restricted debt service and construction funds. Restricted cash and cash equivalents are $11,480,003 at December 31, 1996 and $8,366,000 at December 31, 1995.</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connection with the Company's Tax Exempt Bonds (see Note 6), restricted cash and cash equivalents in escrow total $5,590,000 at December 31, 1995. At December 31, 1996, all funds have been expended.</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Concentrations of Credit Risk: Financial instruments that potentially subject the Company to concentrations of credit risk consist primarily of cash investments and accounts receivable. The Company places its cash investments with high quality financial institutions. Concentrations of credit risk with respect to accounts receivable are limited because a large number of geographically diverse customers make up the Company's customer base. No single group or customer represents greater than 10% of total accounts receivable. The Company controls credit risk through credit approvals, credit limits, and monitoring procedures.</w:t>
      </w:r>
    </w:p>
    <w:p>
      <w:pPr>
        <w:spacing w:after="0" w:line="178"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Accrued Landfill Costs: Landfill site closure and post-closure cost liabilities are accrued for the Company's owned landfills based on engineering estimates of total units of airspace filled during the year and the total closure and post-closure costs to be incurred by the Company. Such liabilities are not discounted or reduced by possible recoveries from third parties.</w:t>
      </w:r>
    </w:p>
    <w:p>
      <w:pPr>
        <w:spacing w:after="0" w:line="16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Revenue Recognition: Landfill revenues are recorded at the date of actual waste disposal. Revenues received prior to services being performed are deferred and are recognized over the service period.</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Income Taxes: The Company uses the liability method in accounting for income taxes. Under this method, deferred tax assets and liabilities are determined based on the differences between financial reporting and tax basis of assets and liabilities and are measured using the enacted tax rates and laws that are expected to be in effect when the differences are expected to reverse.</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Impact of Recently Issued Accounting Standards: In March 1995, the Financial Accounting Standards Board issued Statement No. 121, Accounting for the Impairment of Long-Lived Assets and for Long-Lived Assets to Be Disposed of ("SFAS No. 121"), which requires impairment losses to be recorded on long-lived assets used in operations when indicators of impairment are present and the undiscounted cash flows estimated to be generated by those assets are less than the assets' carrying amount. SFAS No. 121 also addresses the accounting for long-lived assets that are expected to be disposed of. SFAS No. 121 is effective for the Company's fiscal year ended December 31, 1996. The adoption of this Statement did not have a material effect on the Company's financial position or results of operations.</w:t>
      </w:r>
    </w:p>
    <w:p>
      <w:pPr>
        <w:spacing w:after="0" w:line="33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October 1996, the Accounting Standards Executive Committee of the American Institute of Certified Public Accountants issued Statement of Position No. 96-1 ("SOP 96-1"), Environmental Remediation Liabilities. SOP 96-1 provides authoritative guidance on the recognition, measurement, display and disclosure of environmental remediation liabilities. SOP 96-1 also contains a discussion of major federal legislation relating to environmental remediation and pollution prevention and control. SOP 96-1 is effective for fiscal years beginning after December 15, 1996. Although such costs are not presently determinable, adoption of SOP 96-1 is not expected to have a material effect on the Company's financial position and results of operations (See Note 12).</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416" w:firstLine="787"/>
        <w:spacing w:after="0" w:line="236" w:lineRule="auto"/>
        <w:rPr>
          <w:sz w:val="20"/>
          <w:szCs w:val="20"/>
          <w:color w:val="auto"/>
        </w:rPr>
      </w:pPr>
      <w:r>
        <w:rPr>
          <w:rFonts w:ascii="Courier New" w:cs="Courier New" w:eastAsia="Courier New" w:hAnsi="Courier New"/>
          <w:sz w:val="15"/>
          <w:szCs w:val="15"/>
          <w:color w:val="auto"/>
        </w:rPr>
        <w:t>Use of Estimates: The preparation of the Consolidated Financial Statements in conformity with generally accepted accounting principles requires management to make estimates and assumptions that affect the amounts reported in the Consolidated Financial Statements and accompanying notes. These estimates and assumptions principally affect the Company's accruals for landfill costs and accounts receivable reserve, the amortization periods for intangible assets and landfill and landfill improvement costs. Actual results could differ from those estimates.</w:t>
      </w:r>
    </w:p>
    <w:p>
      <w:pPr>
        <w:spacing w:after="0" w:line="177" w:lineRule="exact"/>
        <w:rPr>
          <w:sz w:val="20"/>
          <w:szCs w:val="20"/>
          <w:color w:val="auto"/>
        </w:rPr>
      </w:pPr>
    </w:p>
    <w:p>
      <w:pPr>
        <w:ind w:right="416" w:firstLine="787"/>
        <w:spacing w:after="0" w:line="236" w:lineRule="auto"/>
        <w:rPr>
          <w:sz w:val="20"/>
          <w:szCs w:val="20"/>
          <w:color w:val="auto"/>
        </w:rPr>
      </w:pPr>
      <w:r>
        <w:rPr>
          <w:rFonts w:ascii="Courier New" w:cs="Courier New" w:eastAsia="Courier New" w:hAnsi="Courier New"/>
          <w:sz w:val="15"/>
          <w:szCs w:val="15"/>
          <w:color w:val="auto"/>
        </w:rPr>
        <w:t>Stock-Based Compensation: The Company accounts for its stock compensation arrangements under the provisions of APB Opinion No. 25, "Accounting for Stock Issued to Employees." Since the stock options are granted by the Company at the fair value of the shares at the date of grant, no compensation expense is recognized in the Consolidated Financial Statements (see Note 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ACQUISITIONS</w:t>
      </w:r>
    </w:p>
    <w:p>
      <w:pPr>
        <w:spacing w:after="0" w:line="173" w:lineRule="exact"/>
        <w:rPr>
          <w:sz w:val="20"/>
          <w:szCs w:val="20"/>
          <w:color w:val="auto"/>
        </w:rPr>
      </w:pPr>
    </w:p>
    <w:p>
      <w:pPr>
        <w:ind w:right="416" w:firstLine="787"/>
        <w:spacing w:after="0" w:line="236" w:lineRule="auto"/>
        <w:rPr>
          <w:sz w:val="20"/>
          <w:szCs w:val="20"/>
          <w:color w:val="auto"/>
        </w:rPr>
      </w:pPr>
      <w:r>
        <w:rPr>
          <w:rFonts w:ascii="Courier New" w:cs="Courier New" w:eastAsia="Courier New" w:hAnsi="Courier New"/>
          <w:sz w:val="15"/>
          <w:szCs w:val="15"/>
          <w:color w:val="auto"/>
        </w:rPr>
        <w:t>On June 28, 1996, the Company issued 730,765 shares of its Common Stock for all of the outstanding shares of common stock of Salinas Disposal Service, Inc., Rural Dispos-All Service, Inc. and Madison Lane Properties, Inc. (the "Salinas Companies"), a group of affiliated companies that comprise an integrated solid waste management company. This transaction has been accounted for as a pooling-of-interests and, accordingly, the Consolidated Financial Statements have been restated for all periods presented to include the accounts of the Salinas Companies.</w:t>
      </w:r>
    </w:p>
    <w:p>
      <w:pPr>
        <w:spacing w:after="0" w:line="177" w:lineRule="exact"/>
        <w:rPr>
          <w:sz w:val="20"/>
          <w:szCs w:val="20"/>
          <w:color w:val="auto"/>
        </w:rPr>
      </w:pPr>
    </w:p>
    <w:p>
      <w:pPr>
        <w:ind w:right="416" w:firstLine="787"/>
        <w:spacing w:after="0" w:line="255" w:lineRule="auto"/>
        <w:rPr>
          <w:sz w:val="20"/>
          <w:szCs w:val="20"/>
          <w:color w:val="auto"/>
        </w:rPr>
      </w:pPr>
      <w:r>
        <w:rPr>
          <w:rFonts w:ascii="Courier New" w:cs="Courier New" w:eastAsia="Courier New" w:hAnsi="Courier New"/>
          <w:sz w:val="14"/>
          <w:szCs w:val="14"/>
          <w:color w:val="auto"/>
        </w:rPr>
        <w:t>On September 29, 1995, the Company issued 2,252,946 shares of its Common Stock for all of the outstanding shares of common stock of Carmel Marina Corporation, Neal Road Landfill Corporation, Jolon Road Landfill Corporation, Cal Sanitation Services, Inc., Portable Site Services, Inc. and certain real estate assets (the "Carmel Marina Companies"), a group of affiliated companies that comprise an integrated solid waste management company. This transaction has been accounted for as a pooling-of-interests and, accordingly, the Consolidated Financial Statements have been restated for all periods presented to include the accounts of the Carmel Marina Companies.</w:t>
      </w:r>
    </w:p>
    <w:p>
      <w:pPr>
        <w:spacing w:after="0" w:line="165" w:lineRule="exact"/>
        <w:rPr>
          <w:sz w:val="20"/>
          <w:szCs w:val="20"/>
          <w:color w:val="auto"/>
        </w:rPr>
      </w:pPr>
    </w:p>
    <w:p>
      <w:pPr>
        <w:jc w:val="both"/>
        <w:ind w:right="416" w:firstLine="787"/>
        <w:spacing w:after="0" w:line="235" w:lineRule="auto"/>
        <w:rPr>
          <w:sz w:val="20"/>
          <w:szCs w:val="20"/>
          <w:color w:val="auto"/>
        </w:rPr>
      </w:pPr>
      <w:r>
        <w:rPr>
          <w:rFonts w:ascii="Courier New" w:cs="Courier New" w:eastAsia="Courier New" w:hAnsi="Courier New"/>
          <w:sz w:val="15"/>
          <w:szCs w:val="15"/>
          <w:color w:val="auto"/>
        </w:rPr>
        <w:t>Separate revenue and pro forma net income of United the Carmel Marina Companies and the Salinas Companies prior to the respective combinations 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Carmel</w:t>
            </w:r>
          </w:p>
        </w:tc>
        <w:tc>
          <w:tcPr>
            <w:tcW w:w="15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Marina</w:t>
            </w:r>
          </w:p>
        </w:tc>
        <w:tc>
          <w:tcPr>
            <w:tcW w:w="15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Salinas</w:t>
            </w:r>
          </w:p>
        </w:tc>
      </w:tr>
      <w:tr>
        <w:trPr>
          <w:trHeight w:val="168"/>
        </w:trPr>
        <w:tc>
          <w:tcPr>
            <w:tcW w:w="1760" w:type="dxa"/>
            <w:vAlign w:val="bottom"/>
          </w:tcPr>
          <w:p>
            <w:pPr>
              <w:spacing w:after="0"/>
              <w:rPr>
                <w:sz w:val="14"/>
                <w:szCs w:val="14"/>
                <w:color w:val="auto"/>
              </w:rPr>
            </w:pP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United(1)</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Companies</w:t>
            </w:r>
          </w:p>
        </w:tc>
        <w:tc>
          <w:tcPr>
            <w:tcW w:w="15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Companies</w:t>
            </w:r>
          </w:p>
        </w:tc>
      </w:tr>
      <w:tr>
        <w:trPr>
          <w:trHeight w:val="168"/>
        </w:trPr>
        <w:tc>
          <w:tcPr>
            <w:tcW w:w="176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$ 211,790,224</w:t>
            </w:r>
          </w:p>
        </w:tc>
        <w:tc>
          <w:tcPr>
            <w:tcW w:w="1840" w:type="dxa"/>
            <w:vAlign w:val="bottom"/>
          </w:tcPr>
          <w:p>
            <w:pPr>
              <w:spacing w:after="0"/>
              <w:rPr>
                <w:sz w:val="14"/>
                <w:szCs w:val="14"/>
                <w:color w:val="auto"/>
              </w:rPr>
            </w:pP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$ 16,586,538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25,987,769</w:t>
            </w:r>
          </w:p>
        </w:tc>
        <w:tc>
          <w:tcPr>
            <w:tcW w:w="1840" w:type="dxa"/>
            <w:vAlign w:val="bottom"/>
          </w:tcPr>
          <w:p>
            <w:pPr>
              <w:spacing w:after="0"/>
              <w:rPr>
                <w:sz w:val="14"/>
                <w:szCs w:val="14"/>
                <w:color w:val="auto"/>
              </w:rPr>
            </w:pP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842,315</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106,551,057</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$ 21,977,708</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17,513,758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15,557,488</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1,509,387</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1,878,051</w:t>
            </w:r>
          </w:p>
        </w:tc>
      </w:tr>
    </w:tbl>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496" w:hanging="790"/>
        <w:spacing w:after="0" w:line="236"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data with respect to United for the year ended December 31, 1994, is prior to restatement for the acquisitions of the Carmel Marina Companies and the Salinas Companies. The data with respect to United for the year ended December 31, 1995, is after restatement for the acquisition of the Carmel Marina Companies, but prior to restatement for the acquisition of the Salinas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4"/>
        <w:spacing w:after="0"/>
        <w:rPr>
          <w:sz w:val="20"/>
          <w:szCs w:val="20"/>
          <w:color w:val="auto"/>
        </w:rPr>
      </w:pPr>
      <w:r>
        <w:rPr>
          <w:rFonts w:ascii="Courier New" w:cs="Courier New" w:eastAsia="Courier New" w:hAnsi="Courier New"/>
          <w:sz w:val="15"/>
          <w:szCs w:val="15"/>
          <w:color w:val="auto"/>
        </w:rPr>
        <w:t>Combined</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4" w:hanging="184"/>
        <w:spacing w:after="0"/>
        <w:tabs>
          <w:tab w:leader="none" w:pos="18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228,376,762</w:t>
      </w:r>
    </w:p>
    <w:p>
      <w:pPr>
        <w:spacing w:after="0" w:line="177" w:lineRule="exact"/>
        <w:rPr>
          <w:rFonts w:ascii="Courier New" w:cs="Courier New" w:eastAsia="Courier New" w:hAnsi="Courier New"/>
          <w:sz w:val="14"/>
          <w:szCs w:val="14"/>
          <w:color w:val="auto"/>
        </w:rPr>
      </w:pPr>
    </w:p>
    <w:p>
      <w:pPr>
        <w:ind w:left="26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26,830,084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5"/>
          <w:szCs w:val="15"/>
          <w:color w:val="auto"/>
        </w:rPr>
        <w:t>146,042,523</w:t>
      </w:r>
    </w:p>
    <w:p>
      <w:pPr>
        <w:spacing w:after="0" w:line="173" w:lineRule="exact"/>
        <w:rPr>
          <w:sz w:val="20"/>
          <w:szCs w:val="20"/>
          <w:color w:val="auto"/>
        </w:rPr>
      </w:pPr>
    </w:p>
    <w:p>
      <w:pPr>
        <w:jc w:val="center"/>
        <w:ind w:right="775"/>
        <w:spacing w:after="0"/>
        <w:rPr>
          <w:sz w:val="20"/>
          <w:szCs w:val="20"/>
          <w:color w:val="auto"/>
        </w:rPr>
      </w:pPr>
      <w:r>
        <w:rPr>
          <w:rFonts w:ascii="Courier New" w:cs="Courier New" w:eastAsia="Courier New" w:hAnsi="Courier New"/>
          <w:sz w:val="14"/>
          <w:szCs w:val="14"/>
          <w:color w:val="auto"/>
        </w:rPr>
        <w:t>18,944,926</w:t>
      </w:r>
    </w:p>
    <w:p>
      <w:pPr>
        <w:sectPr>
          <w:pgSz w:w="11900" w:h="16838" w:orient="portrait"/>
          <w:cols w:equalWidth="0" w:num="2">
            <w:col w:w="7336" w:space="720"/>
            <w:col w:w="2183"/>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September 1996, the Company issued 579,857 shares of its Common Stock for the acquisition of three solid waste management companies. During December 1996, the Company issued 178,701 shares of its Common Stock for the acquisition of two solid waste management companies. These transactions were accounted for as poolings-of-interests; however, these acquisitions were not material to the Company's consolidated operations and financial position and, therefore, the accompanying 1995 and 1994 Consolidated Financial Statements have not been restated.</w:t>
      </w:r>
    </w:p>
    <w:p>
      <w:pPr>
        <w:spacing w:after="0" w:line="177"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acquisitions discussed below have been accounted for as purchases and, accordingly, the results of their operations have been included in the Company's results of operations from their respective acquisition dates. The purchase prices have been allocated to the assets acquired and liabilities assumed based on their respective fair values at their respective acquisition dates. Contingent purchase price is capitalized when earned and amortized over the remaining life of the related asset.</w:t>
      </w:r>
    </w:p>
    <w:p>
      <w:pPr>
        <w:spacing w:after="0" w:line="166" w:lineRule="exact"/>
        <w:rPr>
          <w:sz w:val="20"/>
          <w:szCs w:val="20"/>
          <w:color w:val="auto"/>
        </w:rPr>
      </w:pPr>
    </w:p>
    <w:p>
      <w:pPr>
        <w:ind w:right="3759" w:firstLine="787"/>
        <w:spacing w:after="0" w:line="236" w:lineRule="auto"/>
        <w:rPr>
          <w:sz w:val="20"/>
          <w:szCs w:val="20"/>
          <w:color w:val="auto"/>
        </w:rPr>
      </w:pPr>
      <w:r>
        <w:rPr>
          <w:rFonts w:ascii="Courier New" w:cs="Courier New" w:eastAsia="Courier New" w:hAnsi="Courier New"/>
          <w:sz w:val="15"/>
          <w:szCs w:val="15"/>
          <w:color w:val="auto"/>
        </w:rPr>
        <w:t>During December 1996, the Company purchased outstanding stock and certain assets of the I-5 Companies, which are comprised of two landfill operating contracts, one collection company and two transfer stations. The consideration was comprised of $21,000,000 in cash and certain additional assumed liabilities.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During January 1996, the Company purchased all of the outstanding stock of Commercial Disposal Co., Inc. which is comprised of a collection company and two transfer stations. The aggregate consideration was $16,126,500 in cash.</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total initial consideration for other acquisitions that the Company made in 1996 was approximately $119,466,000 in cash, approximately $1,390,000 in seller notes, 109,673 shares of the Company's Common Stock, warrants to purchase 65,000 shares of the Company's Common Stock and contingent consideration not to exceed $15,950,000.</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September 1995, the Company purchased the outstanding stock and certain assets of the Partyka Resource Companies, which comprise two solid waste landfills and collection operations. The aggregate initial consideration was $36,424,609 in cash, $6 million in seller notes and 184,200 shares of the Company's Common Stock. Contingent royalty payments of $5.95 per ton are due for each ton received at the landfills commencing October 1995 (subject to a cap of $10,577,773).</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During September 1995, the Company purchased all of the outstanding stock of the Zenith Kremer Companies, which are comprised of a collection company and two transfer station permits. The aggregate consideration was $19,158,320 in cash.</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During February 1995, the Company purchased all of the outstanding stock of Waste Systems Corporation and certain assets of WasteCo, Inc., which together are comprised of a solid waste landfill and collection operations. The aggregate initial consideration was $12,326,396 in cash and 280,000 shares of the Company's Common Stock. Contingent royalty payments of $1.15 per ton are due for each ton received at the landfill (not to exceed $8 million in aggregate). An additional contingent purchase payment of $750,000 was paid in 1996 upon receipt of a permit modification increasing daily and annual tonnage limits that may be accepted by the landfill, and an additional contingent purchase payment of $1,000,000 was paid in 1996 upon the receipt of another permit modification from required regulatory agencies authorizing additional landfill capacity.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total initial consideration for other acquisitions that the</w:t>
      </w:r>
    </w:p>
    <w:p>
      <w:pPr>
        <w:spacing w:after="0" w:line="237" w:lineRule="auto"/>
        <w:rPr>
          <w:sz w:val="20"/>
          <w:szCs w:val="20"/>
          <w:color w:val="auto"/>
        </w:rPr>
      </w:pPr>
      <w:r>
        <w:rPr>
          <w:rFonts w:ascii="Courier New" w:cs="Courier New" w:eastAsia="Courier New" w:hAnsi="Courier New"/>
          <w:sz w:val="15"/>
          <w:szCs w:val="15"/>
          <w:color w:val="auto"/>
        </w:rPr>
        <w:t>Company made in 1995 was approximately $91,200,000 in cash, approximately</w:t>
      </w:r>
    </w:p>
    <w:p>
      <w:pPr>
        <w:spacing w:after="0" w:line="238" w:lineRule="auto"/>
        <w:rPr>
          <w:sz w:val="20"/>
          <w:szCs w:val="20"/>
          <w:color w:val="auto"/>
        </w:rPr>
      </w:pPr>
      <w:r>
        <w:rPr>
          <w:rFonts w:ascii="Courier New" w:cs="Courier New" w:eastAsia="Courier New" w:hAnsi="Courier New"/>
          <w:sz w:val="15"/>
          <w:szCs w:val="15"/>
          <w:color w:val="auto"/>
        </w:rPr>
        <w:t>$5,900,000 in seller notes, 464,398 shares of the Company's Common Stock and</w:t>
      </w:r>
    </w:p>
    <w:p>
      <w:pPr>
        <w:spacing w:after="0" w:line="237" w:lineRule="auto"/>
        <w:rPr>
          <w:sz w:val="20"/>
          <w:szCs w:val="20"/>
          <w:color w:val="auto"/>
        </w:rPr>
      </w:pPr>
      <w:r>
        <w:rPr>
          <w:rFonts w:ascii="Courier New" w:cs="Courier New" w:eastAsia="Courier New" w:hAnsi="Courier New"/>
          <w:sz w:val="15"/>
          <w:szCs w:val="15"/>
          <w:color w:val="auto"/>
        </w:rPr>
        <w:t>contingent consideration not to exceed $19,200,000.</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During August 1994, the Company purchased all of the outstanding stock of Pete's Disposal Service, Inc., a collection company that provides solid waste collection services. The aggregate initial consideration was $4,800,000 in cash. Contingent consideration of $347,896 in cash was paid in January 1995 related to certain contractual obligations for billing retentions.</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June 1994, the Company purchased all of the outstanding stock of PRTR, Inc., a company that operates a transfer station. The aggregate initial consideration was $4,225,846 in cash. Contingent royalty payments of $1 per ton (subject to $.75 increases on the fifth and tenth anniversary dates of the transaction) for each ton received in excess of 100 tons per day are payable quarterly (subject to a cap of $125,000 per year and $1,300,000 in aggregate).</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During April 1994, the Company purchased substantially all of the assets of Orlando Trucking, Inc., a collection company. The aggregate initial consideration was $3,970,000 in cash.</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During March 1994, the Company purchased all of the outstanding stock of Kent Industrial Services, Inc., a collection company. The aggregate initial consideration was $5,000,000 in cash.</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January 1994, the Company purchased all of the outstanding stock of Harland's Sanitary Landfill, Inc. and purchased substantially all of the assets of Harland's Disposal Service, Inc. These companies are comprised of solid waste landfill and collection operations. The initial aggregate purchase price was $4,170,000 in cash. Contingent royalty payments of $1.50 per ton commence on the ninth anniversary of the transaction.</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total consideration for other acquisitions that the Company made in 1994 was $2,652,291 in cash and $1,363,000 in seller notes.</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The Company has not completed its valuation of certain of its 1996 purchases and the purchase price allocations are subject to change when additional information concerning asset and liability valuations are completed.</w:t>
      </w:r>
    </w:p>
    <w:p>
      <w:pPr>
        <w:spacing w:after="0" w:line="161"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The following table summarizes, on an unaudited pro forma basis, the combined results of operations of the Company for the years ended December 31,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1996 and 1995 as though each acquisition described above (excluding certain of such acquisitions that were not material individually or in the aggregate) was made on January 1, 1995.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9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$360,469,429</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$322,428,781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34,960,904</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28,169,023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primary earnings</w:t>
            </w: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common and common</w:t>
            </w: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 share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fully diluted earnings</w:t>
            </w: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common and common</w:t>
            </w: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 share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bl>
    <w:p>
      <w:pPr>
        <w:spacing w:after="0" w:line="200" w:lineRule="exact"/>
        <w:rPr>
          <w:sz w:val="20"/>
          <w:szCs w:val="20"/>
          <w:color w:val="auto"/>
        </w:rPr>
      </w:pPr>
    </w:p>
    <w:p>
      <w:pPr>
        <w:spacing w:after="0" w:line="309"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unaudited pro forma results are based upon certain assumptions and estimates which are subject to change. These results are not necessarily indicative of the actual results of operations that might have occurred, nor are they necessarily indicative of expected results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PROPERTY AND EQUIPMENT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summary of property and equipment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1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120" w:type="dxa"/>
            <w:vAlign w:val="bottom"/>
          </w:tcPr>
          <w:p>
            <w:pPr>
              <w:spacing w:after="0"/>
              <w:rPr>
                <w:sz w:val="14"/>
                <w:szCs w:val="14"/>
                <w:color w:val="auto"/>
              </w:rPr>
            </w:pPr>
          </w:p>
        </w:tc>
        <w:tc>
          <w:tcPr>
            <w:tcW w:w="3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Landfills</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$ 224,413,867</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$ 181,685,044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 improvements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22,350,398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14,529,438</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34,713,450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22,626,762</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Sludge composting facility</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11,675,853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11,675,853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equipment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160,422,300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102,582,170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5,381,978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3,243,833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23,429,792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11,901,845</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482,387,638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348,244,945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(94,407,414)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(58,866,599)</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$ 387,980,224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$ 289,378,346</w:t>
            </w:r>
          </w:p>
        </w:tc>
      </w:tr>
      <w:tr>
        <w:trPr>
          <w:trHeight w:val="168"/>
        </w:trPr>
        <w:tc>
          <w:tcPr>
            <w:tcW w:w="312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Landfill amortization totaled $11,176,704, $6,986,922 and $3,573,196 for the years ended December 31, 1996, 1995 and 1994, respectively. Depreciation expense totaled $18,009,022, $9,971,936 and $5,447,329 for the years ended December 31, 1996, 1995 and 1994, respectively.</w:t>
      </w:r>
    </w:p>
    <w:p>
      <w:pPr>
        <w:spacing w:after="0" w:line="164"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The Company capitalizes interest as a component of the cost of property and equipment for construction projects that take considerable time and expenditures. Interest capitalized, primarily related to landfill cell construction, in 1996, 1995 and 1994 amounted to $1,682,000, $1,349,000 and $722,000,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INTANGIBLE ASSETS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Intangible assets consist of the excess of cost over the value of identifiable net assets of businesses acquired and other intangible assets. Excess of cost over value of identifiable net assets of businesses acquired are being amortized on a straight line basis over forty years while other intangible assets are being amortized on a straight line basis for periods ranging from three to ten years.</w:t>
      </w:r>
    </w:p>
    <w:p>
      <w:pPr>
        <w:sectPr>
          <w:pgSz w:w="11900" w:h="16838" w:orient="portrait"/>
          <w:cols w:equalWidth="0" w:num="1">
            <w:col w:w="10239"/>
          </w:cols>
          <w:pgMar w:left="220" w:top="28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2760" w:type="dxa"/>
            <w:vAlign w:val="bottom"/>
          </w:tcPr>
          <w:p>
            <w:pPr>
              <w:ind w:left="280"/>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5"/>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760" w:type="dxa"/>
            <w:vAlign w:val="bottom"/>
          </w:tcPr>
          <w:p>
            <w:pPr>
              <w:spacing w:after="0"/>
              <w:rPr>
                <w:sz w:val="14"/>
                <w:szCs w:val="14"/>
                <w:color w:val="auto"/>
              </w:rPr>
            </w:pPr>
          </w:p>
        </w:tc>
        <w:tc>
          <w:tcPr>
            <w:tcW w:w="31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7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Excess of cost over value of</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net assets of</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293,462,083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$ 171,957,922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8,621,997</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8,520,001</w:t>
            </w:r>
          </w:p>
        </w:tc>
      </w:tr>
      <w:tr>
        <w:trPr>
          <w:trHeight w:val="168"/>
        </w:trPr>
        <w:tc>
          <w:tcPr>
            <w:tcW w:w="27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302,084,080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180,477,923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(15,232,403)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(8,738,726)</w:t>
            </w:r>
          </w:p>
        </w:tc>
      </w:tr>
      <w:tr>
        <w:trPr>
          <w:trHeight w:val="168"/>
        </w:trPr>
        <w:tc>
          <w:tcPr>
            <w:tcW w:w="27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286,851,677</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$ 171,739,197</w:t>
            </w:r>
          </w:p>
        </w:tc>
      </w:tr>
      <w:tr>
        <w:trPr>
          <w:trHeight w:val="168"/>
        </w:trPr>
        <w:tc>
          <w:tcPr>
            <w:tcW w:w="27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continually evaluates the value and future benefits of its intangibles. The Company assesses recoverability from future operations using income from operations of the related acquired business as a measure. Under this approach, the carrying value would be reduced if it becomes probable that the Company's best estimate for expected future cash flows of the related business would be less than the carrying amount of the intangible over the remaining amortization period. For the three year period ended December 31, 1996, there were no adjustments to the carrying amounts of intangibles resulting from these evaluations.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1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460" w:type="dxa"/>
            <w:vAlign w:val="bottom"/>
          </w:tcPr>
          <w:p>
            <w:pPr>
              <w:spacing w:after="0"/>
              <w:rPr>
                <w:sz w:val="14"/>
                <w:szCs w:val="14"/>
                <w:color w:val="auto"/>
              </w:rPr>
            </w:pPr>
          </w:p>
        </w:tc>
        <w:tc>
          <w:tcPr>
            <w:tcW w:w="3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31,450,000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41,800,000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4 1/2% per annum, due</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1, 2001, convertible</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Common Stock at $32.50</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150,000,000</w:t>
            </w:r>
          </w:p>
        </w:tc>
        <w:tc>
          <w:tcPr>
            <w:tcW w:w="144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notes, interest</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semi-annually, at 7.67%</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annum, annual principal</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beginning September 1999,</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September 2005</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75,000,000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75,000,000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bonds, monthly interest</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at variable rates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(4.25% and 5.15% at December 31,</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 and 1995, respectively),</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April 2010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22,500,000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22,500,000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quarterly interest</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at 8% per annum, due</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2001</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6,000,000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promissory notes,</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monthly interest payments at 8 1/2%</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annum due April 2000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(interest rates ranging from</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3.07% to 14.7%)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19,418,532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13,238,067</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307,368,532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161,538,067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(4,664,413)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(5,344,096)</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$ 302,704,119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$ 156,193,971</w:t>
            </w:r>
          </w:p>
        </w:tc>
      </w:tr>
      <w:tr>
        <w:trPr>
          <w:trHeight w:val="168"/>
        </w:trPr>
        <w:tc>
          <w:tcPr>
            <w:tcW w:w="34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credit facility was amended in December 1996 to, among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things, eliminate certain covenants and lower borrowing costs. The credit facility as so amended (the "Credit Facility") provides for a $190 million, three year, secured revolving credit facility due December 1999. Outstanding loans under the Credit Facility bear interest at a rate per annum equal to the Eurodollar Rate (Reserve Adjusted) (as defined in the loan agreement providing for the Credit Facility) applicable to each interest period plus 0.625% to</w:t>
      </w:r>
    </w:p>
    <w:p>
      <w:pPr>
        <w:spacing w:after="0" w:line="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1.25% per annum or the Alternate Reference Rate (as defined) from time to time in effect. At December 31, 1996 and 1995, the weighted average interest rate was 6.98% and 7.15%, respectively. The Credit Facility also allows the Company to obtain up to $90 million in letters of credit. The aggregate amount that the Company is permitted to borrow under the Credit Facility is reduced by the aggregate face amount of all outstanding letters of credit issued thereunder. The Credit Facility is secured by the stock of the Company's subsidiaries, restricts the Company from granting other liens on its assets (subject to certain limited exceptions), and requires the Company to comply with certain covenants including, but not limited to, maintenance of certain financial ratios, limitations on additional indebtedness, limitations on capital expenditures and a prohibition on the Company's payment of cash dividends on its Common Stock. The Credit Facility also currently requires that the consent of the lenders be obtained in order for the Company to make an acquisition that provides for an aggregate cash purchase price of $50 million or more. In addition, the Credit Facility prohibits the Company from using more than $15 million of its cash to secure closure and post-closure obligations that the Company may have relating to its landfills (see Note 13).</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June 1996, the Company issued $150 million principal amount of 4-1/2% Convertible Subordinated Notes due June 1, 2001 (the "Convertible Notes"). The Convertible Notes bear interest at a fixed rate of 4-1/2% per annum, payable semi-annually. The Convertible Notes are convertible into Common Stock of the Company at a conversion price of $32.50 per share. The Convertible Notes are unsecured obligations of United Waste Systems, Inc. and are subordinated to all existing and future Senior Indebtedness (as defined in the indenture relating to the Convertible Notes) of United Waste Systems, Inc. and are effectively subordinated to all indebtedness and other liabilities of the subsidiaries of the Company.</w:t>
      </w:r>
    </w:p>
    <w:p>
      <w:pPr>
        <w:spacing w:after="0" w:line="179"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April 1995, $22.5 million in principal amount of Variable Rate Demand Limited Obligation Revenue Bonds (the "Tax Exempt Bonds") were issued for the benefit of the Company by a corporate body organized under the laws of the State of Michigan. The Tax Exempt Bonds mature on April 1, 2010 and bear interest at a variable rate unless the Company elects a fixed rate in accordance with the terms of the Tax Exempt Bonds. If a variable rate is in effect, this rate is set periodically at a level (not to exceed 12% per annum) that would enable the Tax Exempt Bonds to be resold at a price equal to their principal amount plus all accrued interest thereon.</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September 1995, the Company issued $75 million in Senior Secured Notes due September 1, 2005 (the "Notes"). The Notes bear interest at a fixed rate of 7.67% per annum; interest is payable semi-annually and annual principal payments in the amount of $10.7 million are due beginning September 1999. The Notes are secured pari passu with the Credit Facility and any event of default under the Credit Facility also constitutes an event of default under the Notes. The Notes require the Company to comply with certain covenants including, but not limited to, maintenance of certain financial ratios, limitation on additional indebtedness and prohibition on the Company's payment of cash dividends on any of its capital stock.</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Maturities of the Company's long-term debt for each of the next five years at December 31, 1996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  4,664,413</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5,564,456</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52,167,791</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11,406,981</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17,200,242</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216,364,649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NONRECOURSE SEWAGE FACILITY REVENUE BONDS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Company's nonrecourse sewage facility revenue bonds (the "Revenue Bonds") are obligations of a wholly-owned subsidiary of the Company and are collateralized solely by the subsidiary's interest in a sludge composting facility, revenue derived from such facility and by certain bond funds held in trust. The Revenue Bonds are nonrecourse and, therefore, the subsidiary and its affiliates, including, but not limited to, United Waste Systems, Inc. and subsidiaries, are not liable for any payment due on the Revenue Bonds, nor any claim based on, or in respect to, the Revenue Bond's indenture. Annual principal payments on the Revenue Bonds range from $400,000 to $1,100,000 through 2010 at final maturity and interest is payable semi-annually at a fixed rate of 9.25% per annum.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INCOME TAXES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Certain of the companies acquired by United in transactions accounted for as poolings-of-interests (see Note 3) had elected to be treated as Subchapter S Corporations or partnerships prior to being acquired. In general, the income or loss of a Subchapter S Corporation or partnership is passed through to its owners rather than being subjected to taxes at the entity level. Pro forma net income or loss reflects a provision for income taxes on a pro forma basis for all periods presented as if all such companies were liable for federal and state income taxes as taxable corporate entities for all periods presented.</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The provision for historic and pro forma federal and state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41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Historical income taxes: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State</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3,135,854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$ 1,546,649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546,230</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Federal</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12,063,062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10,228,961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5,575,607</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State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1,607,625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660,890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181,636</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Federal</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8,449,744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3,198,484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1,640,550</w:t>
            </w:r>
          </w:p>
        </w:tc>
      </w:tr>
      <w:tr>
        <w:trPr>
          <w:trHeight w:val="336"/>
        </w:trPr>
        <w:tc>
          <w:tcPr>
            <w:tcW w:w="2500" w:type="dxa"/>
            <w:vAlign w:val="bottom"/>
          </w:tcPr>
          <w:p>
            <w:pPr>
              <w:ind w:left="280"/>
              <w:spacing w:after="0"/>
              <w:rPr>
                <w:sz w:val="20"/>
                <w:szCs w:val="20"/>
                <w:color w:val="auto"/>
              </w:rPr>
            </w:pPr>
            <w:r>
              <w:rPr>
                <w:rFonts w:ascii="Courier New" w:cs="Courier New" w:eastAsia="Courier New" w:hAnsi="Courier New"/>
                <w:sz w:val="15"/>
                <w:szCs w:val="15"/>
                <w:color w:val="auto"/>
              </w:rPr>
              <w:t>(Benefit) for deferred</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of Subchapter 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Corporation at time</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pooling</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(314,086)</w:t>
            </w:r>
          </w:p>
        </w:tc>
        <w:tc>
          <w:tcPr>
            <w:tcW w:w="1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$ 25,256,285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$15,320,898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$ 7,944,023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tax adjustment: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78,744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310,142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450,095</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284,537</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1,148,219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1,614,678</w:t>
            </w: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363,281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$ 1,458,361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$ 2,064,773</w:t>
            </w: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$ 25,619,566</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$16,779,259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$10,008,796</w:t>
            </w:r>
          </w:p>
        </w:tc>
      </w:tr>
    </w:tbl>
    <w:p>
      <w:pPr>
        <w:spacing w:after="0" w:line="341"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A reconciliation of the provision for pro forma income taxes and the amount computed by applying the statutory federal income tax rates of 35% for 1996, 1995 and 1994 to income before taxes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44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Computed tax at statutory</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rate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$ 21,227,177</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$ 15,263,270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$ 10,133,803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taxes:</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 in valuation</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(270,480)</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(35,978)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(472,306)</w:t>
            </w: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Nondeductible expense</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(primarily intangibles)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1,613,019</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992,663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230,994</w:t>
            </w: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 income taxes, net</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federal tax benefit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3,134,444</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1,636,493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658,546</w:t>
            </w: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of Subchapter S</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Corporations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(363,280)</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(1,458,361)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(2,064,773)</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for deferred</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of Subchapter S</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Corporation at</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time of pooling</w:t>
            </w:r>
          </w:p>
        </w:tc>
        <w:tc>
          <w:tcPr>
            <w:tcW w:w="14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(314,086)</w:t>
            </w:r>
          </w:p>
        </w:tc>
        <w:tc>
          <w:tcPr>
            <w:tcW w:w="136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(84,594)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(763,103)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(542,241)</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$ 25,619,566</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$ 16,779,259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$ 10,008,796</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$ 25,256,286</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$ 15,320,898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7,944,023</w:t>
            </w:r>
          </w:p>
        </w:tc>
      </w:tr>
    </w:tbl>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components of deferred income tax liabilities and assets are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31</w:t>
            </w:r>
          </w:p>
        </w:tc>
      </w:tr>
      <w:tr>
        <w:trPr>
          <w:trHeight w:val="168"/>
        </w:trPr>
        <w:tc>
          <w:tcPr>
            <w:tcW w:w="2500" w:type="dxa"/>
            <w:vAlign w:val="bottom"/>
          </w:tcPr>
          <w:p>
            <w:pPr>
              <w:spacing w:after="0"/>
              <w:rPr>
                <w:sz w:val="14"/>
                <w:szCs w:val="14"/>
                <w:color w:val="auto"/>
              </w:rPr>
            </w:pPr>
          </w:p>
        </w:tc>
        <w:tc>
          <w:tcPr>
            <w:tcW w:w="3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 income tax</w:t>
            </w: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equipment</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intangibles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$ 47,972,712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$42,593,903</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assets:</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allowance</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770,304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921,905</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6,961,902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1,861,550</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Closure reserves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10,405,684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8,090,566</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carryforwards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2,047,551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1,131,158</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18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64,004</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 income</w:t>
            </w:r>
          </w:p>
        </w:tc>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assets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20,185,441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12,069,183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21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(270,480)</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$ 20,185,441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$11,798,703</w:t>
            </w:r>
          </w:p>
        </w:tc>
      </w:tr>
      <w:tr>
        <w:trPr>
          <w:trHeight w:val="168"/>
        </w:trPr>
        <w:tc>
          <w:tcPr>
            <w:tcW w:w="2500" w:type="dxa"/>
            <w:vAlign w:val="bottom"/>
          </w:tcPr>
          <w:p>
            <w:pPr>
              <w:spacing w:after="0"/>
              <w:rPr>
                <w:sz w:val="14"/>
                <w:szCs w:val="14"/>
                <w:color w:val="auto"/>
              </w:rPr>
            </w:pP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recognized certain tax benefits related to its stock option plan in the amount of $16,682,688 and $1,754,177 in 1996 and 1995, respectively. At December 31, 1996, these benefits were recorded as income taxes receivable, which is reflected in the balance sheet as an increase in prepaid expenses and other current assets, and an increase in additional paid-in capital. At December 31, 1995, these benefits were recorded as a reduction of income taxes payable, and reflected in the balance sheet as a reduction in accrued expenses and other current liabilities, and an increase in additional paid-in capital.</w:t>
      </w:r>
    </w:p>
    <w:p>
      <w:pPr>
        <w:spacing w:after="0" w:line="178"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The Company has net short-term deferred tax assets in the amount of $8,847,338 and $2,842,000, at December 31, 1996 and 1995, respectively, which are reported in the balance sheet in prepaid expenses and other current assets.</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 December 31, 1996, the Company has net operating loss carryforwards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("NOLs") of $14,111,425 for federal and $17,504,221 for state income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that expire in years 1997 through 2011. A portion of the NOLs resulted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Company's acquisitions discussed in Note 3 and such NOLs are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future taxable earnings of their related acquired businesses. At</w:t>
      </w:r>
    </w:p>
    <w:p>
      <w:pPr>
        <w:spacing w:after="0" w:line="237" w:lineRule="auto"/>
        <w:rPr>
          <w:sz w:val="20"/>
          <w:szCs w:val="20"/>
          <w:color w:val="auto"/>
        </w:rPr>
      </w:pPr>
      <w:r>
        <w:rPr>
          <w:rFonts w:ascii="Courier New" w:cs="Courier New" w:eastAsia="Courier New" w:hAnsi="Courier New"/>
          <w:sz w:val="15"/>
          <w:szCs w:val="15"/>
          <w:color w:val="auto"/>
        </w:rPr>
        <w:t>December 31, 1996, the Company has refundable income taxes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$9,591,911. This consists of $4,739,903 representing a carryback of losses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$4,852,008 representing federal and state payments for future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CAPITAL STOCK</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Common Stock: On May 30, 1996, the stockholders of the Company approved an amendment to the Company's Certificate of Incorporation that increased the authorized shares of Common Stock of the Company to 75,000,000 shares. On March 12, 1996, the Board of Directors approved a two-for-one stock split of the Company's Common Stock to be effected in the form of a 100% stock dividend. Such stock split was effected by the distribution on June 18, 1996, of a dividend of one share of the Company's Common Stock in respect of each share of Common Stock that was outstanding on June 7, 1996, the record date established for such distribution. All agreements concerning stock options, convertible securities and other commitments payable in shares of the Company's Common Stock were amended pursuant to their own terms to provide for the issuance of two shares of Common Stock for every one share that was issuable prior to the stock split.</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At December 31, 1996, approximately 9,176,552 shares of Common Stock are reserved for the exercise of warrants, options and the conversion of certain debt.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Preferred Stock: The Company's board of directors has the authority to designate 5,000,000 shares of $.001 par value preferred stock in series, to establish as to each series the designation and number of shares to be issued and the rights, preferences, privileges and restrictions of the shares of each series, and to determine the voting powers, if any, of such shares. At December 31, 1996, the Company's Board of Directors had designated 3,440,990 shares, of which 336,621 shares are available for future issuance.</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Common Stock Options and Warrants: During July 1992, the Company adopted the 1992 Stock Option Plan for the grant of incentive stock options and non-statutory stock options. The aggregate number of shares of Common Stock which may be subject to options granted under the plan may not exceed 5,900,000, subject to adjustment under certain circumstances. The exercise price, subject to certain minimums, vesting periods and other conditions applicable to each option granted, are generally determined by two disinterested directors on the Compensation Committee of the Board of Directors.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Also during July 1992, the Company adopted a 1992 Disinterested Director Stock Option Plan for the grant of non-statutory options for certain directors of the Company. The plan provides for a fixed number of options to be issued annually for each participant with exercise prices at current market value and these options vest immediately.</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Company has various other stock option plans for employees other than officers or directors. These plans have terms similar to those of the Company's 1992 Stock Option Plan.</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During 1996, the Company granted 1,983,368 stock options with a weighted-average exercise price of $26.92 per share. During 1996, 2,562,698 options (with a weighted-average exercise price per share of $10.06) were exercised and 17,829 options (with a weighted-average exercise price per share of $13.97) were forfeited. The weighted-average grant date fair value of options granted during 1996 was $6.52 per share.</w:t>
      </w:r>
    </w:p>
    <w:p>
      <w:pPr>
        <w:spacing w:after="0" w:line="17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At December 31, 1996, 3,588,091 options to purchase shares of the Company's Common Stock were outstanding. The weighted average exercise price per share of such options was $19.91. Such options had exercise prices ranging from $5.06 to $36.25 per share. Of such options, 816,018 provided for an exercise price per share in the range of $5.06 to $10.00 (the weighted average exercise price and weighted average remaining life of the options in this range being $8.08 and 6.9 years, respectively); 1,107,158 provided for an exercise price per share in the range of $10.01 to $20.00 (the weighted average exercise price and weighted average remaining life of the options in this range being $16.48 and 8.6 years, respectively); and 1,664,915 provided for an exercise price per share in the range of $20.01 to $36.25 (the weighted average exercise price and weighted average remaining life of the options in this range being $27.98 and 9.7 years, respectively).</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At December 31, 1996, 1,424,954 of the Company's outstanding options were exercisable. The weighted average exercise price per share of such exercisable options was $17.89. Of such options, 479,682 provided for an exercise price per</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share in the range of $5.06 to $10.00 (the weighted average exercise price of the options in this range being $7.78); 360,995 provided for an exercise price per share in the range of $10.01 to $20.00 (the weighted average exercise price per share of the options in this range being $15.65); and 584,277 provided for an exercise price per share in the range of $20.01 to $36.25 (the weighted average exercise price of the options in this range being $27.58).</w:t>
      </w:r>
    </w:p>
    <w:p>
      <w:pPr>
        <w:spacing w:after="0" w:line="16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At December 31, 1996, the Company had 973,076 stock purchase warrants outstanding with an exercise price per share ranging from $2.61 to $34.75, all of which were currently exercisable. Such warrants expire through the year 2006.</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December 31, 1995, the Company had 4,185,250 stock options outstanding with exercise prices per share ranging from $5.06 to $19.00, with a weighted-average exercise price of $10.69 of which 3,063,584 options were exercisable. During 1995, 447,140 stock options were exercised with exercise prices per share ranging from $5.25 to $17.19. Also at December 31, 1995, the Company had 1,247,328 stock purchase warrants outstanding with exercise prices per share ranging from $2.61 to $12.50, all of which were currently exercisable, and expire through the year 2002.</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December 31, 1994, the Company had 3,235,242 stock options outstanding with exercise prices per share ranging from $5.06 to $12.00. During 1994, 672,844 stock options were exercised with exercise prices per share ranging from $4.05 to $9.00. Also at December 31, 1994, the Company had 1,631,214 stock purchase warrants outstanding with exercise prices per share ranging from $.03 to $7.71, all of which were currently exercisable, and such warrants expire through the year 2002.</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applies Accounting Principles Board Opinion No. 25,</w:t>
      </w:r>
    </w:p>
    <w:p>
      <w:pPr>
        <w:spacing w:after="0" w:line="237" w:lineRule="auto"/>
        <w:rPr>
          <w:sz w:val="20"/>
          <w:szCs w:val="20"/>
          <w:color w:val="auto"/>
        </w:rPr>
      </w:pPr>
      <w:r>
        <w:rPr>
          <w:rFonts w:ascii="Courier New" w:cs="Courier New" w:eastAsia="Courier New" w:hAnsi="Courier New"/>
          <w:sz w:val="15"/>
          <w:szCs w:val="15"/>
          <w:color w:val="auto"/>
        </w:rPr>
        <w:t>"Accounting for Stock Issued to Employees" in accounting for stock-based</w:t>
      </w:r>
    </w:p>
    <w:p>
      <w:pPr>
        <w:spacing w:after="0" w:line="238" w:lineRule="auto"/>
        <w:rPr>
          <w:sz w:val="20"/>
          <w:szCs w:val="20"/>
          <w:color w:val="auto"/>
        </w:rPr>
      </w:pPr>
      <w:r>
        <w:rPr>
          <w:rFonts w:ascii="Courier New" w:cs="Courier New" w:eastAsia="Courier New" w:hAnsi="Courier New"/>
          <w:sz w:val="15"/>
          <w:szCs w:val="15"/>
          <w:color w:val="auto"/>
        </w:rPr>
        <w:t>employee compensation arrangements whereby no compensation cost related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is deducted in determining net income. Had compensation cost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stock option plans been determined pursuant to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Standards Board Statement No. 123 ("SFAS No. 123"), "Accounting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 the Company's pro forma net income and earnings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would have differed. The Black-Scholes option pricing model estimates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options using subjective assumptions which can materially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estimates and, therefore, do not necessarily provide a single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measure of fair value of options. Using the Black-Scholes option pricing model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options granted after December 31, 1994 and a risk-free interest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5.75%, a volatility factor for the market price of the Company's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of .315 and a weighted-average expected life of options of approximately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years, the Company's pro forma net income, primary pro forma earnings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and fully-diluted pro forma earnings per share would have been</w:t>
      </w:r>
    </w:p>
    <w:p>
      <w:pPr>
        <w:spacing w:after="0" w:line="237" w:lineRule="auto"/>
        <w:rPr>
          <w:sz w:val="20"/>
          <w:szCs w:val="20"/>
          <w:color w:val="auto"/>
        </w:rPr>
      </w:pPr>
      <w:r>
        <w:rPr>
          <w:rFonts w:ascii="Courier New" w:cs="Courier New" w:eastAsia="Courier New" w:hAnsi="Courier New"/>
          <w:sz w:val="15"/>
          <w:szCs w:val="15"/>
          <w:color w:val="auto"/>
        </w:rPr>
        <w:t>$32,338,165, $.81 and $.81, respectively, for 1996 and,$26,008,749, $.75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 respectively, for 1995. For purposes of these pro forma disclosures,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fair value of options is amortized over the options' vesting period.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the number of options granted and their fair value may vary significantly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year to year, the pro forma compensation expense in future years may be</w:t>
      </w:r>
    </w:p>
    <w:p>
      <w:pPr>
        <w:spacing w:after="0" w:line="237" w:lineRule="auto"/>
        <w:rPr>
          <w:sz w:val="20"/>
          <w:szCs w:val="20"/>
          <w:color w:val="auto"/>
        </w:rPr>
      </w:pPr>
      <w:r>
        <w:rPr>
          <w:rFonts w:ascii="Courier New" w:cs="Courier New" w:eastAsia="Courier New" w:hAnsi="Courier New"/>
          <w:sz w:val="15"/>
          <w:szCs w:val="15"/>
          <w:color w:val="auto"/>
        </w:rPr>
        <w:t>materially different.</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EARNINGS PER SHARE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Primary and fully diluted earnings per common share for the year ended December 31, 1996 have been computed based upon weighted average equivalent shares outstanding of 39,943,715 and 42,913,825, respectively.</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Primary and fully diluted earnings per common share for the year ended December 31, 1995 have been computed based upon weighted average equivalent shares outstanding of 34,693,501 and 34,898,801, respectively.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Primary and fully diluted earnings per common share for the year ended December 31, 1994 have been computed based upon weighted average equivalent shares outstanding of 26,076,421 and 29,153,689, respectively. Primary earnings per share was calculated after giving effect to net deductions from income available to common stockholders of $1,275,180 related to dividends on preferred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FAIR VALUE OF FINANCIAL INSTRUMENTS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the fair value disclosures for financial instruments: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Cash and cash equivalents: The carrying amount reported in the balance sheet for cash and cash equivalents approximates fair value.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Restricted cash: The $11,480,003 carrying amount reported in the balance sheet included in other assets for restricted cash and cash equivalents approximates fair value.</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Long and short-term debt: The carrying amount of the Company's borrowings under its revolving credit agreement approximates fair value. The Convertible Notes traded at 115% of face value at December 31, 1996 and therefore the $150 million face amount of the Convertible Notes have a fair value of $173 million. The fair values of the other long and short-term debt are estimated based on the Company's incremental borrowing rates for similar types of borrowing arrangements. These carrying amounts approximate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COMMITMENTS AND CONTINGENCIES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Company leases various office space and equipment under noncancellable operating leases expiring on various dates through 2004. The Company leases equipment with a cost of $2,422,984 and $5,981,710 and cumulative amortization of approximately $504,060 and $1,547,133 under various capital leases at December 31, 1996 and December 31, 1995, respectively.</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noncancellable operating leases with initial terms in excess of one year as of December 31, 1996:</w:t>
      </w:r>
    </w:p>
    <w:p>
      <w:pPr>
        <w:sectPr>
          <w:pgSz w:w="11900" w:h="16838" w:orient="portrait"/>
          <w:cols w:equalWidth="0" w:num="1">
            <w:col w:w="10239"/>
          </w:cols>
          <w:pgMar w:left="220" w:top="281"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224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1"/>
        </w:trPr>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Noncancellable</w:t>
            </w: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420" w:type="dxa"/>
            <w:vAlign w:val="bottom"/>
          </w:tcPr>
          <w:p>
            <w:pPr>
              <w:spacing w:after="0"/>
              <w:rPr>
                <w:sz w:val="14"/>
                <w:szCs w:val="14"/>
                <w:color w:val="auto"/>
              </w:rPr>
            </w:pP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Operating</w:t>
            </w:r>
          </w:p>
        </w:tc>
      </w:tr>
      <w:tr>
        <w:trPr>
          <w:trHeight w:val="168"/>
        </w:trPr>
        <w:tc>
          <w:tcPr>
            <w:tcW w:w="2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w:t>
            </w:r>
          </w:p>
        </w:tc>
        <w:tc>
          <w:tcPr>
            <w:tcW w:w="42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Leases</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905,876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1,257,322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260,955</w:t>
            </w:r>
          </w:p>
        </w:tc>
        <w:tc>
          <w:tcPr>
            <w:tcW w:w="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982,840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113,589</w:t>
            </w:r>
          </w:p>
        </w:tc>
        <w:tc>
          <w:tcPr>
            <w:tcW w:w="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375,242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35,160</w:t>
            </w:r>
          </w:p>
        </w:tc>
        <w:tc>
          <w:tcPr>
            <w:tcW w:w="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295,699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275,000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709,202</w:t>
            </w:r>
          </w:p>
        </w:tc>
      </w:tr>
      <w:tr>
        <w:trPr>
          <w:trHeight w:val="168"/>
        </w:trPr>
        <w:tc>
          <w:tcPr>
            <w:tcW w:w="224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payments</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1,315,580</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3,895,305</w:t>
            </w: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Less amount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representing</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(95,756)</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net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lease payments</w:t>
            </w:r>
          </w:p>
        </w:tc>
        <w:tc>
          <w:tcPr>
            <w:tcW w:w="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1,219,824</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portion</w:t>
            </w:r>
          </w:p>
        </w:tc>
        <w:tc>
          <w:tcPr>
            <w:tcW w:w="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(846,528)</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portion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373,296</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Rent expense under noncancellable operating leases for the years ended December 31, 1996, 1995 and 1994 was $1,044,995, $435,008 and $428,233, respectively.</w:t>
      </w:r>
    </w:p>
    <w:p>
      <w:pPr>
        <w:spacing w:after="0" w:line="174"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During 1995, the Company acquired a company which had a contingent lease agreement with respect to a portion of the land related to one of its solid waste landfills. Payments under this lease agreement are based upon 50% of the net cash receipts (as defined in the lease agreement) of the landfill and are payable monthly. For the year ended December 31, 1996 and 1995 the related lease expense totaled $751,000 and $243,000, respectively.</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owns and operates a waste water sludge composting plant located in Springfield, Massachusetts. During 1992, the Company entered into a 20-year service agreement with the City of Springfield under which the Company treats sewage sludge generated at the Springfield Regional Wastewater Treatment Facility.</w:t>
      </w:r>
    </w:p>
    <w:p>
      <w:pPr>
        <w:spacing w:after="0" w:line="174"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While the Company carries a wide range of insurance coverage for the protection of the Company's assets and operations, the Company does not carry insurance coverage for environmental liability, except as described in the following sentence. The Company's insurance coverage for environmental liability is limited to (i) over-the-road environmental liability protection for the transportation of asbestos-containing material, (ii) contractor pollution liability insurance that relates to certain environmental services provided by the Company and (iii) certain other pollution liability insurance which is the equivalent to self-insurance because under the terms thereof the Company is required to fully reimburse the insurance company for any paid claims. In the event uninsured losses occur, the Company's net income and financial position could be materially adversely affected.</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January 9, 1996, the Junker Landfill Trust sued the Company, Junker Sanitation Services, Inc., and United Waste Transfer, Inc., both of which are subsidiaries of the Company, and approximately 800 other parties in the United States District Court for the Western District of Wisconsin, Case No. 96C-19S, for the contribution under the Comprehensive Environmental Response Compensation and Liability Act ("CERCLA"), as well as state common law, with respect to the Junker Landfill site in Hudson, Wisconsin. By order entered July 19, 1996, the court approved a consent decree which was signed by the Company and others with respect to this site. The Company's obligations under the consent decree are secured by, and limited to, $3,000,000 on promissory notes issued by the Company for the purchase of Junker Sanitation Services, Inc. A Settlement Agreement has been reached with the Plaintiff which involves no payment obligation on the part of Junker Sanitation Services, Inc., United Waste Systems, Inc., or United Waste Transfer, Inc. That settlement will become complete when the Court approves a second consent decree, which approval is expected at a hearing scheduled for April 29, 1997.</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May 26, 1995, the Company sued Robert Foley and Matthew Parzych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States District Court for the District of Connecticut, Case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3:95-CV-985. The defendants sold stock in certain Massachusetts corporations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under an agreement dated April 1, 1992 (the "1992 agreement").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suit the Company seeks approximately $1,115,000 in cash and securities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escrow account and additional amounts from defendants by reason of indemnity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contained in the 1992 agreement and confirmed in an agreement 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1994 (the "1994 agreement"). The defendants have counterclaimed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the Company and its chief executive officer, seeking to invalidate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agreement primarily for alleged lack of consideration and economic duress,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receive alleged damages and costs. The counterclaims for damages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for alleged misrepresentations by the Company in connection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agreement, and were asserted by defendants notwithstanding provisions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1994 agreement which generally released the Company from all claims. The</w:t>
      </w:r>
    </w:p>
    <w:p>
      <w:pPr>
        <w:spacing w:after="0" w:line="237" w:lineRule="auto"/>
        <w:rPr>
          <w:sz w:val="20"/>
          <w:szCs w:val="20"/>
          <w:color w:val="auto"/>
        </w:rPr>
      </w:pPr>
      <w:r>
        <w:rPr>
          <w:rFonts w:ascii="Courier New" w:cs="Courier New" w:eastAsia="Courier New" w:hAnsi="Courier New"/>
          <w:sz w:val="15"/>
          <w:szCs w:val="15"/>
          <w:color w:val="auto"/>
        </w:rPr>
        <w:t>Company intends vigorously to pursue its claims in this action and to seek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dismissal of the counterclaims. In the opinion of management, this claim should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materially affect the financial position or operating results of the</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June 1996, Dale Lynch, Dennis Lynch and D.L. Lynch sued the Company, its chief executive officer and a subsidiary of the Company in the Circuit Court of Whitley County, Kentucky (Index No. 96 CI 00355). The subsidiary purchased the Tri-County landfill from the plaintiffs in 1991. The suit primarily seeks compensatory and punitive damages for alleged breach of contract and for allegedly fraudulent representations in connection with this purchase. The Company has filed a Counterclaim for breach of warranties and fraud. The Company has also sought indemnification for breach of warranties. In January 1997, the plaintiffs filed an Amended Complaint, which seeks relief similar to that of their original Complaint. The Company intends to file a Motion to Dismiss seven of the eight counts in the Complaint, including the fraud count. The Company has served discovery requests and deposition notices on plaintiffs and intends to vigorously defend against plaintiffs' claims and prosecute its Counterclaim. In the opinion of management, this suit should not materially affect the financial position or operating results of the Company.</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July 1996 the Company filed suit against H.A.M. Sanitary Landfill, Inc. and its shareholders. The suit is now pending in the Circuit Court for Monroe County, West Virginia, Civil Action No. 96-C-51. The Company, among other things, seeks to recover $1.8 million in advances which the Company made in connection with an agreement, since terminated, to purchase the H.A.M. Sanitary Landfill in West Virginia from the defendants, and to recover certain machinery and equipment with an aggregate replacement value of approximately $150,000.</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defendants in September 1996 filed a counterclaim against the Company and a subsidiary which seeks compensatory and punitive damages for claims of alleged breach of contract, breach of fiduciary duty under an alleged joint venture, unjust enrichment and fraud. The Company will vigorously prosecute its claim and defend against the counterclaim. In the opinion of management, the counterclaim should not materially affect the financial position or operating results of the Company.</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accrues the costs for closure and postclosure monitoring over the life of its owned landfills and will pay out these costs over the next fifty years. Major components of these costs include closure cap construction, leachate treatment and groundwater monitoring. The Company accrues these costs utilizing engineering estimates based on current governmental regulations regarding closure requirements. The Company estimates that the aggregate liability for the closure, postclosure and remediation costs of its landfills owned at December 31, 1996 will be approximately $66.6 million. At December 31, 1996, the Company has approximately $49.5 million of these costs accrued and, therefore, has accrued approximately 74.3% of its estimated total costs to date.</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monitors the availability of airspace at each of its landfills and the need to obtain permit modifications for approvals for expansion in order to continue operating these landfills. In order to develop and operate a landfill, a composting facility or transfer station, or other solid waste management facility, the Company typically must go through several governmental review processes and obtain one or more permits and often zoning or other land use approvals. Once obtained, operating permits generally must be periodically renewed and are subject to modification and revocation by the issuing agency. There can be no assurance that the Company will succeed in obtaining these permits, permit modifications or approvals.</w:t>
      </w:r>
    </w:p>
    <w:p>
      <w:pPr>
        <w:spacing w:after="0" w:line="165" w:lineRule="exact"/>
        <w:rPr>
          <w:sz w:val="20"/>
          <w:szCs w:val="20"/>
          <w:color w:val="auto"/>
        </w:rPr>
      </w:pPr>
    </w:p>
    <w:p>
      <w:pPr>
        <w:ind w:right="3399" w:firstLine="962"/>
        <w:spacing w:after="0" w:line="256" w:lineRule="auto"/>
        <w:rPr>
          <w:sz w:val="20"/>
          <w:szCs w:val="20"/>
          <w:color w:val="auto"/>
        </w:rPr>
      </w:pPr>
      <w:r>
        <w:rPr>
          <w:rFonts w:ascii="Courier New" w:cs="Courier New" w:eastAsia="Courier New" w:hAnsi="Courier New"/>
          <w:sz w:val="14"/>
          <w:szCs w:val="14"/>
          <w:color w:val="auto"/>
        </w:rPr>
        <w:t>The Company has outstanding letters of credit with banks of approximately $61,311,000 at December 31, 1996. The letters of credit were obtained as collateral for the Company's Tax Exempt Bonds, self-fund insurance programs and as direct collateral to assure compliance with governmental sanitary landfill closure and post-closure obligations for landfills.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SUBSEQUENT EVENTS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Subsequent to December 31, 1996, the Company completed the acquisition of 13 solid waste businesses - these businesses include one landfill, 12 collection operations and one transfer operation. These acquisitions were accounted for as purchases. Also, subsequent to December 31, 1996, the Company issued Common Stock for all of the outstanding stock of a solid waste business which includes one collection and one transfer operation. This transaction has been accounted for as a pooling-of-interests. The historical operations of this business are not material to the Company's consolidated operations and financial position and, therefore, no restatement of the accompanying Consolidated Financial Statements was necessary.</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March 1997, the Company completed a public offering of 3,450,000 shares of its Common Stock. Net proceeds of the offering were approximately $119.3 million. Approximately $47.2 million of such proceeds have been used to reduce outstanding indebtedness under the Company's Credit Facility. At March 25, 1997, the Company has cash and cash equivalents of approximately $69.0 million.</w:t>
      </w:r>
    </w:p>
    <w:p>
      <w:pPr>
        <w:sectPr>
          <w:pgSz w:w="11900" w:h="16838" w:orient="portrait"/>
          <w:cols w:equalWidth="0" w:num="1">
            <w:col w:w="10239"/>
          </w:cols>
          <w:pgMar w:left="220" w:top="28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44</w:t>
      </w:r>
    </w:p>
    <w:p>
      <w:pPr>
        <w:ind w:left="1040" w:hanging="523"/>
        <w:spacing w:after="0" w:line="237" w:lineRule="auto"/>
        <w:tabs>
          <w:tab w:leader="none" w:pos="10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left="520" w:right="3679"/>
        <w:spacing w:after="0" w:line="234" w:lineRule="auto"/>
        <w:rPr>
          <w:sz w:val="20"/>
          <w:szCs w:val="20"/>
          <w:color w:val="auto"/>
        </w:rPr>
      </w:pPr>
      <w:r>
        <w:rPr>
          <w:rFonts w:ascii="Courier New" w:cs="Courier New" w:eastAsia="Courier New" w:hAnsi="Courier New"/>
          <w:sz w:val="15"/>
          <w:szCs w:val="15"/>
          <w:color w:val="auto"/>
        </w:rPr>
        <w:t>The following pro forma financial statements and notes thereto are included herein:</w:t>
      </w:r>
    </w:p>
    <w:p>
      <w:pPr>
        <w:spacing w:after="0" w:line="173" w:lineRule="exact"/>
        <w:rPr>
          <w:sz w:val="20"/>
          <w:szCs w:val="20"/>
          <w:color w:val="auto"/>
        </w:rPr>
      </w:pPr>
    </w:p>
    <w:p>
      <w:pPr>
        <w:ind w:left="860" w:right="3399" w:hanging="343"/>
        <w:spacing w:after="0" w:line="234"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 Pro Forma Condensed Consolidated Balance Sheet as of June 30, 1997 (unaudited).</w:t>
      </w:r>
    </w:p>
    <w:p>
      <w:pPr>
        <w:spacing w:after="0" w:line="173" w:lineRule="exact"/>
        <w:rPr>
          <w:rFonts w:ascii="Courier New" w:cs="Courier New" w:eastAsia="Courier New" w:hAnsi="Courier New"/>
          <w:sz w:val="15"/>
          <w:szCs w:val="15"/>
          <w:color w:val="auto"/>
        </w:rPr>
      </w:pPr>
    </w:p>
    <w:p>
      <w:pPr>
        <w:ind w:left="860" w:right="3679" w:hanging="343"/>
        <w:spacing w:after="0" w:line="235"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 Pro Forma Condensed Consolidated Statement of Operations for the six months ended June 30, 1997 (unaudited).</w:t>
      </w:r>
    </w:p>
    <w:p>
      <w:pPr>
        <w:spacing w:after="0" w:line="173" w:lineRule="exact"/>
        <w:rPr>
          <w:rFonts w:ascii="Courier New" w:cs="Courier New" w:eastAsia="Courier New" w:hAnsi="Courier New"/>
          <w:sz w:val="15"/>
          <w:szCs w:val="15"/>
          <w:color w:val="auto"/>
        </w:rPr>
      </w:pPr>
    </w:p>
    <w:p>
      <w:pPr>
        <w:ind w:left="860" w:right="3839" w:hanging="343"/>
        <w:spacing w:after="0" w:line="235"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 Pro Forma Condensed Consolidated Statement of Operations for the year ended December 31, 1996 (unaudited).</w:t>
      </w:r>
    </w:p>
    <w:p>
      <w:pPr>
        <w:spacing w:after="0" w:line="173" w:lineRule="exact"/>
        <w:rPr>
          <w:rFonts w:ascii="Courier New" w:cs="Courier New" w:eastAsia="Courier New" w:hAnsi="Courier New"/>
          <w:sz w:val="15"/>
          <w:szCs w:val="15"/>
          <w:color w:val="auto"/>
        </w:rPr>
      </w:pPr>
    </w:p>
    <w:p>
      <w:pPr>
        <w:ind w:left="860" w:right="3319" w:hanging="343"/>
        <w:spacing w:after="0" w:line="234"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 Notes to Pro Forma Condensed Consolidated Financial Statements (unaudited).</w:t>
      </w:r>
    </w:p>
    <w:p>
      <w:pPr>
        <w:sectPr>
          <w:pgSz w:w="11900" w:h="16838" w:orient="portrait"/>
          <w:cols w:equalWidth="0" w:num="1">
            <w:col w:w="9959"/>
          </w:cols>
          <w:pgMar w:left="500" w:top="28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45</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PRO FORMA CONDENSED CONSOLIDATED FINANCIAL STATEMENTS</w:t>
      </w:r>
    </w:p>
    <w:p>
      <w:pPr>
        <w:jc w:val="center"/>
        <w:ind w:right="357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On August 26, 1997, USA Waste Services, Inc. ("USA Waste") consummated a merger transaction with United Waste Systems, Inc. ("United") accounted for as "pooling of interests" pursuant to Opinion No. 16 of the Accounting Principles Board whereby 1.075 shares of USA Waste Common Stock was issued in exchange for each share of United Common Stock (the "Merger"). The accompanying pro forma condensed consolidated financial statements give effect to the Merger using the "pooling of interests" method of accounting which assumes that the combining companies have been merged from their inception, and that the historical financial statements for periods prior to consummation of the Merger are restated as though had been combined from their inception. The accompanying pro forma condensed consolidated financial statements should be read in conjunction with the USA Waste Consolidated Financial Statements and related notes thereto included in the USA Waste Annual Report on Form 10-K for the year ended December 31, 1996, as amended by Form 10-K/A filed April 30, 1997, the USA Waste Condensed Consolidated Financial Statements included in the USA Waste Quarterly Report on Form 10-Q for the quarterly period ended June 30, 1997, the United Consolidated Financial Statements and related notes thereto as of December 31, 1996 and 1995, and for the three years in the period ended December 31, 1996, included elsewhere herein, and the United Condensed Consolidated Financial Statements and related notes thereto as of June 30, 1997 and December 31, 1996, and for the three and six months ended June 30, 1997 and 1996, included elsewhere herein. The pro forma condensed consolidated financial statements are not necessarily indicative of the operating results that would have been achieved had the Merger been consummated as of the beginning of the periods presented and should not be construed as indicative of future operating results.</w:t>
      </w:r>
    </w:p>
    <w:p>
      <w:pPr>
        <w:sectPr>
          <w:pgSz w:w="11900" w:h="16838" w:orient="portrait"/>
          <w:cols w:equalWidth="0" w:num="1">
            <w:col w:w="9959"/>
          </w:cols>
          <w:pgMar w:left="50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46</w:t>
      </w:r>
    </w:p>
    <w:p>
      <w:pPr>
        <w:spacing w:after="0" w:line="335"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PRO FORMA CONDENSED CONSOLIDATED BALANCE SHEET</w:t>
      </w:r>
    </w:p>
    <w:p>
      <w:pPr>
        <w:jc w:val="center"/>
        <w:ind w:right="4200"/>
        <w:spacing w:after="0" w:line="237" w:lineRule="auto"/>
        <w:rPr>
          <w:sz w:val="20"/>
          <w:szCs w:val="20"/>
          <w:color w:val="auto"/>
        </w:rPr>
      </w:pPr>
      <w:r>
        <w:rPr>
          <w:rFonts w:ascii="Courier New" w:cs="Courier New" w:eastAsia="Courier New" w:hAnsi="Courier New"/>
          <w:sz w:val="15"/>
          <w:szCs w:val="15"/>
          <w:color w:val="auto"/>
        </w:rPr>
        <w:t>June 30, 1997</w:t>
      </w:r>
    </w:p>
    <w:p>
      <w:pPr>
        <w:jc w:val="center"/>
        <w:ind w:right="420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USA WASTE</w:t>
            </w:r>
          </w:p>
        </w:tc>
        <w:tc>
          <w:tcPr>
            <w:tcW w:w="26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UNITED</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25,823</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69,760</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327,707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68,824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396,531</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61,206</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8,883</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70,089</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31,980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9,613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41,593</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56,628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10,675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67,303</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521,458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123,818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645,276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56,345</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56,345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2,917,497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438,172</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3,355,669</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business, net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873,189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333,339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1,206,528</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85,146</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90,116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164,207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40,968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205,175</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$ 4,617,842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941,267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$ 5,559,109</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153,231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25,448</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178,679</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145,121</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48,723</w:t>
            </w:r>
          </w:p>
        </w:tc>
        <w:tc>
          <w:tcPr>
            <w:tcW w:w="36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(27,087)(a)</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216,757</w:t>
            </w:r>
          </w:p>
        </w:tc>
      </w:tr>
      <w:tr>
        <w:trPr>
          <w:trHeight w:val="168"/>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(b)</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38,968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13,959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52,927</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49,520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7,039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56,559</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386,840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95,169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22,913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504,922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1,996,958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273,894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2,270,852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132,478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39,326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171,804</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235,429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62,785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298,214</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2,751,705</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471,174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22,913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3,245,792</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USA Waste:  $1.00 par value; 10,000,000 shares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authorized; none issued</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United: $.001 par value 5,000,000 shares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USA Waste:  $.01 par value; 300,000,000 shares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authorized; historical 160,702,719 shares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(210,297,099 pro forma shares) issued and outstanding</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2,103</w:t>
            </w:r>
          </w:p>
        </w:tc>
      </w:tr>
      <w:tr>
        <w:trPr>
          <w:trHeight w:val="168"/>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(c)</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United: $.001 par value 75,000,000</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shares authorized; 44,569,287</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shares issued and outstanding</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(45)(c)</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1,845,112</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374,085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27,070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2,245,833</w:t>
            </w:r>
          </w:p>
        </w:tc>
      </w:tr>
      <w:tr>
        <w:trPr>
          <w:trHeight w:val="168"/>
        </w:trPr>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(434)(c)</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35,760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95,963</w:t>
            </w:r>
          </w:p>
        </w:tc>
        <w:tc>
          <w:tcPr>
            <w:tcW w:w="36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(50,000)(b)</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81,723</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3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(15,858)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(15,858)</w:t>
            </w:r>
          </w:p>
        </w:tc>
      </w:tr>
      <w:tr>
        <w:trPr>
          <w:trHeight w:val="168"/>
        </w:trPr>
        <w:tc>
          <w:tcPr>
            <w:tcW w:w="5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treasury stock at cost, 23,485 shares</w:t>
            </w:r>
          </w:p>
        </w:tc>
        <w:tc>
          <w:tcPr>
            <w:tcW w:w="3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1,866,137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470,093</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(22,913)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2,313,317</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$ 4,617,842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941,267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$ 5,559,109</w:t>
            </w:r>
          </w:p>
        </w:tc>
      </w:tr>
      <w:tr>
        <w:trPr>
          <w:trHeight w:val="168"/>
        </w:trPr>
        <w:tc>
          <w:tcPr>
            <w:tcW w:w="57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1120"/>
          </w:cols>
          <w:pgMar w:left="220" w:top="281" w:right="559"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47</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 FORMA CONDENSED CONSOLIDATED STATEMENT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USA WASTE</w:t>
            </w:r>
          </w:p>
        </w:tc>
        <w:tc>
          <w:tcPr>
            <w:tcW w:w="32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UNITED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SIX MONTHS</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c>
          <w:tcPr>
            <w:tcW w:w="32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ENDED</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 1997</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June 30, 1997</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520" w:type="dxa"/>
            <w:vAlign w:val="bottom"/>
          </w:tcPr>
          <w:p>
            <w:pPr>
              <w:spacing w:after="0"/>
              <w:rPr>
                <w:sz w:val="14"/>
                <w:szCs w:val="14"/>
                <w:color w:val="auto"/>
              </w:rPr>
            </w:pP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900,090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216,619</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8"/>
              </w:rPr>
              <w:t>$ 1,116,709</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Operating (exclusive of depreciation and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 shown below)</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463,403</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136,200</w:t>
            </w:r>
          </w:p>
        </w:tc>
        <w:tc>
          <w:tcPr>
            <w:tcW w:w="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(18,138)(d)</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581,465</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102,614</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33,295</w:t>
            </w:r>
          </w:p>
        </w:tc>
        <w:tc>
          <w:tcPr>
            <w:tcW w:w="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(5,243)(d)</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125,407</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(5,259)(e)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108,203</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23,381</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131,584</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Merger costs</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5,259</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5,259</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674,220</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169,495</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843,715</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225,870</w:t>
            </w:r>
          </w:p>
        </w:tc>
        <w:tc>
          <w:tcPr>
            <w:tcW w:w="32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47,124</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272,994</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(33,373)</w:t>
            </w:r>
          </w:p>
        </w:tc>
        <w:tc>
          <w:tcPr>
            <w:tcW w:w="3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(7,899)</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(41,272)</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2,139</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1,609</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3,748</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7,713</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1,585</w:t>
            </w:r>
          </w:p>
        </w:tc>
        <w:tc>
          <w:tcPr>
            <w:tcW w:w="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(1,609)(f)</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7,689</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(23,521)</w:t>
            </w:r>
          </w:p>
        </w:tc>
        <w:tc>
          <w:tcPr>
            <w:tcW w:w="3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(6,314)</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(29,835)</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202,349</w:t>
            </w:r>
          </w:p>
        </w:tc>
        <w:tc>
          <w:tcPr>
            <w:tcW w:w="32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40,810</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243,159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80,940</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16,961</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97,901</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available to common shareholders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121,409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23,849</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145,258</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0.75</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0.54</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0.70 (g)</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2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167,861</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44,165</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3,312</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215,338</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48</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 FORMA CONDENSED CONSOLIDATED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 OF OPERATIONS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UNITED</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44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YEAR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44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December 31,</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16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per share amounts)</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$ 1,313,388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335,743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13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$ 1,649,131</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Operating (exclusive of depreciation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 show below)</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704,917</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206,786</w:t>
            </w:r>
          </w:p>
        </w:tc>
        <w:tc>
          <w:tcPr>
            <w:tcW w:w="12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(30,302)(d)</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881,401</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160,539</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53,106</w:t>
            </w:r>
          </w:p>
        </w:tc>
        <w:tc>
          <w:tcPr>
            <w:tcW w:w="12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(7,574)(d)</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200,101</w:t>
            </w:r>
          </w:p>
        </w:tc>
      </w:tr>
      <w:tr>
        <w:trPr>
          <w:trHeight w:val="168"/>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(5,970)(e)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153,168</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37,876</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191,044</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Merger costs</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120,656</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5,970</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126,626</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Unusual items</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63,800</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63,800</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1,203,080</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259,892</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1,462,972</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0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110,308</w:t>
            </w:r>
          </w:p>
        </w:tc>
        <w:tc>
          <w:tcPr>
            <w:tcW w:w="14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75,851</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186,159</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(45,547)</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(14,950)</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(60,497)</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5,267</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1,432</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6,699</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8,060</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12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(1,432)(f)</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6,376</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(32,220)</w:t>
            </w:r>
          </w:p>
        </w:tc>
        <w:tc>
          <w:tcPr>
            <w:tcW w:w="1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(15,202)</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(47,422)</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0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78,088</w:t>
            </w:r>
          </w:p>
        </w:tc>
        <w:tc>
          <w:tcPr>
            <w:tcW w:w="14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60,649</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138,737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45,142</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25,256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70,398</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available to common shareholders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32,946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35,393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68,339</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$0.37 (g)</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common equivalent shares outstanding</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139,740</w:t>
            </w:r>
          </w:p>
        </w:tc>
        <w:tc>
          <w:tcPr>
            <w:tcW w:w="1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39,944</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2,996</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w:t>
            </w:r>
          </w:p>
        </w:tc>
        <w:tc>
          <w:tcPr>
            <w:tcW w:w="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182,680</w:t>
            </w:r>
          </w:p>
        </w:tc>
      </w:tr>
      <w:tr>
        <w:trPr>
          <w:trHeight w:val="168"/>
        </w:trPr>
        <w:tc>
          <w:tcPr>
            <w:tcW w:w="36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0239"/>
          </w:cols>
          <w:pgMar w:left="220" w:top="28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49</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PRO FORMA CONDENSED</w:t>
      </w:r>
    </w:p>
    <w:p>
      <w:pPr>
        <w:jc w:val="center"/>
        <w:ind w:right="357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960" w:hanging="443"/>
        <w:spacing w:after="0"/>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left="520" w:right="3239" w:firstLine="787"/>
        <w:spacing w:after="0" w:line="255" w:lineRule="auto"/>
        <w:rPr>
          <w:sz w:val="20"/>
          <w:szCs w:val="20"/>
          <w:color w:val="auto"/>
        </w:rPr>
      </w:pPr>
      <w:r>
        <w:rPr>
          <w:rFonts w:ascii="Courier New" w:cs="Courier New" w:eastAsia="Courier New" w:hAnsi="Courier New"/>
          <w:sz w:val="14"/>
          <w:szCs w:val="14"/>
          <w:color w:val="auto"/>
        </w:rPr>
        <w:t>The accompanying unaudited pro forma condensed consolidated financial statements present the issuance of USA Waste Common Stock for all issued and outstanding United Common Stock in a merger transaction accounted for as a "pooling of interests"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since their inception.</w:t>
      </w:r>
    </w:p>
    <w:p>
      <w:pPr>
        <w:spacing w:after="0" w:line="165" w:lineRule="exact"/>
        <w:rPr>
          <w:sz w:val="20"/>
          <w:szCs w:val="20"/>
          <w:color w:val="auto"/>
        </w:rPr>
      </w:pPr>
    </w:p>
    <w:p>
      <w:pPr>
        <w:ind w:left="520" w:right="3399" w:firstLine="787"/>
        <w:spacing w:after="0" w:line="236" w:lineRule="auto"/>
        <w:rPr>
          <w:sz w:val="20"/>
          <w:szCs w:val="20"/>
          <w:color w:val="auto"/>
        </w:rPr>
      </w:pPr>
      <w:r>
        <w:rPr>
          <w:rFonts w:ascii="Courier New" w:cs="Courier New" w:eastAsia="Courier New" w:hAnsi="Courier New"/>
          <w:sz w:val="15"/>
          <w:szCs w:val="15"/>
          <w:color w:val="auto"/>
        </w:rPr>
        <w:t>The accompanying unaudited pro forma condensed consolidated balance sheet includes an adjustment for estimated nonrecurring costs directly related to the Merger which are expected to be included in operations of USA Waste within the twelve months succeeding the consummation of the Merger. Such costs are currently estimated to be approximately $50,000,000.</w:t>
      </w:r>
    </w:p>
    <w:p>
      <w:pPr>
        <w:spacing w:after="0" w:line="175" w:lineRule="exact"/>
        <w:rPr>
          <w:sz w:val="20"/>
          <w:szCs w:val="20"/>
          <w:color w:val="auto"/>
        </w:rPr>
      </w:pPr>
    </w:p>
    <w:p>
      <w:pPr>
        <w:ind w:left="520" w:right="3319" w:firstLine="787"/>
        <w:spacing w:after="0" w:line="235"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United to conform to the pro forma presentation. Such reclassifications are not material to the pro forma condensed consolidated financial statements.</w:t>
      </w:r>
    </w:p>
    <w:p>
      <w:pPr>
        <w:spacing w:after="0" w:line="175" w:lineRule="exact"/>
        <w:rPr>
          <w:sz w:val="20"/>
          <w:szCs w:val="20"/>
          <w:color w:val="auto"/>
        </w:rPr>
      </w:pPr>
    </w:p>
    <w:p>
      <w:pPr>
        <w:ind w:left="520" w:right="3319" w:firstLine="787"/>
        <w:spacing w:after="0" w:line="236" w:lineRule="auto"/>
        <w:rPr>
          <w:sz w:val="20"/>
          <w:szCs w:val="20"/>
          <w:color w:val="auto"/>
        </w:rPr>
      </w:pPr>
      <w:r>
        <w:rPr>
          <w:rFonts w:ascii="Courier New" w:cs="Courier New" w:eastAsia="Courier New" w:hAnsi="Courier New"/>
          <w:sz w:val="15"/>
          <w:szCs w:val="15"/>
          <w:color w:val="auto"/>
        </w:rPr>
        <w:t>The pro forma condensed consolidated financial statements are not necessarily indicative of the operating results that would have been achieved had the Merger been consummated as of the beginning of the periods presented and should not be construed as indicative of future operating results.</w:t>
      </w:r>
    </w:p>
    <w:p>
      <w:pPr>
        <w:spacing w:after="0" w:line="167" w:lineRule="exact"/>
        <w:rPr>
          <w:sz w:val="20"/>
          <w:szCs w:val="20"/>
          <w:color w:val="auto"/>
        </w:rPr>
      </w:pPr>
    </w:p>
    <w:p>
      <w:pPr>
        <w:ind w:left="960" w:hanging="443"/>
        <w:spacing w:after="0"/>
        <w:tabs>
          <w:tab w:leader="none" w:pos="9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3" w:lineRule="exact"/>
        <w:rPr>
          <w:sz w:val="20"/>
          <w:szCs w:val="20"/>
          <w:color w:val="auto"/>
        </w:rPr>
      </w:pPr>
    </w:p>
    <w:p>
      <w:pPr>
        <w:ind w:left="960" w:right="3319" w:hanging="443"/>
        <w:spacing w:after="0" w:line="237"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Merger, all outstanding options to purchase United Common Stock were cancelled in exchange for a number of shares of USA Waste Common Stock having a market value equal to the fair value of such options at the time of consummation of the Merger, as determined by an independent third party. This adjustment reflects the assumed issuance of 1,682,396 shares of USA Waste Common Stock to accomplish this exchange. United receives a tax deduction for the fair market value of the shares issued, and the estimated resulting benefit of $27,087,000 (40% of the estimated market value of the shares issued of $67,716,000) is reflected as a reduction in accrued liabilities. The estimated tax benefit realized, net of par value of the stock issued, is reflected as an increase in additional paid-in capital.</w:t>
      </w:r>
    </w:p>
    <w:p>
      <w:pPr>
        <w:spacing w:after="0" w:line="173" w:lineRule="exact"/>
        <w:rPr>
          <w:rFonts w:ascii="Courier New" w:cs="Courier New" w:eastAsia="Courier New" w:hAnsi="Courier New"/>
          <w:sz w:val="15"/>
          <w:szCs w:val="15"/>
          <w:color w:val="auto"/>
        </w:rPr>
      </w:pPr>
    </w:p>
    <w:p>
      <w:pPr>
        <w:ind w:left="960" w:right="3399" w:hanging="443"/>
        <w:spacing w:after="0" w:line="235"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charge to stockholders' equity and an increase in accrued liabilities for the estimated nonrecurring costs of $50,000,000 related to the Merger. Actual nonrecurring costs may vary from such estimates.</w:t>
      </w:r>
    </w:p>
    <w:p>
      <w:pPr>
        <w:spacing w:after="0" w:line="175" w:lineRule="exact"/>
        <w:rPr>
          <w:rFonts w:ascii="Courier New" w:cs="Courier New" w:eastAsia="Courier New" w:hAnsi="Courier New"/>
          <w:sz w:val="15"/>
          <w:szCs w:val="15"/>
          <w:color w:val="auto"/>
        </w:rPr>
      </w:pPr>
    </w:p>
    <w:p>
      <w:pPr>
        <w:ind w:left="960" w:right="3399" w:hanging="443"/>
        <w:spacing w:after="0" w:line="236"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issuance of 47,911,984 shares of USA Waste Common Stock for all issued and outstanding shares of United Common Stock (based on the exchange ratio of 1.075 shares of USA Waste Common Stock for each share of United Common Stock outstanding as of June 30, 1997). The actual number of shares of USA Waste Common Stock to be</w:t>
      </w:r>
    </w:p>
    <w:p>
      <w:pPr>
        <w:sectPr>
          <w:pgSz w:w="11900" w:h="16838" w:orient="portrait"/>
          <w:cols w:equalWidth="0" w:num="1">
            <w:col w:w="9959"/>
          </w:cols>
          <w:pgMar w:left="500" w:top="28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50</w:t>
      </w:r>
    </w:p>
    <w:p>
      <w:pPr>
        <w:spacing w:after="0" w:line="341" w:lineRule="exact"/>
        <w:rPr>
          <w:sz w:val="20"/>
          <w:szCs w:val="20"/>
          <w:color w:val="auto"/>
        </w:rPr>
      </w:pPr>
    </w:p>
    <w:p>
      <w:pPr>
        <w:ind w:left="960" w:right="3499"/>
        <w:spacing w:after="0" w:line="235" w:lineRule="auto"/>
        <w:rPr>
          <w:sz w:val="20"/>
          <w:szCs w:val="20"/>
          <w:color w:val="auto"/>
        </w:rPr>
      </w:pPr>
      <w:r>
        <w:rPr>
          <w:rFonts w:ascii="Courier New" w:cs="Courier New" w:eastAsia="Courier New" w:hAnsi="Courier New"/>
          <w:sz w:val="15"/>
          <w:szCs w:val="15"/>
          <w:color w:val="auto"/>
        </w:rPr>
        <w:t>issued pursuant to the Merger was based on the number of United Common Stock issued and outstanding immediately prior to the consummation of the Merger.</w:t>
      </w:r>
    </w:p>
    <w:p>
      <w:pPr>
        <w:spacing w:after="0" w:line="174" w:lineRule="exact"/>
        <w:rPr>
          <w:sz w:val="20"/>
          <w:szCs w:val="20"/>
          <w:color w:val="auto"/>
        </w:rPr>
      </w:pPr>
    </w:p>
    <w:p>
      <w:pPr>
        <w:ind w:left="960" w:right="3319" w:hanging="443"/>
        <w:spacing w:after="0" w:line="235"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United's depreciation and amortization from operating expenses and general and administrative expenses to a separate line item to conform to the presentation of USA Waste.</w:t>
      </w:r>
    </w:p>
    <w:p>
      <w:pPr>
        <w:spacing w:after="0" w:line="175" w:lineRule="exact"/>
        <w:rPr>
          <w:rFonts w:ascii="Courier New" w:cs="Courier New" w:eastAsia="Courier New" w:hAnsi="Courier New"/>
          <w:sz w:val="15"/>
          <w:szCs w:val="15"/>
          <w:color w:val="auto"/>
        </w:rPr>
      </w:pPr>
    </w:p>
    <w:p>
      <w:pPr>
        <w:ind w:left="960" w:right="3399" w:hanging="443"/>
        <w:spacing w:after="0" w:line="235"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United's merger costs from general and administrative expenses to a separate line item to conform to the presentation of USA Waste.</w:t>
      </w:r>
    </w:p>
    <w:p>
      <w:pPr>
        <w:spacing w:after="0" w:line="173" w:lineRule="exact"/>
        <w:rPr>
          <w:rFonts w:ascii="Courier New" w:cs="Courier New" w:eastAsia="Courier New" w:hAnsi="Courier New"/>
          <w:sz w:val="15"/>
          <w:szCs w:val="15"/>
          <w:color w:val="auto"/>
        </w:rPr>
      </w:pPr>
    </w:p>
    <w:p>
      <w:pPr>
        <w:ind w:left="960" w:right="3319" w:hanging="443"/>
        <w:spacing w:after="0" w:line="235"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United's interest income from other income (expense), net to a separate line item to conform to the presentation of USA Waste.</w:t>
      </w:r>
    </w:p>
    <w:p>
      <w:pPr>
        <w:spacing w:after="0" w:line="173" w:lineRule="exact"/>
        <w:rPr>
          <w:rFonts w:ascii="Courier New" w:cs="Courier New" w:eastAsia="Courier New" w:hAnsi="Courier New"/>
          <w:sz w:val="15"/>
          <w:szCs w:val="15"/>
          <w:color w:val="auto"/>
        </w:rPr>
      </w:pPr>
    </w:p>
    <w:p>
      <w:pPr>
        <w:ind w:left="960" w:right="3399" w:hanging="443"/>
        <w:spacing w:after="0" w:line="254" w:lineRule="auto"/>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common share for each period are based on the combined weighted average number of common and common equivalent shares outstanding, after giving effect to the issuance of 1.075 shares of USA Waste Common Stock for each share on United Common Stock. Earnings per common share for the six months ended</w:t>
      </w:r>
    </w:p>
    <w:p>
      <w:pPr>
        <w:spacing w:after="0" w:line="1" w:lineRule="exact"/>
        <w:rPr>
          <w:rFonts w:ascii="Courier New" w:cs="Courier New" w:eastAsia="Courier New" w:hAnsi="Courier New"/>
          <w:sz w:val="14"/>
          <w:szCs w:val="14"/>
          <w:color w:val="auto"/>
        </w:rPr>
      </w:pPr>
    </w:p>
    <w:p>
      <w:pPr>
        <w:ind w:left="9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June 30, 1997, is computed by dividing net income, after adjusting for the after-tax interest expense of approximately $5,033,000 on the Company's 4% convertible subordinated notes that are considered to be common stock equivalents based upon the yield test at the time of issuance, by the weighted average number of common and dilutive common equivalent shares outstanding for the period. Fully dilutive earnings per common share are considered equal to primary earnings per share for all periods presented because the addition of potentially dilutive securities that are not common stock equivalents would have been either antidilutive or not material.</w:t>
      </w:r>
    </w:p>
    <w:p>
      <w:pPr>
        <w:sectPr>
          <w:pgSz w:w="11900" w:h="16838" w:orient="portrait"/>
          <w:cols w:equalWidth="0" w:num="1">
            <w:col w:w="9959"/>
          </w:cols>
          <w:pgMar w:left="500" w:top="281" w:right="1440"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51</w:t>
      </w:r>
    </w:p>
    <w:p>
      <w:pPr>
        <w:ind w:left="610" w:hanging="610"/>
        <w:spacing w:after="0" w:line="237" w:lineRule="auto"/>
        <w:tabs>
          <w:tab w:leader="none" w:pos="6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rFonts w:ascii="Courier New" w:cs="Courier New" w:eastAsia="Courier New" w:hAnsi="Courier New"/>
          <w:sz w:val="15"/>
          <w:szCs w:val="15"/>
          <w:color w:val="auto"/>
        </w:rPr>
      </w:pPr>
    </w:p>
    <w:p>
      <w:pPr>
        <w:ind w:left="1230" w:right="3499" w:hanging="61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Revolving Credit Agreement, dated August 9, 1997, among USA Waste Services, Inc., Bank of America Illinois, Morgan Guaranty Trust Company and other financial institutions.</w:t>
      </w:r>
    </w:p>
    <w:p>
      <w:pPr>
        <w:spacing w:after="0" w:line="173" w:lineRule="exact"/>
        <w:rPr>
          <w:rFonts w:ascii="Courier New" w:cs="Courier New" w:eastAsia="Courier New" w:hAnsi="Courier New"/>
          <w:sz w:val="15"/>
          <w:szCs w:val="15"/>
          <w:color w:val="auto"/>
        </w:rPr>
      </w:pPr>
    </w:p>
    <w:p>
      <w:pPr>
        <w:ind w:left="1230" w:right="3319" w:hanging="61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 Supplemental Indenture, dated as of August 26, 1997, among United Waste Systems, Inc. and USA Waste Services, Inc. and Bankers Trust Company relating to United Waste Systems, Inc.'s 4 1/2% Convertible Subordinated Notes due June 1, 2001.</w:t>
      </w:r>
    </w:p>
    <w:p>
      <w:pPr>
        <w:spacing w:after="0" w:line="168"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   Consent of Ernst &amp; Young LLP.</w:t>
      </w:r>
    </w:p>
    <w:p>
      <w:pPr>
        <w:sectPr>
          <w:pgSz w:w="11900" w:h="16838" w:orient="portrait"/>
          <w:cols w:equalWidth="0" w:num="1">
            <w:col w:w="10229"/>
          </w:cols>
          <w:pgMar w:left="23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52</w:t>
      </w:r>
    </w:p>
    <w:p>
      <w:pPr>
        <w:ind w:left="30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GREGORY T. SANGALIS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Gregory T. Sangalis</w:t>
      </w:r>
    </w:p>
    <w:p>
      <w:pPr>
        <w:ind w:left="3780"/>
        <w:spacing w:after="0" w:line="237" w:lineRule="auto"/>
        <w:rPr>
          <w:sz w:val="20"/>
          <w:szCs w:val="20"/>
          <w:color w:val="auto"/>
        </w:rPr>
      </w:pPr>
      <w:r>
        <w:rPr>
          <w:rFonts w:ascii="Courier New" w:cs="Courier New" w:eastAsia="Courier New" w:hAnsi="Courier New"/>
          <w:sz w:val="15"/>
          <w:szCs w:val="15"/>
          <w:color w:val="auto"/>
        </w:rPr>
        <w:t>Vice President, General Counsel</w:t>
      </w:r>
    </w:p>
    <w:p>
      <w:pPr>
        <w:ind w:left="3780"/>
        <w:spacing w:after="0" w:line="238" w:lineRule="auto"/>
        <w:rPr>
          <w:sz w:val="20"/>
          <w:szCs w:val="20"/>
          <w:color w:val="auto"/>
        </w:rPr>
      </w:pPr>
      <w:r>
        <w:rPr>
          <w:rFonts w:ascii="Courier New" w:cs="Courier New" w:eastAsia="Courier New" w:hAnsi="Courier New"/>
          <w:sz w:val="15"/>
          <w:szCs w:val="15"/>
          <w:color w:val="auto"/>
        </w:rPr>
        <w:t>&amp;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 1997</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53</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20" w:right="33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10.1</w:t>
        <w:tab/>
        <w:t>Revolving Credit Agreement, dated as of August 9, 1997, among USA Waste Services, Inc., Bank of America Illinois, Morgan Guaranty Trust Company and other financial institutions.</w:t>
      </w:r>
    </w:p>
    <w:p>
      <w:pPr>
        <w:spacing w:after="0" w:line="174" w:lineRule="exact"/>
        <w:rPr>
          <w:sz w:val="20"/>
          <w:szCs w:val="20"/>
          <w:color w:val="auto"/>
        </w:rPr>
      </w:pPr>
    </w:p>
    <w:p>
      <w:pPr>
        <w:ind w:left="620" w:right="3399" w:hanging="611"/>
        <w:spacing w:after="0" w:line="235" w:lineRule="auto"/>
        <w:tabs>
          <w:tab w:leader="none" w:pos="600" w:val="left"/>
        </w:tabs>
        <w:rPr>
          <w:sz w:val="20"/>
          <w:szCs w:val="20"/>
          <w:color w:val="auto"/>
        </w:rPr>
      </w:pPr>
      <w:r>
        <w:rPr>
          <w:rFonts w:ascii="Courier New" w:cs="Courier New" w:eastAsia="Courier New" w:hAnsi="Courier New"/>
          <w:sz w:val="15"/>
          <w:szCs w:val="15"/>
          <w:color w:val="auto"/>
        </w:rPr>
        <w:t>10.2</w:t>
        <w:tab/>
        <w:t>Supplemental Indenture, dated as of August 26, 1997, among United Waste Systems, Inc. and USA Waste Services, Inc. and Bankers Trust Company relating to United Waste System, Inc.'s 4 1/2% Convertible Subordinated Notes due June 1, 2001.</w:t>
      </w:r>
    </w:p>
    <w:p>
      <w:pPr>
        <w:spacing w:after="0" w:line="1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w:t>
      </w:r>
    </w:p>
    <w:p>
      <w:pPr>
        <w:sectPr>
          <w:pgSz w:w="11900" w:h="16838" w:orient="portrait"/>
          <w:cols w:equalWidth="0" w:num="1">
            <w:col w:w="10239"/>
          </w:cols>
          <w:pgMar w:left="220" w:top="28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30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AMENDED AND RESTATED REVOLVING CREDIT AGREEMENT</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dated as of August 7, 1997</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"Borrower")</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THE GUARANTORS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jc w:val="center"/>
        <w:ind w:right="3579"/>
        <w:spacing w:after="0" w:line="237" w:lineRule="auto"/>
        <w:rPr>
          <w:sz w:val="20"/>
          <w:szCs w:val="20"/>
          <w:color w:val="auto"/>
        </w:rPr>
      </w:pPr>
      <w:r>
        <w:rPr>
          <w:rFonts w:ascii="Courier New" w:cs="Courier New" w:eastAsia="Courier New" w:hAnsi="Courier New"/>
          <w:sz w:val="15"/>
          <w:szCs w:val="15"/>
          <w:color w:val="auto"/>
        </w:rPr>
        <w:t>("BOA")</w:t>
      </w:r>
    </w:p>
    <w:p>
      <w:pPr>
        <w:jc w:val="center"/>
        <w:ind w:right="3579"/>
        <w:spacing w:after="0" w:line="238" w:lineRule="auto"/>
        <w:rPr>
          <w:sz w:val="20"/>
          <w:szCs w:val="20"/>
          <w:color w:val="auto"/>
        </w:rPr>
      </w:pPr>
      <w:r>
        <w:rPr>
          <w:rFonts w:ascii="Courier New" w:cs="Courier New" w:eastAsia="Courier New" w:hAnsi="Courier New"/>
          <w:sz w:val="15"/>
          <w:szCs w:val="15"/>
          <w:color w:val="auto"/>
        </w:rPr>
        <w:t>MORGAN GUARANTY TRUST COMPANY OF NEW YORK</w:t>
      </w:r>
    </w:p>
    <w:p>
      <w:pPr>
        <w:jc w:val="center"/>
        <w:ind w:right="3579"/>
        <w:spacing w:after="0" w:line="237" w:lineRule="auto"/>
        <w:rPr>
          <w:sz w:val="20"/>
          <w:szCs w:val="20"/>
          <w:color w:val="auto"/>
        </w:rPr>
      </w:pPr>
      <w:r>
        <w:rPr>
          <w:rFonts w:ascii="Courier New" w:cs="Courier New" w:eastAsia="Courier New" w:hAnsi="Courier New"/>
          <w:sz w:val="15"/>
          <w:szCs w:val="15"/>
          <w:color w:val="auto"/>
        </w:rPr>
        <w:t>("MGT")</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 THE OTHER FINANCIAL INSTITUTIONS WHICH BECOME</w:t>
      </w:r>
    </w:p>
    <w:p>
      <w:pPr>
        <w:jc w:val="center"/>
        <w:ind w:right="3579"/>
        <w:spacing w:after="0" w:line="237" w:lineRule="auto"/>
        <w:rPr>
          <w:sz w:val="20"/>
          <w:szCs w:val="20"/>
          <w:color w:val="auto"/>
        </w:rPr>
      </w:pPr>
      <w:r>
        <w:rPr>
          <w:rFonts w:ascii="Courier New" w:cs="Courier New" w:eastAsia="Courier New" w:hAnsi="Courier New"/>
          <w:sz w:val="15"/>
          <w:szCs w:val="15"/>
          <w:color w:val="auto"/>
        </w:rPr>
        <w:t>A PARTY TO THIS AGREEMENT</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(Collectively, the "Banks")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MGT AS ADMINISTRATIVE AGENT AND DOCUMENTATION AGENT</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"Administrative Agent")</w:t>
      </w:r>
    </w:p>
    <w:p>
      <w:pPr>
        <w:sectPr>
          <w:pgSz w:w="11900" w:h="16838" w:orient="portrait"/>
          <w:cols w:equalWidth="0" w:num="1">
            <w:col w:w="9959"/>
          </w:cols>
          <w:pgMar w:left="500" w:top="135"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2</w:t>
      </w:r>
    </w:p>
    <w:p>
      <w:pPr>
        <w:ind w:left="2720"/>
        <w:spacing w:after="0" w:line="237"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0" w:lineRule="exact"/>
        <w:rPr>
          <w:sz w:val="20"/>
          <w:szCs w:val="20"/>
          <w:color w:val="auto"/>
        </w:rPr>
      </w:pPr>
    </w:p>
    <w:p>
      <w:pPr>
        <w:jc w:val="both"/>
        <w:ind w:left="1060" w:hanging="1136"/>
        <w:spacing w:after="0" w:line="254" w:lineRule="auto"/>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 . . . . . . . . . . . . . . . . . . . . . . . . . . . . . . . . . . 1 Section 1.1. Definitions. . . . . . . . . . . . . . . . . . . . . . . . . . . . . . . . . . . . . . . . 1 Section 1.2. Rules of Interpretation. . . . . . . . . . . . . . . . . . . . . . . . . . . . . . . . . 17</w:t>
      </w:r>
    </w:p>
    <w:p>
      <w:pPr>
        <w:spacing w:after="0" w:line="1" w:lineRule="exact"/>
        <w:rPr>
          <w:sz w:val="20"/>
          <w:szCs w:val="20"/>
          <w:color w:val="auto"/>
        </w:rPr>
      </w:pPr>
    </w:p>
    <w:p>
      <w:pPr>
        <w:jc w:val="both"/>
        <w:ind w:left="1060" w:hanging="1136"/>
        <w:spacing w:after="0" w:line="254" w:lineRule="auto"/>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 . . . . . . . . . . . . . . . . . . . . . . . . . . . . . . . . . . . . . . . . . . 17 Section 2.1. Commitment to Lend. . . . . . . . . . . . . . . . . . . . . . . . . . . . . . . . . . . . 17 Section 2.2. Facility Fee; Utilization Fee. . . . . . . . . . . . . . . . . . . . . . . . . . . . . . 18 Section 2.3. Reduction of Total Commitment. . . . . . . . . . . . . . . . . . . . . . . . . . . . . . 19</w:t>
      </w:r>
    </w:p>
    <w:p>
      <w:pPr>
        <w:jc w:val="right"/>
        <w:spacing w:after="0" w:line="232" w:lineRule="auto"/>
        <w:tabs>
          <w:tab w:leader="none" w:pos="8200" w:val="left"/>
          <w:tab w:leader="none" w:pos="6020" w:val="left"/>
          <w:tab w:leader="none" w:pos="160" w:val="left"/>
        </w:tabs>
        <w:rPr>
          <w:sz w:val="20"/>
          <w:szCs w:val="20"/>
          <w:color w:val="auto"/>
        </w:rPr>
      </w:pPr>
      <w:r>
        <w:rPr>
          <w:rFonts w:ascii="Courier New" w:cs="Courier New" w:eastAsia="Courier New" w:hAnsi="Courier New"/>
          <w:sz w:val="15"/>
          <w:szCs w:val="15"/>
          <w:color w:val="auto"/>
        </w:rPr>
        <w:t>Section 2.4.</w:t>
        <w:tab/>
        <w:t>The Syndicated Notes.</w:t>
      </w:r>
      <w:r>
        <w:rPr>
          <w:sz w:val="20"/>
          <w:szCs w:val="20"/>
          <w:color w:val="auto"/>
        </w:rPr>
        <w:tab/>
      </w:r>
      <w:r>
        <w:rPr>
          <w:rFonts w:ascii="Courier New" w:cs="Courier New" w:eastAsia="Courier New" w:hAnsi="Courier New"/>
          <w:sz w:val="15"/>
          <w:szCs w:val="15"/>
          <w:color w:val="auto"/>
        </w:rPr>
        <w:t>. . . . . . . . . . . . . . . . . . . . . . . . . . . . . . . . .</w:t>
        <w:tab/>
        <w:t>19</w:t>
      </w:r>
    </w:p>
    <w:p>
      <w:pPr>
        <w:spacing w:after="0" w:line="5" w:lineRule="exact"/>
        <w:rPr>
          <w:sz w:val="20"/>
          <w:szCs w:val="20"/>
          <w:color w:val="auto"/>
        </w:rPr>
      </w:pPr>
    </w:p>
    <w:p>
      <w:pPr>
        <w:ind w:left="1140"/>
        <w:spacing w:after="0" w:line="234" w:lineRule="auto"/>
        <w:rPr>
          <w:sz w:val="20"/>
          <w:szCs w:val="20"/>
          <w:color w:val="auto"/>
        </w:rPr>
      </w:pPr>
      <w:r>
        <w:rPr>
          <w:rFonts w:ascii="Courier New" w:cs="Courier New" w:eastAsia="Courier New" w:hAnsi="Courier New"/>
          <w:sz w:val="15"/>
          <w:szCs w:val="15"/>
          <w:color w:val="auto"/>
        </w:rPr>
        <w:t>Section 2.5. Interest on Loans. . . . . . . . . . . . . . . . . . . . . . . . . . . . . . . . . . . 20 Section 2.6. Requests for Syndicated Loans. . . . . . . . . . . . . . . . . . . . . . . . . . . . . . 20</w:t>
      </w:r>
    </w:p>
    <w:p>
      <w:pPr>
        <w:jc w:val="right"/>
        <w:spacing w:after="0" w:line="237" w:lineRule="auto"/>
        <w:tabs>
          <w:tab w:leader="none" w:pos="8200" w:val="left"/>
          <w:tab w:leader="none" w:pos="600" w:val="left"/>
          <w:tab w:leader="none" w:pos="160" w:val="left"/>
        </w:tabs>
        <w:rPr>
          <w:sz w:val="20"/>
          <w:szCs w:val="20"/>
          <w:color w:val="auto"/>
        </w:rPr>
      </w:pPr>
      <w:r>
        <w:rPr>
          <w:rFonts w:ascii="Courier New" w:cs="Courier New" w:eastAsia="Courier New" w:hAnsi="Courier New"/>
          <w:sz w:val="15"/>
          <w:szCs w:val="15"/>
          <w:color w:val="auto"/>
        </w:rPr>
        <w:t>Section 2.7.</w:t>
        <w:tab/>
        <w:t>Election of Eurodollar Rate; Notice of Election; Interest Periods; Minimum Amounts.</w:t>
      </w:r>
      <w:r>
        <w:rPr>
          <w:sz w:val="20"/>
          <w:szCs w:val="20"/>
          <w:color w:val="auto"/>
        </w:rPr>
        <w:tab/>
      </w:r>
      <w:r>
        <w:rPr>
          <w:rFonts w:ascii="Courier New" w:cs="Courier New" w:eastAsia="Courier New" w:hAnsi="Courier New"/>
          <w:sz w:val="15"/>
          <w:szCs w:val="15"/>
          <w:color w:val="auto"/>
        </w:rPr>
        <w:t>. .</w:t>
        <w:tab/>
        <w:t>21</w:t>
      </w:r>
    </w:p>
    <w:p>
      <w:pPr>
        <w:spacing w:after="0" w:line="5" w:lineRule="exact"/>
        <w:rPr>
          <w:sz w:val="20"/>
          <w:szCs w:val="20"/>
          <w:color w:val="auto"/>
        </w:rPr>
      </w:pPr>
    </w:p>
    <w:p>
      <w:pPr>
        <w:ind w:left="1140"/>
        <w:spacing w:after="0" w:line="234" w:lineRule="auto"/>
        <w:rPr>
          <w:sz w:val="20"/>
          <w:szCs w:val="20"/>
          <w:color w:val="auto"/>
        </w:rPr>
      </w:pPr>
      <w:r>
        <w:rPr>
          <w:rFonts w:ascii="Courier New" w:cs="Courier New" w:eastAsia="Courier New" w:hAnsi="Courier New"/>
          <w:sz w:val="15"/>
          <w:szCs w:val="15"/>
          <w:color w:val="auto"/>
        </w:rPr>
        <w:t>Section 2.8. Funds for Syndicated Loans. . . . . . . . . . . . . . . . . . . . . . . . . . . . . . . 22 Section 2.9. Maturity of the Loans and Reimbursement Obligations. . . . . . . . . . . . . . . . . . . 23</w:t>
      </w:r>
    </w:p>
    <w:p>
      <w:pPr>
        <w:spacing w:after="0" w:line="5" w:lineRule="exact"/>
        <w:rPr>
          <w:sz w:val="20"/>
          <w:szCs w:val="20"/>
          <w:color w:val="auto"/>
        </w:rPr>
      </w:pPr>
    </w:p>
    <w:p>
      <w:pPr>
        <w:jc w:val="right"/>
        <w:spacing w:after="0" w:line="235" w:lineRule="auto"/>
        <w:rPr>
          <w:sz w:val="20"/>
          <w:szCs w:val="20"/>
          <w:color w:val="auto"/>
        </w:rPr>
      </w:pPr>
      <w:r>
        <w:rPr>
          <w:rFonts w:ascii="Courier New" w:cs="Courier New" w:eastAsia="Courier New" w:hAnsi="Courier New"/>
          <w:sz w:val="15"/>
          <w:szCs w:val="15"/>
          <w:color w:val="auto"/>
        </w:rPr>
        <w:t>Section 2.10.  Optional Prepayments or Repayments of Loans.    . . . . . . . . . . . . . . . . . . . . .  23 Section 2.11.  Swing Line Loans; Settlements.  . . . . . . . . . . . . . . . . . . . . . . . . . . . . .  23 Section 3.  LETTERS OF CREDIT.  . . . . . . . . . . . . . . . . . . . . . . . . . . . . . . . . . . . . . . . . . . .  25 Section 3.1.  Letter of Credit Commitments.  . . . . . . . . . . . . . . . . . . . . . . . . . . . . . .  25</w:t>
      </w:r>
    </w:p>
    <w:p>
      <w:pPr>
        <w:spacing w:after="0" w:line="1" w:lineRule="exact"/>
        <w:rPr>
          <w:sz w:val="20"/>
          <w:szCs w:val="20"/>
          <w:color w:val="auto"/>
        </w:rPr>
      </w:pPr>
    </w:p>
    <w:p>
      <w:pPr>
        <w:jc w:val="right"/>
        <w:spacing w:after="0"/>
        <w:tabs>
          <w:tab w:leader="none" w:pos="8200" w:val="left"/>
          <w:tab w:leader="none" w:pos="4280" w:val="left"/>
          <w:tab w:leader="none" w:pos="160" w:val="left"/>
        </w:tabs>
        <w:rPr>
          <w:sz w:val="20"/>
          <w:szCs w:val="20"/>
          <w:color w:val="auto"/>
        </w:rPr>
      </w:pPr>
      <w:r>
        <w:rPr>
          <w:rFonts w:ascii="Courier New" w:cs="Courier New" w:eastAsia="Courier New" w:hAnsi="Courier New"/>
          <w:sz w:val="15"/>
          <w:szCs w:val="15"/>
          <w:color w:val="auto"/>
        </w:rPr>
        <w:t>Section 3.2.</w:t>
        <w:tab/>
        <w:t>Reimbursement Obligation of the Borrower.</w:t>
      </w:r>
      <w:r>
        <w:rPr>
          <w:sz w:val="20"/>
          <w:szCs w:val="20"/>
          <w:color w:val="auto"/>
        </w:rPr>
        <w:tab/>
      </w:r>
      <w:r>
        <w:rPr>
          <w:rFonts w:ascii="Courier New" w:cs="Courier New" w:eastAsia="Courier New" w:hAnsi="Courier New"/>
          <w:sz w:val="15"/>
          <w:szCs w:val="15"/>
          <w:color w:val="auto"/>
        </w:rPr>
        <w:t>. . . . . . . . . . . . . . . . . . . . . . .</w:t>
        <w:tab/>
        <w:t>26</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3.3. Obligations Absolute. . . . . . . . . . . . . . . . . . . . . . . . . . . . . . . . . . 27 Section 3.4. Reliance by the Issuing Banks. . . . . . . . . . . . . . . . . . . . . . . . . . . . . . 27</w:t>
      </w:r>
    </w:p>
    <w:p>
      <w:pPr>
        <w:jc w:val="right"/>
        <w:spacing w:after="0" w:line="237" w:lineRule="auto"/>
        <w:tabs>
          <w:tab w:leader="none" w:pos="8200" w:val="left"/>
          <w:tab w:leader="none" w:pos="4800" w:val="left"/>
          <w:tab w:leader="none" w:pos="160" w:val="left"/>
        </w:tabs>
        <w:rPr>
          <w:sz w:val="20"/>
          <w:szCs w:val="20"/>
          <w:color w:val="auto"/>
        </w:rPr>
      </w:pPr>
      <w:r>
        <w:rPr>
          <w:rFonts w:ascii="Courier New" w:cs="Courier New" w:eastAsia="Courier New" w:hAnsi="Courier New"/>
          <w:sz w:val="15"/>
          <w:szCs w:val="15"/>
          <w:color w:val="auto"/>
        </w:rPr>
        <w:t>Section 3.5.</w:t>
        <w:tab/>
        <w:t>Notice Regarding Letters of Credit.</w:t>
      </w:r>
      <w:r>
        <w:rPr>
          <w:sz w:val="20"/>
          <w:szCs w:val="20"/>
          <w:color w:val="auto"/>
        </w:rPr>
        <w:tab/>
      </w:r>
      <w:r>
        <w:rPr>
          <w:rFonts w:ascii="Courier New" w:cs="Courier New" w:eastAsia="Courier New" w:hAnsi="Courier New"/>
          <w:sz w:val="15"/>
          <w:szCs w:val="15"/>
          <w:color w:val="auto"/>
        </w:rPr>
        <w:t>. . . . . . . . . . . . . . . . . . . . . . . . . .</w:t>
        <w:tab/>
        <w:t>28</w:t>
      </w:r>
    </w:p>
    <w:p>
      <w:pPr>
        <w:spacing w:after="0" w:line="5" w:lineRule="exact"/>
        <w:rPr>
          <w:sz w:val="20"/>
          <w:szCs w:val="20"/>
          <w:color w:val="auto"/>
        </w:rPr>
      </w:pPr>
    </w:p>
    <w:p>
      <w:pPr>
        <w:ind w:firstLine="1137"/>
        <w:spacing w:after="0" w:line="254" w:lineRule="auto"/>
        <w:rPr>
          <w:sz w:val="20"/>
          <w:szCs w:val="20"/>
          <w:color w:val="auto"/>
        </w:rPr>
      </w:pPr>
      <w:r>
        <w:rPr>
          <w:rFonts w:ascii="Courier New" w:cs="Courier New" w:eastAsia="Courier New" w:hAnsi="Courier New"/>
          <w:sz w:val="14"/>
          <w:szCs w:val="14"/>
          <w:color w:val="auto"/>
        </w:rPr>
        <w:t>Section 3.6. Letter of Credit Fee. . . . . . . . . . . . . . . . . . . . . . . . . . . . . . . . . . 28 Section 4. COMPETITIVE BID LOANS. . . . . . . . . . . . . . . . . . . . . . . . . . . . . . . . . . . . . . . . . . 28</w:t>
      </w:r>
    </w:p>
    <w:p>
      <w:pPr>
        <w:jc w:val="right"/>
        <w:spacing w:after="0" w:line="231" w:lineRule="auto"/>
        <w:tabs>
          <w:tab w:leader="none" w:pos="8200" w:val="left"/>
          <w:tab w:leader="none" w:pos="5500" w:val="left"/>
          <w:tab w:leader="none" w:pos="160" w:val="left"/>
        </w:tabs>
        <w:rPr>
          <w:sz w:val="20"/>
          <w:szCs w:val="20"/>
          <w:color w:val="auto"/>
        </w:rPr>
      </w:pPr>
      <w:r>
        <w:rPr>
          <w:rFonts w:ascii="Courier New" w:cs="Courier New" w:eastAsia="Courier New" w:hAnsi="Courier New"/>
          <w:sz w:val="15"/>
          <w:szCs w:val="15"/>
          <w:color w:val="auto"/>
        </w:rPr>
        <w:t>Section 4.1.</w:t>
        <w:tab/>
        <w:t>The Competitive Bid Option.</w:t>
      </w:r>
      <w:r>
        <w:rPr>
          <w:sz w:val="20"/>
          <w:szCs w:val="20"/>
          <w:color w:val="auto"/>
        </w:rPr>
        <w:tab/>
      </w:r>
      <w:r>
        <w:rPr>
          <w:rFonts w:ascii="Courier New" w:cs="Courier New" w:eastAsia="Courier New" w:hAnsi="Courier New"/>
          <w:sz w:val="15"/>
          <w:szCs w:val="15"/>
          <w:color w:val="auto"/>
        </w:rPr>
        <w:t>. . . . . . . . . . . . . . . . . . . . . . . . . . . . . .</w:t>
        <w:tab/>
        <w:t>28</w:t>
      </w:r>
    </w:p>
    <w:p>
      <w:pPr>
        <w:jc w:val="right"/>
        <w:spacing w:after="0" w:line="238" w:lineRule="auto"/>
        <w:tabs>
          <w:tab w:leader="none" w:pos="8200" w:val="left"/>
          <w:tab w:leader="none" w:pos="3220" w:val="left"/>
          <w:tab w:leader="none" w:pos="160" w:val="left"/>
        </w:tabs>
        <w:rPr>
          <w:sz w:val="20"/>
          <w:szCs w:val="20"/>
          <w:color w:val="auto"/>
        </w:rPr>
      </w:pPr>
      <w:r>
        <w:rPr>
          <w:rFonts w:ascii="Courier New" w:cs="Courier New" w:eastAsia="Courier New" w:hAnsi="Courier New"/>
          <w:sz w:val="15"/>
          <w:szCs w:val="15"/>
          <w:color w:val="auto"/>
        </w:rPr>
        <w:t>Section 4.2.</w:t>
        <w:tab/>
        <w:t>Competitive Bid Loan Accounts: Competitive Bid Notes.</w:t>
      </w:r>
      <w:r>
        <w:rPr>
          <w:sz w:val="20"/>
          <w:szCs w:val="20"/>
          <w:color w:val="auto"/>
        </w:rPr>
        <w:tab/>
      </w:r>
      <w:r>
        <w:rPr>
          <w:rFonts w:ascii="Courier New" w:cs="Courier New" w:eastAsia="Courier New" w:hAnsi="Courier New"/>
          <w:sz w:val="15"/>
          <w:szCs w:val="15"/>
          <w:color w:val="auto"/>
        </w:rPr>
        <w:t>. . . . . . . . . . . . . . . . .</w:t>
        <w:tab/>
        <w:t>28</w:t>
      </w:r>
    </w:p>
    <w:p>
      <w:pPr>
        <w:spacing w:after="0" w:line="5" w:lineRule="exact"/>
        <w:rPr>
          <w:sz w:val="20"/>
          <w:szCs w:val="20"/>
          <w:color w:val="auto"/>
        </w:rPr>
      </w:pPr>
    </w:p>
    <w:p>
      <w:pPr>
        <w:jc w:val="both"/>
        <w:ind w:left="1140"/>
        <w:spacing w:after="0" w:line="235"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 . . . . . . . . . 29 Section 4.4. Alternative Manner of Procedure. . . . . . . . . . . . . . . . . . . . . . . . . . . . . 30 Section 4.5. Submission and Contents of Competitive Bid Quotes. . . . . . . . . . . . . . . . . . . . 31</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4.6. Notice to Borrower. . . . . . . . . . . . . . . . . . . . . . . . . . . . . . . . . . . 32 Section 4.7. Acceptance and Notice by Borrower and Administrative Agent. . . . . . . . . . . . . . . . 32</w:t>
      </w:r>
    </w:p>
    <w:p>
      <w:pPr>
        <w:jc w:val="right"/>
        <w:spacing w:after="0" w:line="237" w:lineRule="auto"/>
        <w:tabs>
          <w:tab w:leader="none" w:pos="8200" w:val="left"/>
          <w:tab w:leader="none" w:pos="4800" w:val="left"/>
          <w:tab w:leader="none" w:pos="160" w:val="left"/>
        </w:tabs>
        <w:rPr>
          <w:sz w:val="20"/>
          <w:szCs w:val="20"/>
          <w:color w:val="auto"/>
        </w:rPr>
      </w:pPr>
      <w:r>
        <w:rPr>
          <w:rFonts w:ascii="Courier New" w:cs="Courier New" w:eastAsia="Courier New" w:hAnsi="Courier New"/>
          <w:sz w:val="15"/>
          <w:szCs w:val="15"/>
          <w:color w:val="auto"/>
        </w:rPr>
        <w:t>Section 4.8.</w:t>
        <w:tab/>
        <w:t>Allocation by Administrative Agent.</w:t>
      </w:r>
      <w:r>
        <w:rPr>
          <w:sz w:val="20"/>
          <w:szCs w:val="20"/>
          <w:color w:val="auto"/>
        </w:rPr>
        <w:tab/>
      </w:r>
      <w:r>
        <w:rPr>
          <w:rFonts w:ascii="Courier New" w:cs="Courier New" w:eastAsia="Courier New" w:hAnsi="Courier New"/>
          <w:sz w:val="15"/>
          <w:szCs w:val="15"/>
          <w:color w:val="auto"/>
        </w:rPr>
        <w:t>. . . . . . . . . . . . . . . . . . . . . . . . . .</w:t>
        <w:tab/>
        <w:t>33</w:t>
      </w:r>
    </w:p>
    <w:p>
      <w:pPr>
        <w:spacing w:after="0" w:line="5" w:lineRule="exact"/>
        <w:rPr>
          <w:sz w:val="20"/>
          <w:szCs w:val="20"/>
          <w:color w:val="auto"/>
        </w:rPr>
      </w:pPr>
    </w:p>
    <w:p>
      <w:pPr>
        <w:jc w:val="both"/>
        <w:ind w:left="1140"/>
        <w:spacing w:after="0" w:line="235" w:lineRule="auto"/>
        <w:rPr>
          <w:sz w:val="20"/>
          <w:szCs w:val="20"/>
          <w:color w:val="auto"/>
        </w:rPr>
      </w:pPr>
      <w:r>
        <w:rPr>
          <w:rFonts w:ascii="Courier New" w:cs="Courier New" w:eastAsia="Courier New" w:hAnsi="Courier New"/>
          <w:sz w:val="15"/>
          <w:szCs w:val="15"/>
          <w:color w:val="auto"/>
        </w:rPr>
        <w:t>Section 4.9. Funding of Competitive Bid Loans. . . . . . . . . . . . . . . . . . . . . . . . . . . . 33 Section 4.10. Funding Losses. . . . . . . . . . . . . . . . . . . . . . . . . . . . . . . . . . . . . 34 Section 4.11. Repayment of Competitive Bid Loans; Interest. . . . . . . . . . . . . . . . . . . . . . 34</w:t>
      </w:r>
    </w:p>
    <w:p>
      <w:pPr>
        <w:spacing w:after="0" w:line="5" w:lineRule="exact"/>
        <w:rPr>
          <w:sz w:val="20"/>
          <w:szCs w:val="20"/>
          <w:color w:val="auto"/>
        </w:rPr>
      </w:pPr>
    </w:p>
    <w:p>
      <w:pPr>
        <w:jc w:val="both"/>
        <w:ind w:left="1060" w:hanging="1136"/>
        <w:spacing w:after="0" w:line="254" w:lineRule="auto"/>
        <w:tabs>
          <w:tab w:leader="none" w:pos="10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Provisions Relating to All Loans and Letters of Credit. . . . . . . . . . . . . . . . . . . . . . . . . . 34 Section 5.1. Payments. . . . . . . . . . . . . . . . . . . . . . . . . . . . . . . . . . . . . . . . . 34 Section 5.2. Mandatory Repayments of the Loans. . . . . . . . . . . . . . . . . . . . . . . . . . . . 36</w:t>
      </w:r>
    </w:p>
    <w:p>
      <w:pPr>
        <w:jc w:val="right"/>
        <w:spacing w:after="0" w:line="232" w:lineRule="auto"/>
        <w:tabs>
          <w:tab w:leader="none" w:pos="8200" w:val="left"/>
          <w:tab w:leader="none" w:pos="6720" w:val="left"/>
          <w:tab w:leader="none" w:pos="160" w:val="left"/>
        </w:tabs>
        <w:rPr>
          <w:sz w:val="20"/>
          <w:szCs w:val="20"/>
          <w:color w:val="auto"/>
        </w:rPr>
      </w:pPr>
      <w:r>
        <w:rPr>
          <w:rFonts w:ascii="Courier New" w:cs="Courier New" w:eastAsia="Courier New" w:hAnsi="Courier New"/>
          <w:sz w:val="15"/>
          <w:szCs w:val="15"/>
          <w:color w:val="auto"/>
        </w:rPr>
        <w:t>Section 5.3.</w:t>
        <w:tab/>
        <w:t>Computations.</w:t>
      </w:r>
      <w:r>
        <w:rPr>
          <w:sz w:val="20"/>
          <w:szCs w:val="20"/>
          <w:color w:val="auto"/>
        </w:rPr>
        <w:tab/>
      </w:r>
      <w:r>
        <w:rPr>
          <w:rFonts w:ascii="Courier New" w:cs="Courier New" w:eastAsia="Courier New" w:hAnsi="Courier New"/>
          <w:sz w:val="15"/>
          <w:szCs w:val="15"/>
          <w:color w:val="auto"/>
        </w:rPr>
        <w:t>. . . . . . . . . . . . . . . . . . . . . . . . . . . . . . . . . . . . .</w:t>
        <w:tab/>
        <w:t>37</w:t>
      </w:r>
    </w:p>
    <w:p>
      <w:pPr>
        <w:spacing w:after="0" w:line="5" w:lineRule="exact"/>
        <w:rPr>
          <w:sz w:val="20"/>
          <w:szCs w:val="20"/>
          <w:color w:val="auto"/>
        </w:rPr>
      </w:pPr>
    </w:p>
    <w:p>
      <w:pPr>
        <w:ind w:left="1140"/>
        <w:spacing w:after="0" w:line="234" w:lineRule="auto"/>
        <w:rPr>
          <w:sz w:val="20"/>
          <w:szCs w:val="20"/>
          <w:color w:val="auto"/>
        </w:rPr>
      </w:pPr>
      <w:r>
        <w:rPr>
          <w:rFonts w:ascii="Courier New" w:cs="Courier New" w:eastAsia="Courier New" w:hAnsi="Courier New"/>
          <w:sz w:val="15"/>
          <w:szCs w:val="15"/>
          <w:color w:val="auto"/>
        </w:rPr>
        <w:t>Section 5.4. Illegality; Inability to Determine Eurodollar Rate. . . . . . . . . . . . . . . . . . . 37 Section 5.5. Additional Costs, Etc. . . . . . . . . . . . . . . . . . . . . . . . . . . . . . . . . . 38</w:t>
      </w:r>
    </w:p>
    <w:p>
      <w:pPr>
        <w:sectPr>
          <w:pgSz w:w="11900" w:h="16838" w:orient="portrait"/>
          <w:cols w:equalWidth="0" w:num="1">
            <w:col w:w="10600"/>
          </w:cols>
          <w:pgMar w:left="220" w:top="281" w:right="107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8200" w:val="left"/>
          <w:tab w:leader="none" w:pos="6380" w:val="left"/>
          <w:tab w:leader="none" w:pos="160" w:val="left"/>
        </w:tabs>
        <w:rPr>
          <w:sz w:val="20"/>
          <w:szCs w:val="20"/>
          <w:color w:val="auto"/>
        </w:rPr>
      </w:pPr>
      <w:r>
        <w:rPr>
          <w:rFonts w:ascii="Courier New" w:cs="Courier New" w:eastAsia="Courier New" w:hAnsi="Courier New"/>
          <w:sz w:val="15"/>
          <w:szCs w:val="15"/>
          <w:color w:val="auto"/>
        </w:rPr>
        <w:t>Section 5.6.</w:t>
        <w:tab/>
        <w:t>Capital Adequacy.</w:t>
      </w:r>
      <w:r>
        <w:rPr>
          <w:sz w:val="20"/>
          <w:szCs w:val="20"/>
          <w:color w:val="auto"/>
        </w:rPr>
        <w:tab/>
      </w:r>
      <w:r>
        <w:rPr>
          <w:rFonts w:ascii="Courier New" w:cs="Courier New" w:eastAsia="Courier New" w:hAnsi="Courier New"/>
          <w:sz w:val="15"/>
          <w:szCs w:val="15"/>
          <w:color w:val="auto"/>
        </w:rPr>
        <w:t>. . . . . . . . . . . . . . . . . . . . . . . . . . . . . . . . . . .</w:t>
        <w:tab/>
        <w:t>39</w:t>
      </w:r>
    </w:p>
    <w:p>
      <w:pPr>
        <w:jc w:val="right"/>
        <w:spacing w:after="0" w:line="237" w:lineRule="auto"/>
        <w:tabs>
          <w:tab w:leader="none" w:pos="8200" w:val="left"/>
          <w:tab w:leader="none" w:pos="6720" w:val="left"/>
          <w:tab w:leader="none" w:pos="160" w:val="left"/>
        </w:tabs>
        <w:rPr>
          <w:sz w:val="20"/>
          <w:szCs w:val="20"/>
          <w:color w:val="auto"/>
        </w:rPr>
      </w:pPr>
      <w:r>
        <w:rPr>
          <w:rFonts w:ascii="Courier New" w:cs="Courier New" w:eastAsia="Courier New" w:hAnsi="Courier New"/>
          <w:sz w:val="15"/>
          <w:szCs w:val="15"/>
          <w:color w:val="auto"/>
        </w:rPr>
        <w:t>Section 5.7.</w:t>
        <w:tab/>
        <w:t>Certificate.</w:t>
      </w:r>
      <w:r>
        <w:rPr>
          <w:sz w:val="20"/>
          <w:szCs w:val="20"/>
          <w:color w:val="auto"/>
        </w:rPr>
        <w:tab/>
      </w:r>
      <w:r>
        <w:rPr>
          <w:rFonts w:ascii="Courier New" w:cs="Courier New" w:eastAsia="Courier New" w:hAnsi="Courier New"/>
          <w:sz w:val="15"/>
          <w:szCs w:val="15"/>
          <w:color w:val="auto"/>
        </w:rPr>
        <w:t>. . . . . . . . . . . . . . . . . . . . . . . . . . . . . . . . . . . . .</w:t>
        <w:tab/>
        <w:t>39</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5.8. Eurodollar and Competitive Bid Indemnity. . . . . . . . . . . . . . . . . . . . . . . . 39 Section 5.9. Interest on Overdue Amounts. . . . . . . . . . . . . . . . . . . . . . . . . . . . . . . 40</w:t>
      </w:r>
    </w:p>
    <w:p>
      <w:pPr>
        <w:spacing w:after="0" w:line="5" w:lineRule="exact"/>
        <w:rPr>
          <w:sz w:val="20"/>
          <w:szCs w:val="20"/>
          <w:color w:val="auto"/>
        </w:rPr>
      </w:pPr>
    </w:p>
    <w:p>
      <w:pPr>
        <w:jc w:val="both"/>
        <w:ind w:left="1140"/>
        <w:spacing w:after="0" w:line="235" w:lineRule="auto"/>
        <w:rPr>
          <w:sz w:val="20"/>
          <w:szCs w:val="20"/>
          <w:color w:val="auto"/>
        </w:rPr>
      </w:pPr>
      <w:r>
        <w:rPr>
          <w:rFonts w:ascii="Courier New" w:cs="Courier New" w:eastAsia="Courier New" w:hAnsi="Courier New"/>
          <w:sz w:val="15"/>
          <w:szCs w:val="15"/>
          <w:color w:val="auto"/>
        </w:rPr>
        <w:t>Section 5.10. Interest Limitation. . . . . . . . . . . . . . . . . . . . . . . . . . . . . . . . . . 40 Section 5.11. Reasonable Efforts to Mitigate. . . . . . . . . . . . . . . . . . . . . . . . . . . . . 40 Section 5.12. Replacement of Banks. . . . . . . . . . . . . . . . . . . . . . . . . . . . . . . . . . 41 Section 5.13. Advances by Administrative Agent. . . . . . . . . . . . . . . . . . . . . . . . . . . . 42</w:t>
      </w:r>
    </w:p>
    <w:p>
      <w:pPr>
        <w:spacing w:after="0" w:line="7" w:lineRule="exact"/>
        <w:rPr>
          <w:sz w:val="20"/>
          <w:szCs w:val="20"/>
          <w:color w:val="auto"/>
        </w:rPr>
      </w:pPr>
    </w:p>
    <w:p>
      <w:pPr>
        <w:jc w:val="right"/>
        <w:spacing w:after="0" w:line="234" w:lineRule="auto"/>
        <w:rPr>
          <w:sz w:val="20"/>
          <w:szCs w:val="20"/>
          <w:color w:val="auto"/>
        </w:rPr>
      </w:pPr>
      <w:r>
        <w:rPr>
          <w:rFonts w:ascii="Courier New" w:cs="Courier New" w:eastAsia="Courier New" w:hAnsi="Courier New"/>
          <w:sz w:val="15"/>
          <w:szCs w:val="15"/>
          <w:color w:val="auto"/>
        </w:rPr>
        <w:t>Section 6.  REPRESENTATIONS AND WARRANTIES.   . . . . . . . . . . . . . . . . . . . . . . . . . . . . . . . . . . . .  42 Section 6.1.  Corporate Authority. . . . . . . . . . . . . . . . . . . . . . . . . . . . . . . . . . . .  43</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6.2. Governmental Approvals. . . . . . . . . . . . . . . . . . . . . . . . . . . . . . . . . 43 Section 6.3. Title to Properties; Leases. . . . . . . . . . . . . . . . . . . . . . . . . . . . . . . 44</w:t>
      </w:r>
    </w:p>
    <w:p>
      <w:pPr>
        <w:jc w:val="right"/>
        <w:spacing w:after="0" w:line="237" w:lineRule="auto"/>
        <w:tabs>
          <w:tab w:leader="none" w:pos="8200" w:val="left"/>
          <w:tab w:leader="none" w:pos="5140" w:val="left"/>
          <w:tab w:leader="none" w:pos="160" w:val="left"/>
        </w:tabs>
        <w:rPr>
          <w:sz w:val="20"/>
          <w:szCs w:val="20"/>
          <w:color w:val="auto"/>
        </w:rPr>
      </w:pPr>
      <w:r>
        <w:rPr>
          <w:rFonts w:ascii="Courier New" w:cs="Courier New" w:eastAsia="Courier New" w:hAnsi="Courier New"/>
          <w:sz w:val="15"/>
          <w:szCs w:val="15"/>
          <w:color w:val="auto"/>
        </w:rPr>
        <w:t>Section 6.4.</w:t>
        <w:tab/>
        <w:t>Financial Statements; Solvency.</w:t>
      </w:r>
      <w:r>
        <w:rPr>
          <w:sz w:val="20"/>
          <w:szCs w:val="20"/>
          <w:color w:val="auto"/>
        </w:rPr>
        <w:tab/>
      </w:r>
      <w:r>
        <w:rPr>
          <w:rFonts w:ascii="Courier New" w:cs="Courier New" w:eastAsia="Courier New" w:hAnsi="Courier New"/>
          <w:sz w:val="15"/>
          <w:szCs w:val="15"/>
          <w:color w:val="auto"/>
        </w:rPr>
        <w:t>. . . . . . . . . . . . . . . . . . . . . . . . . . . .</w:t>
        <w:tab/>
        <w:t>44</w:t>
      </w:r>
    </w:p>
    <w:p>
      <w:pPr>
        <w:jc w:val="right"/>
        <w:spacing w:after="0" w:line="238" w:lineRule="auto"/>
        <w:tabs>
          <w:tab w:leader="none" w:pos="8200" w:val="left"/>
          <w:tab w:leader="none" w:pos="5680" w:val="left"/>
          <w:tab w:leader="none" w:pos="160" w:val="left"/>
        </w:tabs>
        <w:rPr>
          <w:sz w:val="20"/>
          <w:szCs w:val="20"/>
          <w:color w:val="auto"/>
        </w:rPr>
      </w:pPr>
      <w:r>
        <w:rPr>
          <w:rFonts w:ascii="Courier New" w:cs="Courier New" w:eastAsia="Courier New" w:hAnsi="Courier New"/>
          <w:sz w:val="15"/>
          <w:szCs w:val="15"/>
          <w:color w:val="auto"/>
        </w:rPr>
        <w:t>Section 6.5.</w:t>
        <w:tab/>
        <w:t>No Material Changes, Etc.</w:t>
      </w:r>
      <w:r>
        <w:rPr>
          <w:sz w:val="20"/>
          <w:szCs w:val="20"/>
          <w:color w:val="auto"/>
        </w:rPr>
        <w:tab/>
      </w:r>
      <w:r>
        <w:rPr>
          <w:rFonts w:ascii="Courier New" w:cs="Courier New" w:eastAsia="Courier New" w:hAnsi="Courier New"/>
          <w:sz w:val="15"/>
          <w:szCs w:val="15"/>
          <w:color w:val="auto"/>
        </w:rPr>
        <w:t>. . . . . . . . . . . . . . . . . . . . . . . . . . . . . . .</w:t>
        <w:tab/>
        <w:t>45</w:t>
      </w:r>
    </w:p>
    <w:p>
      <w:pPr>
        <w:jc w:val="right"/>
        <w:spacing w:after="0" w:line="238" w:lineRule="auto"/>
        <w:tabs>
          <w:tab w:leader="none" w:pos="8200" w:val="left"/>
          <w:tab w:leader="none" w:pos="4620" w:val="left"/>
          <w:tab w:leader="none" w:pos="160" w:val="left"/>
        </w:tabs>
        <w:rPr>
          <w:sz w:val="20"/>
          <w:szCs w:val="20"/>
          <w:color w:val="auto"/>
        </w:rPr>
      </w:pPr>
      <w:r>
        <w:rPr>
          <w:rFonts w:ascii="Courier New" w:cs="Courier New" w:eastAsia="Courier New" w:hAnsi="Courier New"/>
          <w:sz w:val="15"/>
          <w:szCs w:val="15"/>
          <w:color w:val="auto"/>
        </w:rPr>
        <w:t>Section 6.6.</w:t>
        <w:tab/>
        <w:t>Franchises, Patents, Copyrights, Etc.</w:t>
      </w:r>
      <w:r>
        <w:rPr>
          <w:sz w:val="20"/>
          <w:szCs w:val="20"/>
          <w:color w:val="auto"/>
        </w:rPr>
        <w:tab/>
      </w:r>
      <w:r>
        <w:rPr>
          <w:rFonts w:ascii="Courier New" w:cs="Courier New" w:eastAsia="Courier New" w:hAnsi="Courier New"/>
          <w:sz w:val="15"/>
          <w:szCs w:val="15"/>
          <w:color w:val="auto"/>
        </w:rPr>
        <w:t>. . . . . . . . . . . . . . . . . . . . . . . . .</w:t>
        <w:tab/>
        <w:t>45</w:t>
      </w:r>
    </w:p>
    <w:p>
      <w:pPr>
        <w:jc w:val="right"/>
        <w:spacing w:after="0" w:line="237" w:lineRule="auto"/>
        <w:tabs>
          <w:tab w:leader="none" w:pos="8200" w:val="left"/>
          <w:tab w:leader="none" w:pos="6900" w:val="left"/>
          <w:tab w:leader="none" w:pos="160" w:val="left"/>
        </w:tabs>
        <w:rPr>
          <w:sz w:val="20"/>
          <w:szCs w:val="20"/>
          <w:color w:val="auto"/>
        </w:rPr>
      </w:pPr>
      <w:r>
        <w:rPr>
          <w:rFonts w:ascii="Courier New" w:cs="Courier New" w:eastAsia="Courier New" w:hAnsi="Courier New"/>
          <w:sz w:val="15"/>
          <w:szCs w:val="15"/>
          <w:color w:val="auto"/>
        </w:rPr>
        <w:t>Section 6.7.</w:t>
        <w:tab/>
        <w:t>Litigation.</w:t>
      </w:r>
      <w:r>
        <w:rPr>
          <w:sz w:val="20"/>
          <w:szCs w:val="20"/>
          <w:color w:val="auto"/>
        </w:rPr>
        <w:tab/>
      </w:r>
      <w:r>
        <w:rPr>
          <w:rFonts w:ascii="Courier New" w:cs="Courier New" w:eastAsia="Courier New" w:hAnsi="Courier New"/>
          <w:sz w:val="15"/>
          <w:szCs w:val="15"/>
          <w:color w:val="auto"/>
        </w:rPr>
        <w:t>. . . . . . . . . . . . . . . . . . . . . . . . . . . . . . . . . . . . . .</w:t>
        <w:tab/>
        <w:t>45</w:t>
      </w:r>
    </w:p>
    <w:p>
      <w:pPr>
        <w:jc w:val="right"/>
        <w:spacing w:after="0" w:line="238" w:lineRule="auto"/>
        <w:tabs>
          <w:tab w:leader="none" w:pos="8200" w:val="left"/>
          <w:tab w:leader="none" w:pos="4620" w:val="left"/>
          <w:tab w:leader="none" w:pos="160" w:val="left"/>
        </w:tabs>
        <w:rPr>
          <w:sz w:val="20"/>
          <w:szCs w:val="20"/>
          <w:color w:val="auto"/>
        </w:rPr>
      </w:pPr>
      <w:r>
        <w:rPr>
          <w:rFonts w:ascii="Courier New" w:cs="Courier New" w:eastAsia="Courier New" w:hAnsi="Courier New"/>
          <w:sz w:val="15"/>
          <w:szCs w:val="15"/>
          <w:color w:val="auto"/>
        </w:rPr>
        <w:t>Section 6.8.</w:t>
        <w:tab/>
        <w:t>No Materially Adverse Contracts, Etc.</w:t>
      </w:r>
      <w:r>
        <w:rPr>
          <w:sz w:val="20"/>
          <w:szCs w:val="20"/>
          <w:color w:val="auto"/>
        </w:rPr>
        <w:tab/>
      </w:r>
      <w:r>
        <w:rPr>
          <w:rFonts w:ascii="Courier New" w:cs="Courier New" w:eastAsia="Courier New" w:hAnsi="Courier New"/>
          <w:sz w:val="15"/>
          <w:szCs w:val="15"/>
          <w:color w:val="auto"/>
        </w:rPr>
        <w:t>. . . . . . . . . . . . . . . . . . . . . . . . .</w:t>
        <w:tab/>
        <w:t>45</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6.9. Compliance With Other Instruments, Laws, Etc. . . . . . . . . . . . . . . . . . . . . . 46 Section 6.10. Tax Status. . . . . . . . . . . . . . . . . . . . . . . . . . . . . . . . . . . . . . . 46</w:t>
      </w:r>
    </w:p>
    <w:p>
      <w:pPr>
        <w:jc w:val="right"/>
        <w:spacing w:after="0" w:line="237" w:lineRule="auto"/>
        <w:tabs>
          <w:tab w:leader="none" w:pos="8120" w:val="left"/>
          <w:tab w:leader="none" w:pos="6020" w:val="left"/>
          <w:tab w:leader="none" w:pos="160" w:val="left"/>
        </w:tabs>
        <w:rPr>
          <w:sz w:val="20"/>
          <w:szCs w:val="20"/>
          <w:color w:val="auto"/>
        </w:rPr>
      </w:pPr>
      <w:r>
        <w:rPr>
          <w:rFonts w:ascii="Courier New" w:cs="Courier New" w:eastAsia="Courier New" w:hAnsi="Courier New"/>
          <w:sz w:val="15"/>
          <w:szCs w:val="15"/>
          <w:color w:val="auto"/>
        </w:rPr>
        <w:t>Section 6.11.</w:t>
        <w:tab/>
        <w:t>No Event of Default.</w:t>
      </w:r>
      <w:r>
        <w:rPr>
          <w:sz w:val="20"/>
          <w:szCs w:val="20"/>
          <w:color w:val="auto"/>
        </w:rPr>
        <w:tab/>
      </w:r>
      <w:r>
        <w:rPr>
          <w:rFonts w:ascii="Courier New" w:cs="Courier New" w:eastAsia="Courier New" w:hAnsi="Courier New"/>
          <w:sz w:val="15"/>
          <w:szCs w:val="15"/>
          <w:color w:val="auto"/>
        </w:rPr>
        <w:t>. . . . . . . . . . . . . . . . . . . . . . . . . . . . . . . . .</w:t>
        <w:tab/>
        <w:t>46</w:t>
      </w:r>
    </w:p>
    <w:p>
      <w:pPr>
        <w:spacing w:after="0" w:line="5" w:lineRule="exact"/>
        <w:rPr>
          <w:sz w:val="20"/>
          <w:szCs w:val="20"/>
          <w:color w:val="auto"/>
        </w:rPr>
      </w:pPr>
    </w:p>
    <w:p>
      <w:pPr>
        <w:jc w:val="both"/>
        <w:ind w:left="1140"/>
        <w:spacing w:after="0" w:line="235" w:lineRule="auto"/>
        <w:rPr>
          <w:sz w:val="20"/>
          <w:szCs w:val="20"/>
          <w:color w:val="auto"/>
        </w:rPr>
      </w:pPr>
      <w:r>
        <w:rPr>
          <w:rFonts w:ascii="Courier New" w:cs="Courier New" w:eastAsia="Courier New" w:hAnsi="Courier New"/>
          <w:sz w:val="15"/>
          <w:szCs w:val="15"/>
          <w:color w:val="auto"/>
        </w:rPr>
        <w:t>Section 6.12. Holding Company and Investment Company Acts. . . . . . . . . . . . . . . . . . . . . . 47 Section 6.13. Absence of Financing Statements, Etc. . . . . . . . . . . . . . . . . . . . . . . . . . 47 Section 6.14. Employee Benefit Plans. . . . . . . . . . . . . . . . . . . . . . . . . . . . . . . . . 47</w:t>
      </w:r>
    </w:p>
    <w:p>
      <w:pPr>
        <w:jc w:val="right"/>
        <w:spacing w:after="0" w:line="238" w:lineRule="auto"/>
        <w:tabs>
          <w:tab w:leader="none" w:pos="6460" w:val="left"/>
          <w:tab w:leader="none" w:pos="5140" w:val="left"/>
          <w:tab w:leader="none" w:pos="160" w:val="left"/>
        </w:tabs>
        <w:rPr>
          <w:sz w:val="20"/>
          <w:szCs w:val="20"/>
          <w:color w:val="auto"/>
        </w:rPr>
      </w:pPr>
      <w:r>
        <w:rPr>
          <w:rFonts w:ascii="Courier New" w:cs="Courier New" w:eastAsia="Courier New" w:hAnsi="Courier New"/>
          <w:sz w:val="15"/>
          <w:szCs w:val="15"/>
          <w:color w:val="auto"/>
        </w:rPr>
        <w:t>Section 6.14.1.</w:t>
        <w:tab/>
        <w:t>In General.</w:t>
      </w:r>
      <w:r>
        <w:rPr>
          <w:sz w:val="20"/>
          <w:szCs w:val="20"/>
          <w:color w:val="auto"/>
        </w:rPr>
        <w:tab/>
      </w:r>
      <w:r>
        <w:rPr>
          <w:rFonts w:ascii="Courier New" w:cs="Courier New" w:eastAsia="Courier New" w:hAnsi="Courier New"/>
          <w:sz w:val="15"/>
          <w:szCs w:val="15"/>
          <w:color w:val="auto"/>
        </w:rPr>
        <w:t>. . . . . . . . . . . . . . . . . . . . . . . . . . . .</w:t>
        <w:tab/>
        <w:t>47</w:t>
      </w:r>
    </w:p>
    <w:p>
      <w:pPr>
        <w:jc w:val="right"/>
        <w:spacing w:after="0" w:line="238" w:lineRule="auto"/>
        <w:tabs>
          <w:tab w:leader="none" w:pos="6460" w:val="left"/>
          <w:tab w:leader="none" w:pos="3400" w:val="left"/>
          <w:tab w:leader="none" w:pos="160" w:val="left"/>
        </w:tabs>
        <w:rPr>
          <w:sz w:val="20"/>
          <w:szCs w:val="20"/>
          <w:color w:val="auto"/>
        </w:rPr>
      </w:pPr>
      <w:r>
        <w:rPr>
          <w:rFonts w:ascii="Courier New" w:cs="Courier New" w:eastAsia="Courier New" w:hAnsi="Courier New"/>
          <w:sz w:val="15"/>
          <w:szCs w:val="15"/>
          <w:color w:val="auto"/>
        </w:rPr>
        <w:t>Section 6.14.2.</w:t>
        <w:tab/>
        <w:t>Terminability of Welfare Plans.</w:t>
      </w:r>
      <w:r>
        <w:rPr>
          <w:sz w:val="20"/>
          <w:szCs w:val="20"/>
          <w:color w:val="auto"/>
        </w:rPr>
        <w:tab/>
      </w:r>
      <w:r>
        <w:rPr>
          <w:rFonts w:ascii="Courier New" w:cs="Courier New" w:eastAsia="Courier New" w:hAnsi="Courier New"/>
          <w:sz w:val="15"/>
          <w:szCs w:val="15"/>
          <w:color w:val="auto"/>
        </w:rPr>
        <w:t>. . . . . . . . . . . . . . . . . .</w:t>
        <w:tab/>
        <w:t>47</w:t>
      </w:r>
    </w:p>
    <w:p>
      <w:pPr>
        <w:spacing w:after="0" w:line="5" w:lineRule="exact"/>
        <w:rPr>
          <w:sz w:val="20"/>
          <w:szCs w:val="20"/>
          <w:color w:val="auto"/>
        </w:rPr>
      </w:pPr>
    </w:p>
    <w:p>
      <w:pPr>
        <w:jc w:val="right"/>
        <w:ind w:left="1140"/>
        <w:spacing w:after="0" w:line="235" w:lineRule="auto"/>
        <w:rPr>
          <w:sz w:val="20"/>
          <w:szCs w:val="20"/>
          <w:color w:val="auto"/>
        </w:rPr>
      </w:pPr>
      <w:r>
        <w:rPr>
          <w:rFonts w:ascii="Courier New" w:cs="Courier New" w:eastAsia="Courier New" w:hAnsi="Courier New"/>
          <w:sz w:val="15"/>
          <w:szCs w:val="15"/>
          <w:color w:val="auto"/>
        </w:rPr>
        <w:t>Section 6.14.3.  Guaranteed Pension Plans.    . . . . . . . . . . . . . . . . . . . . .  47 Section 6.14.4.  Multiemployer Plans.   . . . . . . . . . . . . . . . . . . . . . . . .  48 Section 6.15.  Environmental Compliance.   . . . . . . . . . . . . . . . . . . . . . . . . . . . . . . .  48</w:t>
      </w:r>
    </w:p>
    <w:p>
      <w:pPr>
        <w:spacing w:after="0" w:line="5" w:lineRule="exact"/>
        <w:rPr>
          <w:sz w:val="20"/>
          <w:szCs w:val="20"/>
          <w:color w:val="auto"/>
        </w:rPr>
      </w:pPr>
    </w:p>
    <w:p>
      <w:pPr>
        <w:jc w:val="both"/>
        <w:ind w:left="1140"/>
        <w:spacing w:after="0" w:line="235" w:lineRule="auto"/>
        <w:rPr>
          <w:sz w:val="20"/>
          <w:szCs w:val="20"/>
          <w:color w:val="auto"/>
        </w:rPr>
      </w:pPr>
      <w:r>
        <w:rPr>
          <w:rFonts w:ascii="Courier New" w:cs="Courier New" w:eastAsia="Courier New" w:hAnsi="Courier New"/>
          <w:sz w:val="15"/>
          <w:szCs w:val="15"/>
          <w:color w:val="auto"/>
        </w:rPr>
        <w:t>Section 6.16. True Copies of Charter and Other Documents. . . . . . . . . . . . . . . . . . . . . . . 50 Section 6.17. Disclosure. . . . . . . . . . . . . . . . . . . . . . . . . . . . . . . . . . . . . . . 50 Section 6.18. Permits and Governmental Authority. . . . . . . . . . . . . . . . . . . . . . . . . . . 50</w:t>
      </w:r>
    </w:p>
    <w:p>
      <w:pPr>
        <w:spacing w:after="0" w:line="238" w:lineRule="auto"/>
        <w:tabs>
          <w:tab w:leader="none" w:pos="1040" w:val="left"/>
          <w:tab w:leader="none" w:pos="4720" w:val="left"/>
          <w:tab w:leader="none" w:pos="10400" w:val="left"/>
        </w:tabs>
        <w:rPr>
          <w:sz w:val="20"/>
          <w:szCs w:val="20"/>
          <w:color w:val="auto"/>
        </w:rPr>
      </w:pPr>
      <w:r>
        <w:rPr>
          <w:rFonts w:ascii="Courier New" w:cs="Courier New" w:eastAsia="Courier New" w:hAnsi="Courier New"/>
          <w:sz w:val="15"/>
          <w:szCs w:val="15"/>
          <w:color w:val="auto"/>
        </w:rPr>
        <w:t>Section 7.</w:t>
        <w:tab/>
        <w:t>AFFIRMATIVE COVENANTS OF THE BORROWER.</w:t>
      </w:r>
      <w:r>
        <w:rPr>
          <w:sz w:val="20"/>
          <w:szCs w:val="20"/>
          <w:color w:val="auto"/>
        </w:rPr>
        <w:tab/>
      </w:r>
      <w:r>
        <w:rPr>
          <w:rFonts w:ascii="Courier New" w:cs="Courier New" w:eastAsia="Courier New" w:hAnsi="Courier New"/>
          <w:sz w:val="15"/>
          <w:szCs w:val="15"/>
          <w:color w:val="auto"/>
        </w:rPr>
        <w:t>. . . . . . . . . . . . . . . . . . . . . . . . . . . . . . . .</w:t>
        <w:tab/>
        <w:t>51</w:t>
      </w:r>
    </w:p>
    <w:p>
      <w:pPr>
        <w:jc w:val="right"/>
        <w:spacing w:after="0" w:line="238" w:lineRule="auto"/>
        <w:tabs>
          <w:tab w:leader="none" w:pos="8200" w:val="left"/>
          <w:tab w:leader="none" w:pos="6380" w:val="left"/>
          <w:tab w:leader="none" w:pos="160" w:val="left"/>
        </w:tabs>
        <w:rPr>
          <w:sz w:val="20"/>
          <w:szCs w:val="20"/>
          <w:color w:val="auto"/>
        </w:rPr>
      </w:pPr>
      <w:r>
        <w:rPr>
          <w:rFonts w:ascii="Courier New" w:cs="Courier New" w:eastAsia="Courier New" w:hAnsi="Courier New"/>
          <w:sz w:val="15"/>
          <w:szCs w:val="15"/>
          <w:color w:val="auto"/>
        </w:rPr>
        <w:t>Section 7.1.</w:t>
        <w:tab/>
        <w:t>Punctual Payment.</w:t>
      </w:r>
      <w:r>
        <w:rPr>
          <w:sz w:val="20"/>
          <w:szCs w:val="20"/>
          <w:color w:val="auto"/>
        </w:rPr>
        <w:tab/>
      </w:r>
      <w:r>
        <w:rPr>
          <w:rFonts w:ascii="Courier New" w:cs="Courier New" w:eastAsia="Courier New" w:hAnsi="Courier New"/>
          <w:sz w:val="15"/>
          <w:szCs w:val="15"/>
          <w:color w:val="auto"/>
        </w:rPr>
        <w:t>. . . . . . . . . . . . . . . . . . . . . . . . . . . . . . . . . . .</w:t>
        <w:tab/>
        <w:t>51</w:t>
      </w:r>
    </w:p>
    <w:p>
      <w:pPr>
        <w:jc w:val="right"/>
        <w:spacing w:after="0" w:line="237" w:lineRule="auto"/>
        <w:tabs>
          <w:tab w:leader="none" w:pos="8200" w:val="left"/>
          <w:tab w:leader="none" w:pos="5500" w:val="left"/>
          <w:tab w:leader="none" w:pos="160" w:val="left"/>
        </w:tabs>
        <w:rPr>
          <w:sz w:val="20"/>
          <w:szCs w:val="20"/>
          <w:color w:val="auto"/>
        </w:rPr>
      </w:pPr>
      <w:r>
        <w:rPr>
          <w:rFonts w:ascii="Courier New" w:cs="Courier New" w:eastAsia="Courier New" w:hAnsi="Courier New"/>
          <w:sz w:val="15"/>
          <w:szCs w:val="15"/>
          <w:color w:val="auto"/>
        </w:rPr>
        <w:t>Section 7.2.</w:t>
        <w:tab/>
        <w:t>Maintenance of U.S. Office.</w:t>
      </w:r>
      <w:r>
        <w:rPr>
          <w:sz w:val="20"/>
          <w:szCs w:val="20"/>
          <w:color w:val="auto"/>
        </w:rPr>
        <w:tab/>
      </w:r>
      <w:r>
        <w:rPr>
          <w:rFonts w:ascii="Courier New" w:cs="Courier New" w:eastAsia="Courier New" w:hAnsi="Courier New"/>
          <w:sz w:val="15"/>
          <w:szCs w:val="15"/>
          <w:color w:val="auto"/>
        </w:rPr>
        <w:t>. . . . . . . . . . . . . . . . . . . . . . . . . . . . . .</w:t>
        <w:tab/>
        <w:t>51</w:t>
      </w:r>
    </w:p>
    <w:p>
      <w:pPr>
        <w:jc w:val="right"/>
        <w:spacing w:after="0" w:line="238" w:lineRule="auto"/>
        <w:tabs>
          <w:tab w:leader="none" w:pos="8200" w:val="left"/>
          <w:tab w:leader="none" w:pos="6020" w:val="left"/>
          <w:tab w:leader="none" w:pos="160" w:val="left"/>
        </w:tabs>
        <w:rPr>
          <w:sz w:val="20"/>
          <w:szCs w:val="20"/>
          <w:color w:val="auto"/>
        </w:rPr>
      </w:pPr>
      <w:r>
        <w:rPr>
          <w:rFonts w:ascii="Courier New" w:cs="Courier New" w:eastAsia="Courier New" w:hAnsi="Courier New"/>
          <w:sz w:val="15"/>
          <w:szCs w:val="15"/>
          <w:color w:val="auto"/>
        </w:rPr>
        <w:t>Section 7.3.</w:t>
        <w:tab/>
        <w:t>Records and Accounts.</w:t>
      </w:r>
      <w:r>
        <w:rPr>
          <w:sz w:val="20"/>
          <w:szCs w:val="20"/>
          <w:color w:val="auto"/>
        </w:rPr>
        <w:tab/>
      </w:r>
      <w:r>
        <w:rPr>
          <w:rFonts w:ascii="Courier New" w:cs="Courier New" w:eastAsia="Courier New" w:hAnsi="Courier New"/>
          <w:sz w:val="15"/>
          <w:szCs w:val="15"/>
          <w:color w:val="auto"/>
        </w:rPr>
        <w:t>. . . . . . . . . . . . . . . . . . . . . . . . . . . . . . . . .</w:t>
        <w:tab/>
        <w:t>51</w:t>
      </w:r>
    </w:p>
    <w:p>
      <w:pPr>
        <w:spacing w:after="0" w:line="5" w:lineRule="exact"/>
        <w:rPr>
          <w:sz w:val="20"/>
          <w:szCs w:val="20"/>
          <w:color w:val="auto"/>
        </w:rPr>
      </w:pPr>
    </w:p>
    <w:p>
      <w:pPr>
        <w:jc w:val="both"/>
        <w:ind w:left="1140"/>
        <w:spacing w:after="0" w:line="236" w:lineRule="auto"/>
        <w:rPr>
          <w:sz w:val="20"/>
          <w:szCs w:val="20"/>
          <w:color w:val="auto"/>
        </w:rPr>
      </w:pPr>
      <w:r>
        <w:rPr>
          <w:rFonts w:ascii="Courier New" w:cs="Courier New" w:eastAsia="Courier New" w:hAnsi="Courier New"/>
          <w:sz w:val="15"/>
          <w:szCs w:val="15"/>
          <w:color w:val="auto"/>
        </w:rPr>
        <w:t>Section 7.4. Financial Statements, Certificates and Information. . . . . . . . . . . . . . . . . . . 51 Section 7.5. Corporate Existence and Conduct of Business. . . . . . . . . . . . . . . . . . . . . . . 53 Section 7.6. Maintenance of Properties. . . . . . . . . . . . . . . . . . . . . . . . . . . . . . . . 53 Section 7.7. Insurance. . . . . . . . . . . . . . . . . . . . . . . . . . . . . . . . . . . . . . . . 54 Section 7.8. Taxes. . . . . . . . . . . . . . . . . . . . . . . . . . . . . . . . . . . . . . . . . . 54 Section 7.9. Inspection of Properties, Books and Contracts. . . . . . . . . . . . . . . . . . . . . . 54 Section 7.10. Compliance with Laws, Contracts, Licenses and Permits; Maintenance of Material</w:t>
      </w:r>
    </w:p>
    <w:p>
      <w:pPr>
        <w:spacing w:after="0" w:line="1" w:lineRule="exact"/>
        <w:rPr>
          <w:sz w:val="20"/>
          <w:szCs w:val="20"/>
          <w:color w:val="auto"/>
        </w:rPr>
      </w:pPr>
    </w:p>
    <w:p>
      <w:pPr>
        <w:jc w:val="right"/>
        <w:spacing w:after="0"/>
        <w:tabs>
          <w:tab w:leader="none" w:pos="5840" w:val="left"/>
          <w:tab w:leader="none" w:pos="160" w:val="left"/>
        </w:tabs>
        <w:rPr>
          <w:sz w:val="20"/>
          <w:szCs w:val="20"/>
          <w:color w:val="auto"/>
        </w:rPr>
      </w:pPr>
      <w:r>
        <w:rPr>
          <w:rFonts w:ascii="Courier New" w:cs="Courier New" w:eastAsia="Courier New" w:hAnsi="Courier New"/>
          <w:sz w:val="15"/>
          <w:szCs w:val="15"/>
          <w:color w:val="auto"/>
        </w:rPr>
        <w:t>Licenses and Permits.</w:t>
        <w:tab/>
        <w:t>. . . . . . . . . . . . . . . . . . . . . . . . . . . . . . . .</w:t>
        <w:tab/>
        <w:t>55</w:t>
      </w:r>
    </w:p>
    <w:p>
      <w:pPr>
        <w:spacing w:after="0" w:line="5" w:lineRule="exact"/>
        <w:rPr>
          <w:sz w:val="20"/>
          <w:szCs w:val="20"/>
          <w:color w:val="auto"/>
        </w:rPr>
      </w:pPr>
    </w:p>
    <w:p>
      <w:pPr>
        <w:jc w:val="both"/>
        <w:ind w:left="1140"/>
        <w:spacing w:after="0" w:line="234" w:lineRule="auto"/>
        <w:rPr>
          <w:sz w:val="20"/>
          <w:szCs w:val="20"/>
          <w:color w:val="auto"/>
        </w:rPr>
      </w:pPr>
      <w:r>
        <w:rPr>
          <w:rFonts w:ascii="Courier New" w:cs="Courier New" w:eastAsia="Courier New" w:hAnsi="Courier New"/>
          <w:sz w:val="15"/>
          <w:szCs w:val="15"/>
          <w:color w:val="auto"/>
        </w:rPr>
        <w:t>Section 7.11. Environmental Indemnification. . . . . . . . . . . . . . . . . . . . . . . . . . . . . 55 Section 7.12. Further Assurances. . . . . . . . . . . . . . . . . . . . . . . . . . . . . . . . . . . 56</w:t>
      </w:r>
    </w:p>
    <w:p>
      <w:pPr>
        <w:sectPr>
          <w:pgSz w:w="11900" w:h="16838" w:orient="portrait"/>
          <w:cols w:equalWidth="0" w:num="1">
            <w:col w:w="10600"/>
          </w:cols>
          <w:pgMar w:left="220" w:top="281" w:right="10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41"/>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05"/>
        </w:trPr>
        <w:tc>
          <w:tcPr>
            <w:tcW w:w="102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w w:val="99"/>
              </w:rPr>
              <w:t>Section 7.13.</w:t>
            </w:r>
          </w:p>
        </w:tc>
        <w:tc>
          <w:tcPr>
            <w:tcW w:w="140" w:type="dxa"/>
            <w:vAlign w:val="bottom"/>
          </w:tcPr>
          <w:p>
            <w:pPr>
              <w:spacing w:after="0"/>
              <w:rPr>
                <w:sz w:val="24"/>
                <w:szCs w:val="24"/>
                <w:color w:val="auto"/>
              </w:rPr>
            </w:pPr>
          </w:p>
        </w:tc>
        <w:tc>
          <w:tcPr>
            <w:tcW w:w="7880" w:type="dxa"/>
            <w:vAlign w:val="bottom"/>
            <w:gridSpan w:val="10"/>
          </w:tcPr>
          <w:p>
            <w:pPr>
              <w:spacing w:after="0"/>
              <w:rPr>
                <w:sz w:val="20"/>
                <w:szCs w:val="20"/>
                <w:color w:val="auto"/>
              </w:rPr>
            </w:pPr>
            <w:r>
              <w:rPr>
                <w:rFonts w:ascii="Courier New" w:cs="Courier New" w:eastAsia="Courier New" w:hAnsi="Courier New"/>
                <w:sz w:val="15"/>
                <w:szCs w:val="15"/>
                <w:color w:val="auto"/>
                <w:w w:val="98"/>
              </w:rPr>
              <w:t>Notice of Potential Claims or Litigation.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7.14.</w:t>
            </w:r>
          </w:p>
        </w:tc>
        <w:tc>
          <w:tcPr>
            <w:tcW w:w="140" w:type="dxa"/>
            <w:vAlign w:val="bottom"/>
          </w:tcPr>
          <w:p>
            <w:pPr>
              <w:spacing w:after="0"/>
              <w:rPr>
                <w:sz w:val="14"/>
                <w:szCs w:val="14"/>
                <w:color w:val="auto"/>
              </w:rPr>
            </w:pPr>
          </w:p>
        </w:tc>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Notice of Certain Events Concerning Insurance and Environmental Claims.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7.15.</w:t>
            </w:r>
          </w:p>
        </w:tc>
        <w:tc>
          <w:tcPr>
            <w:tcW w:w="140" w:type="dxa"/>
            <w:vAlign w:val="bottom"/>
          </w:tcPr>
          <w:p>
            <w:pPr>
              <w:spacing w:after="0"/>
              <w:rPr>
                <w:sz w:val="14"/>
                <w:szCs w:val="14"/>
                <w:color w:val="auto"/>
              </w:rPr>
            </w:pP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Notice of Default.</w:t>
            </w:r>
          </w:p>
        </w:tc>
        <w:tc>
          <w:tcPr>
            <w:tcW w:w="614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7.16.</w:t>
            </w:r>
          </w:p>
        </w:tc>
        <w:tc>
          <w:tcPr>
            <w:tcW w:w="140" w:type="dxa"/>
            <w:vAlign w:val="bottom"/>
          </w:tcPr>
          <w:p>
            <w:pPr>
              <w:spacing w:after="0"/>
              <w:rPr>
                <w:sz w:val="14"/>
                <w:szCs w:val="14"/>
                <w:color w:val="auto"/>
              </w:rPr>
            </w:pP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Use of Proceeds.</w:t>
            </w:r>
          </w:p>
        </w:tc>
        <w:tc>
          <w:tcPr>
            <w:tcW w:w="614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7.17.</w:t>
            </w:r>
          </w:p>
        </w:tc>
        <w:tc>
          <w:tcPr>
            <w:tcW w:w="140" w:type="dxa"/>
            <w:vAlign w:val="bottom"/>
          </w:tcPr>
          <w:p>
            <w:pPr>
              <w:spacing w:after="0"/>
              <w:rPr>
                <w:sz w:val="14"/>
                <w:szCs w:val="14"/>
                <w:color w:val="auto"/>
              </w:rPr>
            </w:pPr>
          </w:p>
        </w:tc>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Certain Transactions.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CERTAIN NEGATIVE</w:t>
            </w:r>
          </w:p>
        </w:tc>
        <w:tc>
          <w:tcPr>
            <w:tcW w:w="788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COVENANTS OF THE BORROWER.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020" w:type="dxa"/>
            <w:vAlign w:val="bottom"/>
          </w:tcPr>
          <w:p>
            <w:pPr>
              <w:spacing w:after="0"/>
              <w:rPr>
                <w:sz w:val="14"/>
                <w:szCs w:val="14"/>
                <w:color w:val="auto"/>
              </w:rPr>
            </w:pPr>
          </w:p>
        </w:tc>
        <w:tc>
          <w:tcPr>
            <w:tcW w:w="4060" w:type="dxa"/>
            <w:vAlign w:val="bottom"/>
            <w:gridSpan w:val="6"/>
          </w:tcPr>
          <w:p>
            <w:pPr>
              <w:ind w:left="120"/>
              <w:spacing w:after="0" w:line="168" w:lineRule="exact"/>
              <w:rPr>
                <w:sz w:val="20"/>
                <w:szCs w:val="20"/>
                <w:color w:val="auto"/>
              </w:rPr>
            </w:pPr>
            <w:r>
              <w:rPr>
                <w:rFonts w:ascii="Courier New" w:cs="Courier New" w:eastAsia="Courier New" w:hAnsi="Courier New"/>
                <w:sz w:val="15"/>
                <w:szCs w:val="15"/>
                <w:color w:val="auto"/>
              </w:rPr>
              <w:t>Section 8.1.  Restrictions on Indebtedness.</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8.2.</w:t>
            </w:r>
          </w:p>
        </w:tc>
        <w:tc>
          <w:tcPr>
            <w:tcW w:w="8020" w:type="dxa"/>
            <w:vAlign w:val="bottom"/>
            <w:gridSpan w:val="11"/>
          </w:tcPr>
          <w:p>
            <w:pPr>
              <w:ind w:left="60"/>
              <w:spacing w:after="0" w:line="168" w:lineRule="exact"/>
              <w:rPr>
                <w:sz w:val="20"/>
                <w:szCs w:val="20"/>
                <w:color w:val="auto"/>
              </w:rPr>
            </w:pPr>
            <w:r>
              <w:rPr>
                <w:rFonts w:ascii="Courier New" w:cs="Courier New" w:eastAsia="Courier New" w:hAnsi="Courier New"/>
                <w:sz w:val="15"/>
                <w:szCs w:val="15"/>
                <w:color w:val="auto"/>
                <w:w w:val="98"/>
              </w:rPr>
              <w:t>Restrictions on Liens.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8.3.</w:t>
            </w:r>
          </w:p>
        </w:tc>
        <w:tc>
          <w:tcPr>
            <w:tcW w:w="8020" w:type="dxa"/>
            <w:vAlign w:val="bottom"/>
            <w:gridSpan w:val="11"/>
          </w:tcPr>
          <w:p>
            <w:pPr>
              <w:ind w:left="60"/>
              <w:spacing w:after="0" w:line="168" w:lineRule="exact"/>
              <w:rPr>
                <w:sz w:val="20"/>
                <w:szCs w:val="20"/>
                <w:color w:val="auto"/>
              </w:rPr>
            </w:pPr>
            <w:r>
              <w:rPr>
                <w:rFonts w:ascii="Courier New" w:cs="Courier New" w:eastAsia="Courier New" w:hAnsi="Courier New"/>
                <w:sz w:val="15"/>
                <w:szCs w:val="15"/>
                <w:color w:val="auto"/>
                <w:w w:val="98"/>
              </w:rPr>
              <w:t>Restrictions on Investments.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8.4.</w:t>
            </w:r>
          </w:p>
        </w:tc>
        <w:tc>
          <w:tcPr>
            <w:tcW w:w="276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6"/>
              </w:rPr>
              <w:t>Mergers, Consolidations, Sales.</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8.5.</w:t>
            </w:r>
          </w:p>
        </w:tc>
        <w:tc>
          <w:tcPr>
            <w:tcW w:w="3940" w:type="dxa"/>
            <w:vAlign w:val="bottom"/>
            <w:gridSpan w:val="8"/>
          </w:tcPr>
          <w:p>
            <w:pPr>
              <w:ind w:left="60"/>
              <w:spacing w:after="0" w:line="168" w:lineRule="exact"/>
              <w:rPr>
                <w:sz w:val="20"/>
                <w:szCs w:val="20"/>
                <w:color w:val="auto"/>
              </w:rPr>
            </w:pPr>
            <w:r>
              <w:rPr>
                <w:rFonts w:ascii="Courier New" w:cs="Courier New" w:eastAsia="Courier New" w:hAnsi="Courier New"/>
                <w:sz w:val="15"/>
                <w:szCs w:val="15"/>
                <w:color w:val="auto"/>
              </w:rPr>
              <w:t>Restricted Distributions and Redemptions.</w:t>
            </w:r>
          </w:p>
        </w:tc>
        <w:tc>
          <w:tcPr>
            <w:tcW w:w="40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8.6.</w:t>
            </w:r>
          </w:p>
        </w:tc>
        <w:tc>
          <w:tcPr>
            <w:tcW w:w="224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w:t>
            </w:r>
          </w:p>
        </w:tc>
        <w:tc>
          <w:tcPr>
            <w:tcW w:w="31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FINANCIAL COVENANTS OF THE BORROWER.</w:t>
            </w:r>
          </w:p>
        </w:tc>
        <w:tc>
          <w:tcPr>
            <w:tcW w:w="360" w:type="dxa"/>
            <w:vAlign w:val="bottom"/>
          </w:tcPr>
          <w:p>
            <w:pPr>
              <w:spacing w:after="0"/>
              <w:rPr>
                <w:sz w:val="14"/>
                <w:szCs w:val="14"/>
                <w:color w:val="auto"/>
              </w:rPr>
            </w:pP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Section 9.1.</w:t>
            </w:r>
          </w:p>
        </w:tc>
        <w:tc>
          <w:tcPr>
            <w:tcW w:w="8020" w:type="dxa"/>
            <w:vAlign w:val="bottom"/>
            <w:gridSpan w:val="11"/>
          </w:tcPr>
          <w:p>
            <w:pPr>
              <w:ind w:left="60"/>
              <w:spacing w:after="0" w:line="168" w:lineRule="exact"/>
              <w:rPr>
                <w:sz w:val="20"/>
                <w:szCs w:val="20"/>
                <w:color w:val="auto"/>
              </w:rPr>
            </w:pPr>
            <w:r>
              <w:rPr>
                <w:rFonts w:ascii="Courier New" w:cs="Courier New" w:eastAsia="Courier New" w:hAnsi="Courier New"/>
                <w:sz w:val="15"/>
                <w:szCs w:val="15"/>
                <w:color w:val="auto"/>
                <w:w w:val="98"/>
              </w:rPr>
              <w:t>Interest Coverage Ratio.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rPr>
                <w:sz w:val="14"/>
                <w:szCs w:val="14"/>
                <w:color w:val="auto"/>
              </w:rPr>
            </w:pPr>
          </w:p>
        </w:tc>
        <w:tc>
          <w:tcPr>
            <w:tcW w:w="4060" w:type="dxa"/>
            <w:vAlign w:val="bottom"/>
            <w:gridSpan w:val="6"/>
          </w:tcPr>
          <w:p>
            <w:pPr>
              <w:ind w:left="120"/>
              <w:spacing w:after="0" w:line="168" w:lineRule="exact"/>
              <w:rPr>
                <w:sz w:val="20"/>
                <w:szCs w:val="20"/>
                <w:color w:val="auto"/>
              </w:rPr>
            </w:pPr>
            <w:r>
              <w:rPr>
                <w:rFonts w:ascii="Courier New" w:cs="Courier New" w:eastAsia="Courier New" w:hAnsi="Courier New"/>
                <w:sz w:val="15"/>
                <w:szCs w:val="15"/>
                <w:color w:val="auto"/>
              </w:rPr>
              <w:t>Section 9.2.  Debt to Total Capitalization.</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w:t>
            </w:r>
          </w:p>
        </w:tc>
        <w:tc>
          <w:tcPr>
            <w:tcW w:w="22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CONDITIONS PRECEDENT.</w:t>
            </w:r>
          </w:p>
        </w:tc>
        <w:tc>
          <w:tcPr>
            <w:tcW w:w="710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10.1.</w:t>
            </w:r>
          </w:p>
        </w:tc>
        <w:tc>
          <w:tcPr>
            <w:tcW w:w="140" w:type="dxa"/>
            <w:vAlign w:val="bottom"/>
          </w:tcPr>
          <w:p>
            <w:pPr>
              <w:spacing w:after="0"/>
              <w:rPr>
                <w:sz w:val="14"/>
                <w:szCs w:val="14"/>
                <w:color w:val="auto"/>
              </w:rPr>
            </w:pPr>
          </w:p>
        </w:tc>
        <w:tc>
          <w:tcPr>
            <w:tcW w:w="2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Conditions To Effectiveness.</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10.1.1.</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Corporate Action.</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10.1.2.</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Loan Documents, Etc.</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10.1.3.</w:t>
            </w:r>
          </w:p>
        </w:tc>
        <w:tc>
          <w:tcPr>
            <w:tcW w:w="342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6"/>
              </w:rPr>
              <w:t>Certified Copies of Charter Documents.</w:t>
            </w:r>
          </w:p>
        </w:tc>
        <w:tc>
          <w:tcPr>
            <w:tcW w:w="3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10.1.4.</w:t>
            </w:r>
          </w:p>
        </w:tc>
        <w:tc>
          <w:tcPr>
            <w:tcW w:w="2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Incumbency Certificate.</w:t>
            </w:r>
          </w:p>
        </w:tc>
        <w:tc>
          <w:tcPr>
            <w:tcW w:w="47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10.1.5.</w:t>
            </w:r>
          </w:p>
        </w:tc>
        <w:tc>
          <w:tcPr>
            <w:tcW w:w="2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5"/>
              </w:rPr>
              <w:t>Certificates of Insurance.</w:t>
            </w:r>
          </w:p>
        </w:tc>
        <w:tc>
          <w:tcPr>
            <w:tcW w:w="47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10.1.6.</w:t>
            </w:r>
          </w:p>
        </w:tc>
        <w:tc>
          <w:tcPr>
            <w:tcW w:w="408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rPr>
              <w:t>Opinions of Counsel and Permit Certificate.</w:t>
            </w:r>
          </w:p>
        </w:tc>
        <w:tc>
          <w:tcPr>
            <w:tcW w:w="3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10.1.7.</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Existing Debt.</w:t>
            </w: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10.1.8.</w:t>
            </w:r>
          </w:p>
        </w:tc>
        <w:tc>
          <w:tcPr>
            <w:tcW w:w="302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w w:val="97"/>
              </w:rPr>
              <w:t>Satisfactory Financial Condition.</w:t>
            </w:r>
          </w:p>
        </w:tc>
        <w:tc>
          <w:tcPr>
            <w:tcW w:w="400" w:type="dxa"/>
            <w:vAlign w:val="bottom"/>
          </w:tcPr>
          <w:p>
            <w:pPr>
              <w:spacing w:after="0"/>
              <w:rPr>
                <w:sz w:val="14"/>
                <w:szCs w:val="14"/>
                <w:color w:val="auto"/>
              </w:rPr>
            </w:pPr>
          </w:p>
        </w:tc>
        <w:tc>
          <w:tcPr>
            <w:tcW w:w="3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10.1.9.</w:t>
            </w:r>
          </w:p>
        </w:tc>
        <w:tc>
          <w:tcPr>
            <w:tcW w:w="2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Payment of Closing Fees.</w:t>
            </w:r>
          </w:p>
        </w:tc>
        <w:tc>
          <w:tcPr>
            <w:tcW w:w="47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10.2.</w:t>
            </w:r>
          </w:p>
        </w:tc>
        <w:tc>
          <w:tcPr>
            <w:tcW w:w="140" w:type="dxa"/>
            <w:vAlign w:val="bottom"/>
          </w:tcPr>
          <w:p>
            <w:pPr>
              <w:spacing w:after="0"/>
              <w:rPr>
                <w:sz w:val="14"/>
                <w:szCs w:val="14"/>
                <w:color w:val="auto"/>
              </w:rPr>
            </w:pPr>
          </w:p>
        </w:tc>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Conditions to Increase in Total Commitment.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10.2.1.</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United Merger.</w:t>
            </w: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10.2.2.</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Corporate Action.</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10.2.3.</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The United Joinder.</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10.2.4.</w:t>
            </w:r>
          </w:p>
        </w:tc>
        <w:tc>
          <w:tcPr>
            <w:tcW w:w="342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6"/>
              </w:rPr>
              <w:t>Certified Copies of Charter Documents.</w:t>
            </w:r>
          </w:p>
        </w:tc>
        <w:tc>
          <w:tcPr>
            <w:tcW w:w="3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10.2.5.</w:t>
            </w:r>
          </w:p>
        </w:tc>
        <w:tc>
          <w:tcPr>
            <w:tcW w:w="23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Incumbency Certificate.</w:t>
            </w:r>
          </w:p>
        </w:tc>
        <w:tc>
          <w:tcPr>
            <w:tcW w:w="47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10.2.6.</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Opinion of Counsel.</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10.2.7.</w:t>
            </w:r>
          </w:p>
        </w:tc>
        <w:tc>
          <w:tcPr>
            <w:tcW w:w="198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8"/>
              </w:rPr>
              <w:t>Existing United Debt.</w:t>
            </w:r>
          </w:p>
        </w:tc>
        <w:tc>
          <w:tcPr>
            <w:tcW w:w="380" w:type="dxa"/>
            <w:vAlign w:val="bottom"/>
          </w:tcPr>
          <w:p>
            <w:pPr>
              <w:spacing w:after="0"/>
              <w:rPr>
                <w:sz w:val="14"/>
                <w:szCs w:val="14"/>
                <w:color w:val="auto"/>
              </w:rPr>
            </w:pPr>
          </w:p>
        </w:tc>
        <w:tc>
          <w:tcPr>
            <w:tcW w:w="47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10.2.8.</w:t>
            </w:r>
          </w:p>
        </w:tc>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Lien Search Results.</w:t>
            </w:r>
          </w:p>
        </w:tc>
        <w:tc>
          <w:tcPr>
            <w:tcW w:w="14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10.2.9.</w:t>
            </w:r>
          </w:p>
        </w:tc>
        <w:tc>
          <w:tcPr>
            <w:tcW w:w="302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w w:val="97"/>
              </w:rPr>
              <w:t>Satisfactory Financial Condition.</w:t>
            </w:r>
          </w:p>
        </w:tc>
        <w:tc>
          <w:tcPr>
            <w:tcW w:w="400" w:type="dxa"/>
            <w:vAlign w:val="bottom"/>
          </w:tcPr>
          <w:p>
            <w:pPr>
              <w:spacing w:after="0"/>
              <w:rPr>
                <w:sz w:val="14"/>
                <w:szCs w:val="14"/>
                <w:color w:val="auto"/>
              </w:rPr>
            </w:pPr>
          </w:p>
        </w:tc>
        <w:tc>
          <w:tcPr>
            <w:tcW w:w="3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10.2.10.</w:t>
            </w:r>
          </w:p>
        </w:tc>
        <w:tc>
          <w:tcPr>
            <w:tcW w:w="30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Notice of United Joinder Date.</w:t>
            </w:r>
          </w:p>
        </w:tc>
        <w:tc>
          <w:tcPr>
            <w:tcW w:w="40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w:t>
            </w:r>
          </w:p>
        </w:tc>
        <w:tc>
          <w:tcPr>
            <w:tcW w:w="9320" w:type="dxa"/>
            <w:vAlign w:val="bottom"/>
            <w:gridSpan w:val="12"/>
          </w:tcPr>
          <w:p>
            <w:pPr>
              <w:ind w:left="120"/>
              <w:spacing w:after="0" w:line="168" w:lineRule="exact"/>
              <w:rPr>
                <w:sz w:val="20"/>
                <w:szCs w:val="20"/>
                <w:color w:val="auto"/>
              </w:rPr>
            </w:pPr>
            <w:r>
              <w:rPr>
                <w:rFonts w:ascii="Courier New" w:cs="Courier New" w:eastAsia="Courier New" w:hAnsi="Courier New"/>
                <w:sz w:val="15"/>
                <w:szCs w:val="15"/>
                <w:color w:val="auto"/>
                <w:w w:val="98"/>
              </w:rPr>
              <w:t>CONDITIONS TO ALL LOANS.   .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11.1.</w:t>
            </w:r>
          </w:p>
        </w:tc>
        <w:tc>
          <w:tcPr>
            <w:tcW w:w="140" w:type="dxa"/>
            <w:vAlign w:val="bottom"/>
          </w:tcPr>
          <w:p>
            <w:pPr>
              <w:spacing w:after="0"/>
              <w:rPr>
                <w:sz w:val="14"/>
                <w:szCs w:val="14"/>
                <w:color w:val="auto"/>
              </w:rPr>
            </w:pPr>
          </w:p>
        </w:tc>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Representations True.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11.2.</w:t>
            </w:r>
          </w:p>
        </w:tc>
        <w:tc>
          <w:tcPr>
            <w:tcW w:w="140" w:type="dxa"/>
            <w:vAlign w:val="bottom"/>
          </w:tcPr>
          <w:p>
            <w:pPr>
              <w:spacing w:after="0"/>
              <w:rPr>
                <w:sz w:val="14"/>
                <w:szCs w:val="14"/>
                <w:color w:val="auto"/>
              </w:rPr>
            </w:pPr>
          </w:p>
        </w:tc>
        <w:tc>
          <w:tcPr>
            <w:tcW w:w="78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8"/>
              </w:rPr>
              <w:t>Performance; No Event of Default.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11.3.</w:t>
            </w:r>
          </w:p>
        </w:tc>
        <w:tc>
          <w:tcPr>
            <w:tcW w:w="140" w:type="dxa"/>
            <w:vAlign w:val="bottom"/>
          </w:tcPr>
          <w:p>
            <w:pPr>
              <w:spacing w:after="0"/>
              <w:rPr>
                <w:sz w:val="14"/>
                <w:szCs w:val="14"/>
                <w:color w:val="auto"/>
              </w:rPr>
            </w:pP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No Legal Impediment.</w:t>
            </w:r>
          </w:p>
        </w:tc>
        <w:tc>
          <w:tcPr>
            <w:tcW w:w="360" w:type="dxa"/>
            <w:vAlign w:val="bottom"/>
          </w:tcPr>
          <w:p>
            <w:pPr>
              <w:spacing w:after="0"/>
              <w:rPr>
                <w:sz w:val="14"/>
                <w:szCs w:val="14"/>
                <w:color w:val="auto"/>
              </w:rPr>
            </w:pP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11.4.</w:t>
            </w:r>
          </w:p>
        </w:tc>
        <w:tc>
          <w:tcPr>
            <w:tcW w:w="140" w:type="dxa"/>
            <w:vAlign w:val="bottom"/>
          </w:tcPr>
          <w:p>
            <w:pPr>
              <w:spacing w:after="0"/>
              <w:rPr>
                <w:sz w:val="14"/>
                <w:szCs w:val="14"/>
                <w:color w:val="auto"/>
              </w:rPr>
            </w:pPr>
          </w:p>
        </w:tc>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Governmental Regulation.</w:t>
            </w:r>
          </w:p>
        </w:tc>
        <w:tc>
          <w:tcPr>
            <w:tcW w:w="57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rPr>
              <w:t>.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1020" w:type="dxa"/>
            <w:vAlign w:val="bottom"/>
          </w:tcPr>
          <w:p>
            <w:pPr>
              <w:spacing w:after="0"/>
              <w:rPr>
                <w:sz w:val="14"/>
                <w:szCs w:val="14"/>
                <w:color w:val="auto"/>
              </w:rPr>
            </w:pP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Section 11.5.</w:t>
            </w:r>
          </w:p>
        </w:tc>
        <w:tc>
          <w:tcPr>
            <w:tcW w:w="140" w:type="dxa"/>
            <w:vAlign w:val="bottom"/>
          </w:tcPr>
          <w:p>
            <w:pPr>
              <w:spacing w:after="0"/>
              <w:rPr>
                <w:sz w:val="14"/>
                <w:szCs w:val="14"/>
                <w:color w:val="auto"/>
              </w:rPr>
            </w:pPr>
          </w:p>
        </w:tc>
        <w:tc>
          <w:tcPr>
            <w:tcW w:w="2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Proceedings and Documents.</w:t>
            </w:r>
          </w:p>
        </w:tc>
        <w:tc>
          <w:tcPr>
            <w:tcW w:w="52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ectPr>
          <w:pgSz w:w="11900" w:h="16838" w:orient="portrait"/>
          <w:cols w:equalWidth="0" w:num="1">
            <w:col w:w="10600"/>
          </w:cols>
          <w:pgMar w:left="220" w:top="281" w:right="1079"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40" w:hanging="1136"/>
        <w:spacing w:after="0" w:line="235" w:lineRule="auto"/>
        <w:tabs>
          <w:tab w:leader="none" w:pos="1120" w:val="left"/>
        </w:tabs>
        <w:rPr>
          <w:sz w:val="20"/>
          <w:szCs w:val="20"/>
          <w:color w:val="auto"/>
        </w:rPr>
      </w:pPr>
      <w:r>
        <w:rPr>
          <w:rFonts w:ascii="Courier New" w:cs="Courier New" w:eastAsia="Courier New" w:hAnsi="Courier New"/>
          <w:sz w:val="15"/>
          <w:szCs w:val="15"/>
          <w:color w:val="auto"/>
        </w:rPr>
        <w:t>Section 12.</w:t>
        <w:tab/>
        <w:t>EVENTS OF DEFAULT; ACCELERATION; TERMINATION OF COMMITMENT. . . . . . . . . . . . . . . . . . . . . . 68 Section 12.1. Events of Default and Acceleration. . . . . . . . . . . . . . . . . . . . . . . . . . . 68 Section 12.2. Termination of Commitments. . . . . . . . . . . . . . . . . . . . . . . . . . . . . . . 71 Section 12.3. Remedies. . . . . . . . . . . . . . . . . . . . . . . . . . . . . . . . . . . . . . . . 72</w:t>
      </w:r>
    </w:p>
    <w:p>
      <w:pPr>
        <w:spacing w:after="0" w:line="1" w:lineRule="exact"/>
        <w:rPr>
          <w:sz w:val="20"/>
          <w:szCs w:val="20"/>
          <w:color w:val="auto"/>
        </w:rPr>
      </w:pPr>
    </w:p>
    <w:p>
      <w:pPr>
        <w:spacing w:after="0"/>
        <w:tabs>
          <w:tab w:leader="none" w:pos="1120" w:val="left"/>
          <w:tab w:leader="none" w:pos="2080" w:val="left"/>
          <w:tab w:leader="none" w:pos="10400" w:val="left"/>
        </w:tabs>
        <w:rPr>
          <w:sz w:val="20"/>
          <w:szCs w:val="20"/>
          <w:color w:val="auto"/>
        </w:rPr>
      </w:pPr>
      <w:r>
        <w:rPr>
          <w:rFonts w:ascii="Courier New" w:cs="Courier New" w:eastAsia="Courier New" w:hAnsi="Courier New"/>
          <w:sz w:val="15"/>
          <w:szCs w:val="15"/>
          <w:color w:val="auto"/>
        </w:rPr>
        <w:t>Section 13.</w:t>
        <w:tab/>
        <w:t>SETOFF.</w:t>
      </w:r>
      <w:r>
        <w:rPr>
          <w:sz w:val="20"/>
          <w:szCs w:val="20"/>
          <w:color w:val="auto"/>
        </w:rPr>
        <w:tab/>
      </w:r>
      <w:r>
        <w:rPr>
          <w:rFonts w:ascii="Courier New" w:cs="Courier New" w:eastAsia="Courier New" w:hAnsi="Courier New"/>
          <w:sz w:val="15"/>
          <w:szCs w:val="15"/>
          <w:color w:val="auto"/>
        </w:rPr>
        <w:t>. . . . . . . . . . . . . . . . . . . . . . . . . . . . . . . . . . . . . . . . . . . . . . .</w:t>
        <w:tab/>
        <w:t>72</w:t>
      </w:r>
    </w:p>
    <w:p>
      <w:pPr>
        <w:spacing w:after="0" w:line="237" w:lineRule="auto"/>
        <w:tabs>
          <w:tab w:leader="none" w:pos="1120" w:val="left"/>
          <w:tab w:leader="none" w:pos="2260" w:val="left"/>
          <w:tab w:leader="none" w:pos="10400" w:val="left"/>
        </w:tabs>
        <w:rPr>
          <w:sz w:val="20"/>
          <w:szCs w:val="20"/>
          <w:color w:val="auto"/>
        </w:rPr>
      </w:pPr>
      <w:r>
        <w:rPr>
          <w:rFonts w:ascii="Courier New" w:cs="Courier New" w:eastAsia="Courier New" w:hAnsi="Courier New"/>
          <w:sz w:val="15"/>
          <w:szCs w:val="15"/>
          <w:color w:val="auto"/>
        </w:rPr>
        <w:t>Section 14.</w:t>
        <w:tab/>
        <w:t>EXPENSES.</w:t>
      </w:r>
      <w:r>
        <w:rPr>
          <w:sz w:val="20"/>
          <w:szCs w:val="20"/>
          <w:color w:val="auto"/>
        </w:rPr>
        <w:tab/>
      </w:r>
      <w:r>
        <w:rPr>
          <w:rFonts w:ascii="Courier New" w:cs="Courier New" w:eastAsia="Courier New" w:hAnsi="Courier New"/>
          <w:sz w:val="15"/>
          <w:szCs w:val="15"/>
          <w:color w:val="auto"/>
        </w:rPr>
        <w:t>. . . . . . . . . . . . . . . . . . . . . . . . . . . . . . . . . . . . . . . . . . . . . .</w:t>
        <w:tab/>
        <w:t>72</w:t>
      </w:r>
    </w:p>
    <w:p>
      <w:pPr>
        <w:spacing w:after="0" w:line="5" w:lineRule="exact"/>
        <w:rPr>
          <w:sz w:val="20"/>
          <w:szCs w:val="20"/>
          <w:color w:val="auto"/>
        </w:rPr>
      </w:pPr>
    </w:p>
    <w:p>
      <w:pPr>
        <w:jc w:val="both"/>
        <w:ind w:left="1140"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Section 15.</w:t>
        <w:tab/>
        <w:t>THE ADMINISTRATIVE AGENT. . . . . . . . . . . . . . . . . . . . . . . . . . . . . . . . . . . . . . . 73 Section 15.1. Appointment, Powers and Immunities. . . . . . . . . . . . . . . . . . . . . . . . . . . 73</w:t>
      </w:r>
    </w:p>
    <w:p>
      <w:pPr>
        <w:jc w:val="right"/>
        <w:spacing w:after="0" w:line="237" w:lineRule="auto"/>
        <w:tabs>
          <w:tab w:leader="none" w:pos="8120" w:val="left"/>
          <w:tab w:leader="none" w:pos="4980" w:val="left"/>
          <w:tab w:leader="none" w:pos="160" w:val="left"/>
        </w:tabs>
        <w:rPr>
          <w:sz w:val="20"/>
          <w:szCs w:val="20"/>
          <w:color w:val="auto"/>
        </w:rPr>
      </w:pPr>
      <w:r>
        <w:rPr>
          <w:rFonts w:ascii="Courier New" w:cs="Courier New" w:eastAsia="Courier New" w:hAnsi="Courier New"/>
          <w:sz w:val="15"/>
          <w:szCs w:val="15"/>
          <w:color w:val="auto"/>
        </w:rPr>
        <w:t>Section 15.2.</w:t>
        <w:tab/>
        <w:t>Actions By Administrative Agent.</w:t>
      </w:r>
      <w:r>
        <w:rPr>
          <w:sz w:val="20"/>
          <w:szCs w:val="20"/>
          <w:color w:val="auto"/>
        </w:rPr>
        <w:tab/>
      </w:r>
      <w:r>
        <w:rPr>
          <w:rFonts w:ascii="Courier New" w:cs="Courier New" w:eastAsia="Courier New" w:hAnsi="Courier New"/>
          <w:sz w:val="15"/>
          <w:szCs w:val="15"/>
          <w:color w:val="auto"/>
        </w:rPr>
        <w:t>. . . . . . . . . . . . . . . . . . . . . . . . . . .</w:t>
        <w:tab/>
        <w:t>73</w:t>
      </w:r>
    </w:p>
    <w:p>
      <w:pPr>
        <w:jc w:val="right"/>
        <w:spacing w:after="0" w:line="238" w:lineRule="auto"/>
        <w:tabs>
          <w:tab w:leader="none" w:pos="8120" w:val="left"/>
          <w:tab w:leader="none" w:pos="6380" w:val="left"/>
          <w:tab w:leader="none" w:pos="160" w:val="left"/>
        </w:tabs>
        <w:rPr>
          <w:sz w:val="20"/>
          <w:szCs w:val="20"/>
          <w:color w:val="auto"/>
        </w:rPr>
      </w:pPr>
      <w:r>
        <w:rPr>
          <w:rFonts w:ascii="Courier New" w:cs="Courier New" w:eastAsia="Courier New" w:hAnsi="Courier New"/>
          <w:sz w:val="15"/>
          <w:szCs w:val="15"/>
          <w:color w:val="auto"/>
        </w:rPr>
        <w:t>Section 15.3.</w:t>
        <w:tab/>
        <w:t>Indemnification.</w:t>
      </w:r>
      <w:r>
        <w:rPr>
          <w:sz w:val="20"/>
          <w:szCs w:val="20"/>
          <w:color w:val="auto"/>
        </w:rPr>
        <w:tab/>
      </w:r>
      <w:r>
        <w:rPr>
          <w:rFonts w:ascii="Courier New" w:cs="Courier New" w:eastAsia="Courier New" w:hAnsi="Courier New"/>
          <w:sz w:val="15"/>
          <w:szCs w:val="15"/>
          <w:color w:val="auto"/>
        </w:rPr>
        <w:t>. . . . . . . . . . . . . . . . . . . . . . . . . . . . . . . . . . .</w:t>
        <w:tab/>
        <w:t>74</w:t>
      </w:r>
    </w:p>
    <w:p>
      <w:pPr>
        <w:jc w:val="right"/>
        <w:spacing w:after="0" w:line="238" w:lineRule="auto"/>
        <w:tabs>
          <w:tab w:leader="none" w:pos="8120" w:val="left"/>
          <w:tab w:leader="none" w:pos="6540" w:val="left"/>
          <w:tab w:leader="none" w:pos="160" w:val="left"/>
        </w:tabs>
        <w:rPr>
          <w:sz w:val="20"/>
          <w:szCs w:val="20"/>
          <w:color w:val="auto"/>
        </w:rPr>
      </w:pPr>
      <w:r>
        <w:rPr>
          <w:rFonts w:ascii="Courier New" w:cs="Courier New" w:eastAsia="Courier New" w:hAnsi="Courier New"/>
          <w:sz w:val="15"/>
          <w:szCs w:val="15"/>
          <w:color w:val="auto"/>
        </w:rPr>
        <w:t>Section 15.4.</w:t>
        <w:tab/>
        <w:t>Reimbursement.</w:t>
      </w:r>
      <w:r>
        <w:rPr>
          <w:sz w:val="20"/>
          <w:szCs w:val="20"/>
          <w:color w:val="auto"/>
        </w:rPr>
        <w:tab/>
      </w:r>
      <w:r>
        <w:rPr>
          <w:rFonts w:ascii="Courier New" w:cs="Courier New" w:eastAsia="Courier New" w:hAnsi="Courier New"/>
          <w:sz w:val="15"/>
          <w:szCs w:val="15"/>
          <w:color w:val="auto"/>
        </w:rPr>
        <w:t>. . . . . . . . . . . . . . . . . . . . . . . . . . . . . . . . . . . .</w:t>
        <w:tab/>
        <w:t>74</w:t>
      </w:r>
    </w:p>
    <w:p>
      <w:pPr>
        <w:spacing w:after="0" w:line="5" w:lineRule="exact"/>
        <w:rPr>
          <w:sz w:val="20"/>
          <w:szCs w:val="20"/>
          <w:color w:val="auto"/>
        </w:rPr>
      </w:pPr>
    </w:p>
    <w:p>
      <w:pPr>
        <w:ind w:left="1140"/>
        <w:spacing w:after="0" w:line="234" w:lineRule="auto"/>
        <w:rPr>
          <w:sz w:val="20"/>
          <w:szCs w:val="20"/>
          <w:color w:val="auto"/>
        </w:rPr>
      </w:pPr>
      <w:r>
        <w:rPr>
          <w:rFonts w:ascii="Courier New" w:cs="Courier New" w:eastAsia="Courier New" w:hAnsi="Courier New"/>
          <w:sz w:val="15"/>
          <w:szCs w:val="15"/>
          <w:color w:val="auto"/>
        </w:rPr>
        <w:t>Section 15.5. Documents. . . . . . . . . . . . . . . . . . . . . . . . . . . . . . . . . . . . . . . 75 Section 15.6. Non-Reliance on Administrative Agent and Other Banks. . . . . . . . . . . . . . . . . . 75</w:t>
      </w:r>
    </w:p>
    <w:p>
      <w:pPr>
        <w:jc w:val="right"/>
        <w:spacing w:after="0" w:line="237" w:lineRule="auto"/>
        <w:tabs>
          <w:tab w:leader="none" w:pos="8120" w:val="left"/>
          <w:tab w:leader="none" w:pos="4620" w:val="left"/>
          <w:tab w:leader="none" w:pos="160" w:val="left"/>
        </w:tabs>
        <w:rPr>
          <w:sz w:val="20"/>
          <w:szCs w:val="20"/>
          <w:color w:val="auto"/>
        </w:rPr>
      </w:pPr>
      <w:r>
        <w:rPr>
          <w:rFonts w:ascii="Courier New" w:cs="Courier New" w:eastAsia="Courier New" w:hAnsi="Courier New"/>
          <w:sz w:val="15"/>
          <w:szCs w:val="15"/>
          <w:color w:val="auto"/>
        </w:rPr>
        <w:t>Section 15.7.</w:t>
        <w:tab/>
        <w:t>Resignation of Administrative Agent.</w:t>
      </w:r>
      <w:r>
        <w:rPr>
          <w:sz w:val="20"/>
          <w:szCs w:val="20"/>
          <w:color w:val="auto"/>
        </w:rPr>
        <w:tab/>
      </w:r>
      <w:r>
        <w:rPr>
          <w:rFonts w:ascii="Courier New" w:cs="Courier New" w:eastAsia="Courier New" w:hAnsi="Courier New"/>
          <w:sz w:val="15"/>
          <w:szCs w:val="15"/>
          <w:color w:val="auto"/>
        </w:rPr>
        <w:t>. . . . . . . . . . . . . . . . . . . . . . . . .</w:t>
        <w:tab/>
        <w:t>76</w:t>
      </w:r>
    </w:p>
    <w:p>
      <w:pPr>
        <w:spacing w:after="0" w:line="5" w:lineRule="exact"/>
        <w:rPr>
          <w:sz w:val="20"/>
          <w:szCs w:val="20"/>
          <w:color w:val="auto"/>
        </w:rPr>
      </w:pPr>
    </w:p>
    <w:p>
      <w:pPr>
        <w:jc w:val="both"/>
        <w:ind w:firstLine="1137"/>
        <w:spacing w:after="0" w:line="235" w:lineRule="auto"/>
        <w:rPr>
          <w:sz w:val="20"/>
          <w:szCs w:val="20"/>
          <w:color w:val="auto"/>
        </w:rPr>
      </w:pPr>
      <w:r>
        <w:rPr>
          <w:rFonts w:ascii="Courier New" w:cs="Courier New" w:eastAsia="Courier New" w:hAnsi="Courier New"/>
          <w:sz w:val="15"/>
          <w:szCs w:val="15"/>
          <w:color w:val="auto"/>
        </w:rPr>
        <w:t>Section 15.8. Action by the Banks, Consents, Amendments, Waivers, Etc. . . . . . . . . . . . . . . . 76 Section 16. INDEMNIFICATION. . . . . . . . . . . . . . . . . . . . . . . . . . . . . . . . . . . . . . . . . . . . 77 Section 17. WITHHOLDING TAXES. . . . . . . . . . . . . . . . . . . . . . . . . . . . . . . . . . . . . . . . . . . 77</w:t>
      </w:r>
    </w:p>
    <w:p>
      <w:pPr>
        <w:spacing w:after="0" w:line="238" w:lineRule="auto"/>
        <w:tabs>
          <w:tab w:leader="none" w:pos="1120" w:val="left"/>
          <w:tab w:leader="none" w:pos="3840" w:val="left"/>
          <w:tab w:leader="none" w:pos="10400" w:val="left"/>
        </w:tabs>
        <w:rPr>
          <w:sz w:val="20"/>
          <w:szCs w:val="20"/>
          <w:color w:val="auto"/>
        </w:rPr>
      </w:pPr>
      <w:r>
        <w:rPr>
          <w:rFonts w:ascii="Courier New" w:cs="Courier New" w:eastAsia="Courier New" w:hAnsi="Courier New"/>
          <w:sz w:val="15"/>
          <w:szCs w:val="15"/>
          <w:color w:val="auto"/>
        </w:rPr>
        <w:t>Section 18.</w:t>
        <w:tab/>
        <w:t>SURVIVAL OF COVENANTS, ETC.</w:t>
      </w:r>
      <w:r>
        <w:rPr>
          <w:sz w:val="20"/>
          <w:szCs w:val="20"/>
          <w:color w:val="auto"/>
        </w:rPr>
        <w:tab/>
      </w:r>
      <w:r>
        <w:rPr>
          <w:rFonts w:ascii="Courier New" w:cs="Courier New" w:eastAsia="Courier New" w:hAnsi="Courier New"/>
          <w:sz w:val="15"/>
          <w:szCs w:val="15"/>
          <w:color w:val="auto"/>
        </w:rPr>
        <w:t>. . . . . . . . . . . . . . . . . . . . . . . . . . . . . . . . . . . . .</w:t>
        <w:tab/>
        <w:t>79</w:t>
      </w:r>
    </w:p>
    <w:p>
      <w:pPr>
        <w:spacing w:after="0" w:line="5"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Section 19. ASSIGNMENT AND PARTICIPATION. . . . . . . . . . . . . . . . . . . . . . . . . . . . . . . . . . . . . 80 Section 20. PARTIES IN INTEREST. . . . . . . . . . . . . . . . . . . . . . . . . . . . . . . . . . . . . . . . . . 81</w:t>
      </w:r>
    </w:p>
    <w:p>
      <w:pPr>
        <w:spacing w:after="0" w:line="5"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Section 21. NOTICES, ETC. . . . . . . . . . . . . . . . . . . . . . . . . . . . . . . . . . . . . . . . . . . . . 81 Section 22. MISCELLANEOUS. . . . . . . . . . . . . . . . . . . . . . . . . . . . . . . . . . . . . . . . . . . . . 82</w:t>
      </w:r>
    </w:p>
    <w:p>
      <w:pPr>
        <w:spacing w:after="0" w:line="237" w:lineRule="auto"/>
        <w:tabs>
          <w:tab w:leader="none" w:pos="1120" w:val="left"/>
          <w:tab w:leader="none" w:pos="2780" w:val="left"/>
          <w:tab w:leader="none" w:pos="10400" w:val="left"/>
        </w:tabs>
        <w:rPr>
          <w:sz w:val="20"/>
          <w:szCs w:val="20"/>
          <w:color w:val="auto"/>
        </w:rPr>
      </w:pPr>
      <w:r>
        <w:rPr>
          <w:rFonts w:ascii="Courier New" w:cs="Courier New" w:eastAsia="Courier New" w:hAnsi="Courier New"/>
          <w:sz w:val="15"/>
          <w:szCs w:val="15"/>
          <w:color w:val="auto"/>
        </w:rPr>
        <w:t>Section 23.</w:t>
        <w:tab/>
        <w:t>CONSENTS, ETC.</w:t>
      </w:r>
      <w:r>
        <w:rPr>
          <w:sz w:val="20"/>
          <w:szCs w:val="20"/>
          <w:color w:val="auto"/>
        </w:rPr>
        <w:tab/>
      </w:r>
      <w:r>
        <w:rPr>
          <w:rFonts w:ascii="Courier New" w:cs="Courier New" w:eastAsia="Courier New" w:hAnsi="Courier New"/>
          <w:sz w:val="15"/>
          <w:szCs w:val="15"/>
          <w:color w:val="auto"/>
        </w:rPr>
        <w:t>. . . . . . . . . . . . . . . . . . . . . . . . . . . . . . . . . . . . . . . . . . .</w:t>
        <w:tab/>
        <w:t>82</w:t>
      </w:r>
    </w:p>
    <w:p>
      <w:pPr>
        <w:spacing w:after="0" w:line="5"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Section 24. WAIVER OF JURY TRIAL. . . . . . . . . . . . . . . . . . . . . . . . . . . . . . . . . . . . . . . . . 83 Section 25. GOVERNING LAW; SUBMISSION TO JURISDICTION. . . . . . . . . . . . . . . . . . . . . . . . . . . . . . . 83</w:t>
      </w:r>
    </w:p>
    <w:p>
      <w:pPr>
        <w:spacing w:after="0" w:line="237" w:lineRule="auto"/>
        <w:tabs>
          <w:tab w:leader="none" w:pos="1120" w:val="left"/>
          <w:tab w:leader="none" w:pos="2620" w:val="left"/>
          <w:tab w:leader="none" w:pos="10400" w:val="left"/>
        </w:tabs>
        <w:rPr>
          <w:sz w:val="20"/>
          <w:szCs w:val="20"/>
          <w:color w:val="auto"/>
        </w:rPr>
      </w:pPr>
      <w:r>
        <w:rPr>
          <w:rFonts w:ascii="Courier New" w:cs="Courier New" w:eastAsia="Courier New" w:hAnsi="Courier New"/>
          <w:sz w:val="15"/>
          <w:szCs w:val="15"/>
          <w:color w:val="auto"/>
        </w:rPr>
        <w:t>Section 26.</w:t>
        <w:tab/>
        <w:t>SEVERABILITY.</w:t>
      </w:r>
      <w:r>
        <w:rPr>
          <w:sz w:val="20"/>
          <w:szCs w:val="20"/>
          <w:color w:val="auto"/>
        </w:rPr>
        <w:tab/>
      </w:r>
      <w:r>
        <w:rPr>
          <w:rFonts w:ascii="Courier New" w:cs="Courier New" w:eastAsia="Courier New" w:hAnsi="Courier New"/>
          <w:sz w:val="15"/>
          <w:szCs w:val="15"/>
          <w:color w:val="auto"/>
        </w:rPr>
        <w:t>. . . . . . . . . . . . . . . . . . . . . . . . . . . . . . . . . . . . . . . . . . . .</w:t>
        <w:tab/>
        <w:t>84</w:t>
      </w:r>
    </w:p>
    <w:p>
      <w:pPr>
        <w:spacing w:after="0" w:line="5" w:lineRule="exact"/>
        <w:rPr>
          <w:sz w:val="20"/>
          <w:szCs w:val="20"/>
          <w:color w:val="auto"/>
        </w:rPr>
      </w:pPr>
    </w:p>
    <w:p>
      <w:pPr>
        <w:jc w:val="both"/>
        <w:ind w:left="1140"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Section 27.</w:t>
        <w:tab/>
        <w:t>GUARANTY. . . . . . . . . . . . . . . . . . . . . . . . . . . . . . . . . . . . . . . . . . . . . . . 84 Section 27.1. Guaranty. . . . . . . . . . . . . . . . . . . . . . . . . . . . . . . . . . . . . . . . 84</w:t>
      </w:r>
    </w:p>
    <w:p>
      <w:pPr>
        <w:spacing w:after="0" w:line="5" w:lineRule="exact"/>
        <w:rPr>
          <w:sz w:val="20"/>
          <w:szCs w:val="20"/>
          <w:color w:val="auto"/>
        </w:rPr>
      </w:pPr>
    </w:p>
    <w:p>
      <w:pPr>
        <w:jc w:val="both"/>
        <w:ind w:left="1140"/>
        <w:spacing w:after="0" w:line="236" w:lineRule="auto"/>
        <w:rPr>
          <w:sz w:val="20"/>
          <w:szCs w:val="20"/>
          <w:color w:val="auto"/>
        </w:rPr>
      </w:pPr>
      <w:r>
        <w:rPr>
          <w:rFonts w:ascii="Courier New" w:cs="Courier New" w:eastAsia="Courier New" w:hAnsi="Courier New"/>
          <w:sz w:val="15"/>
          <w:szCs w:val="15"/>
          <w:color w:val="auto"/>
        </w:rPr>
        <w:t>Section 27.2. Guaranty Absolute. . . . . . . . . . . . . . . . . . . . . . . . . . . . . . . . . . . 84 Section 27.3. Effectiveness; Enforcement. . . . . . . . . . . . . . . . . . . . . . . . . . . . . . . 85 Section 27.4. Waiver. . . . . . . . . . . . . . . . . . . . . . . . . . . . . . . . . . . . . . . . . 86 Section 27.5. Expenses. . . . . . . . . . . . . . . . . . . . . . . . . . . . . . . . . . . . . . . . 86 Section 27.6. Concerning Joint and Several Liability of the Guarantors. . . . . . . . . . . . . . . . 86 Section 27.7. Waiver. . . . . . . . . . . . . . . . . . . . . . . . . . . . . . . . . . . . . . . . . 89 Section 27.8. Subrogation; Subordination. . . . . . . . . . . . . . . . . . . . . . . . . . . . . . . 89</w:t>
      </w:r>
    </w:p>
    <w:p>
      <w:pPr>
        <w:spacing w:after="0" w:line="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Section 28. Pari Passu treatment. . . . . . . . . . . . . . . . . . . . . . . . . . . . . . . . . . . . . . . . . 89 Section 29. FINAL AGREEMENT. . . . . . . . . . . . . . . . . . . . . . . . . . . . . . . . . . . . . . . . . . . . 90</w:t>
      </w:r>
    </w:p>
    <w:p>
      <w:pPr>
        <w:sectPr>
          <w:pgSz w:w="11900" w:h="16838" w:orient="portrait"/>
          <w:cols w:equalWidth="0" w:num="1">
            <w:col w:w="10600"/>
          </w:cols>
          <w:pgMar w:left="220" w:top="281" w:right="1079"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w:t>
      </w:r>
    </w:p>
    <w:p>
      <w:pPr>
        <w:ind w:left="3240"/>
        <w:spacing w:after="0" w:line="237" w:lineRule="auto"/>
        <w:rPr>
          <w:sz w:val="20"/>
          <w:szCs w:val="20"/>
          <w:color w:val="auto"/>
        </w:rPr>
      </w:pPr>
      <w:r>
        <w:rPr>
          <w:rFonts w:ascii="Courier New" w:cs="Courier New" w:eastAsia="Courier New" w:hAnsi="Courier New"/>
          <w:sz w:val="15"/>
          <w:szCs w:val="15"/>
          <w:color w:val="auto"/>
        </w:rPr>
        <w:t>-v-</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J</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Syndicated Note</w:t>
      </w:r>
    </w:p>
    <w:p>
      <w:pPr>
        <w:spacing w:after="0" w:line="237" w:lineRule="auto"/>
        <w:rPr>
          <w:sz w:val="20"/>
          <w:szCs w:val="20"/>
          <w:color w:val="auto"/>
        </w:rPr>
      </w:pPr>
      <w:r>
        <w:rPr>
          <w:rFonts w:ascii="Courier New" w:cs="Courier New" w:eastAsia="Courier New" w:hAnsi="Courier New"/>
          <w:sz w:val="15"/>
          <w:szCs w:val="15"/>
          <w:color w:val="auto"/>
        </w:rPr>
        <w:t>Form of Swing Line Note</w:t>
      </w:r>
    </w:p>
    <w:p>
      <w:pPr>
        <w:spacing w:after="0" w:line="238" w:lineRule="auto"/>
        <w:rPr>
          <w:sz w:val="20"/>
          <w:szCs w:val="20"/>
          <w:color w:val="auto"/>
        </w:rPr>
      </w:pPr>
      <w:r>
        <w:rPr>
          <w:rFonts w:ascii="Courier New" w:cs="Courier New" w:eastAsia="Courier New" w:hAnsi="Courier New"/>
          <w:sz w:val="15"/>
          <w:szCs w:val="15"/>
          <w:color w:val="auto"/>
        </w:rPr>
        <w:t>Form of Competitive Bid Note</w:t>
      </w:r>
    </w:p>
    <w:p>
      <w:pPr>
        <w:spacing w:after="0" w:line="237" w:lineRule="auto"/>
        <w:rPr>
          <w:sz w:val="20"/>
          <w:szCs w:val="20"/>
          <w:color w:val="auto"/>
        </w:rPr>
      </w:pPr>
      <w:r>
        <w:rPr>
          <w:rFonts w:ascii="Courier New" w:cs="Courier New" w:eastAsia="Courier New" w:hAnsi="Courier New"/>
          <w:sz w:val="15"/>
          <w:szCs w:val="15"/>
          <w:color w:val="auto"/>
        </w:rPr>
        <w:t>Form of Syndicated Loan Request</w:t>
      </w:r>
    </w:p>
    <w:p>
      <w:pPr>
        <w:spacing w:after="0" w:line="238" w:lineRule="auto"/>
        <w:rPr>
          <w:sz w:val="20"/>
          <w:szCs w:val="20"/>
          <w:color w:val="auto"/>
        </w:rPr>
      </w:pPr>
      <w:r>
        <w:rPr>
          <w:rFonts w:ascii="Courier New" w:cs="Courier New" w:eastAsia="Courier New" w:hAnsi="Courier New"/>
          <w:sz w:val="15"/>
          <w:szCs w:val="15"/>
          <w:color w:val="auto"/>
        </w:rPr>
        <w:t>Form of Letter of Credit Request</w:t>
      </w:r>
    </w:p>
    <w:p>
      <w:pPr>
        <w:spacing w:after="0" w:line="237" w:lineRule="auto"/>
        <w:rPr>
          <w:sz w:val="20"/>
          <w:szCs w:val="20"/>
          <w:color w:val="auto"/>
        </w:rPr>
      </w:pPr>
      <w:r>
        <w:rPr>
          <w:rFonts w:ascii="Courier New" w:cs="Courier New" w:eastAsia="Courier New" w:hAnsi="Courier New"/>
          <w:sz w:val="15"/>
          <w:szCs w:val="15"/>
          <w:color w:val="auto"/>
        </w:rPr>
        <w:t>Form of Compliance Certificate</w:t>
      </w:r>
    </w:p>
    <w:p>
      <w:pPr>
        <w:spacing w:after="0" w:line="238" w:lineRule="auto"/>
        <w:rPr>
          <w:sz w:val="20"/>
          <w:szCs w:val="20"/>
          <w:color w:val="auto"/>
        </w:rPr>
      </w:pPr>
      <w:r>
        <w:rPr>
          <w:rFonts w:ascii="Courier New" w:cs="Courier New" w:eastAsia="Courier New" w:hAnsi="Courier New"/>
          <w:sz w:val="15"/>
          <w:szCs w:val="15"/>
          <w:color w:val="auto"/>
        </w:rPr>
        <w:t>Form of Assignment and Acceptance</w:t>
      </w:r>
    </w:p>
    <w:p>
      <w:pPr>
        <w:spacing w:after="0" w:line="237" w:lineRule="auto"/>
        <w:rPr>
          <w:sz w:val="20"/>
          <w:szCs w:val="20"/>
          <w:color w:val="auto"/>
        </w:rPr>
      </w:pPr>
      <w:r>
        <w:rPr>
          <w:rFonts w:ascii="Courier New" w:cs="Courier New" w:eastAsia="Courier New" w:hAnsi="Courier New"/>
          <w:sz w:val="15"/>
          <w:szCs w:val="15"/>
          <w:color w:val="auto"/>
        </w:rPr>
        <w:t>Form of Competitive Bid Quote Request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Invitation for Competitive Bid Quotes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237" w:lineRule="auto"/>
        <w:rPr>
          <w:sz w:val="20"/>
          <w:szCs w:val="20"/>
          <w:color w:val="auto"/>
        </w:rPr>
      </w:pPr>
      <w:r>
        <w:rPr>
          <w:rFonts w:ascii="Courier New" w:cs="Courier New" w:eastAsia="Courier New" w:hAnsi="Courier New"/>
          <w:sz w:val="15"/>
          <w:szCs w:val="15"/>
          <w:color w:val="auto"/>
        </w:rPr>
        <w:t>Form of Notice of Acceptance/Rejection of</w:t>
      </w:r>
    </w:p>
    <w:p>
      <w:pPr>
        <w:spacing w:after="0" w:line="238" w:lineRule="auto"/>
        <w:rPr>
          <w:sz w:val="20"/>
          <w:szCs w:val="20"/>
          <w:color w:val="auto"/>
        </w:rPr>
      </w:pPr>
      <w:r>
        <w:rPr>
          <w:rFonts w:ascii="Courier New" w:cs="Courier New" w:eastAsia="Courier New" w:hAnsi="Courier New"/>
          <w:sz w:val="15"/>
          <w:szCs w:val="15"/>
          <w:color w:val="auto"/>
        </w:rPr>
        <w:t>Competitive Bid Quote(s)</w:t>
      </w:r>
    </w:p>
    <w:p>
      <w:pPr>
        <w:spacing w:after="0" w:line="237" w:lineRule="auto"/>
        <w:rPr>
          <w:sz w:val="20"/>
          <w:szCs w:val="20"/>
          <w:color w:val="auto"/>
        </w:rPr>
      </w:pPr>
      <w:r>
        <w:rPr>
          <w:rFonts w:ascii="Courier New" w:cs="Courier New" w:eastAsia="Courier New" w:hAnsi="Courier New"/>
          <w:sz w:val="15"/>
          <w:szCs w:val="15"/>
          <w:color w:val="auto"/>
        </w:rPr>
        <w:t>Form of United Joinder</w:t>
      </w:r>
    </w:p>
    <w:p>
      <w:pPr>
        <w:spacing w:after="0" w:line="200" w:lineRule="exact"/>
        <w:rPr>
          <w:sz w:val="20"/>
          <w:szCs w:val="20"/>
          <w:color w:val="auto"/>
        </w:rPr>
      </w:pPr>
    </w:p>
    <w:p>
      <w:pPr>
        <w:sectPr>
          <w:pgSz w:w="11900" w:h="16838" w:orient="portrait"/>
          <w:cols w:equalWidth="0" w:num="2">
            <w:col w:w="1660" w:space="720"/>
            <w:col w:w="7859"/>
          </w:cols>
          <w:pgMar w:left="220" w:top="281" w:right="1440" w:bottom="1440" w:gutter="0" w:footer="0" w:header="0"/>
          <w:type w:val="continuous"/>
        </w:sectPr>
      </w:pPr>
    </w:p>
    <w:p>
      <w:pPr>
        <w:spacing w:after="0" w:line="142"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240"/>
        <w:spacing w:after="0" w:line="306" w:lineRule="auto"/>
        <w:rPr>
          <w:sz w:val="20"/>
          <w:szCs w:val="20"/>
          <w:color w:val="auto"/>
        </w:rPr>
      </w:pPr>
      <w:r>
        <w:rPr>
          <w:rFonts w:ascii="Courier New" w:cs="Courier New" w:eastAsia="Courier New" w:hAnsi="Courier New"/>
          <w:sz w:val="14"/>
          <w:szCs w:val="14"/>
          <w:color w:val="auto"/>
        </w:rPr>
        <w:t>Schedule 1 Schedule 3.1(a) Schedule 6.7 Schedule 6.15 Schedule 8.1(b) Schedule 8.2(a)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Commitment Percentages;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Addresses for Notices</w:t>
      </w:r>
    </w:p>
    <w:p>
      <w:pPr>
        <w:spacing w:after="0" w:line="237" w:lineRule="auto"/>
        <w:rPr>
          <w:sz w:val="20"/>
          <w:szCs w:val="20"/>
          <w:color w:val="auto"/>
        </w:rPr>
      </w:pPr>
      <w:r>
        <w:rPr>
          <w:rFonts w:ascii="Courier New" w:cs="Courier New" w:eastAsia="Courier New" w:hAnsi="Courier New"/>
          <w:sz w:val="15"/>
          <w:szCs w:val="15"/>
          <w:color w:val="auto"/>
        </w:rPr>
        <w:t>Existing Letters of Credit</w:t>
      </w:r>
    </w:p>
    <w:p>
      <w:pPr>
        <w:spacing w:after="0" w:line="238" w:lineRule="auto"/>
        <w:rPr>
          <w:sz w:val="20"/>
          <w:szCs w:val="20"/>
          <w:color w:val="auto"/>
        </w:rPr>
      </w:pPr>
      <w:r>
        <w:rPr>
          <w:rFonts w:ascii="Courier New" w:cs="Courier New" w:eastAsia="Courier New" w:hAnsi="Courier New"/>
          <w:sz w:val="15"/>
          <w:szCs w:val="15"/>
          <w:color w:val="auto"/>
        </w:rPr>
        <w:t>Litigation</w:t>
      </w:r>
    </w:p>
    <w:p>
      <w:pPr>
        <w:spacing w:after="0" w:line="237" w:lineRule="auto"/>
        <w:rPr>
          <w:sz w:val="20"/>
          <w:szCs w:val="20"/>
          <w:color w:val="auto"/>
        </w:rPr>
      </w:pPr>
      <w:r>
        <w:rPr>
          <w:rFonts w:ascii="Courier New" w:cs="Courier New" w:eastAsia="Courier New" w:hAnsi="Courier New"/>
          <w:sz w:val="15"/>
          <w:szCs w:val="15"/>
          <w:color w:val="auto"/>
        </w:rPr>
        <w:t>Environmental Compliance</w:t>
      </w:r>
    </w:p>
    <w:p>
      <w:pPr>
        <w:spacing w:after="0" w:line="238" w:lineRule="auto"/>
        <w:rPr>
          <w:sz w:val="20"/>
          <w:szCs w:val="20"/>
          <w:color w:val="auto"/>
        </w:rPr>
      </w:pPr>
      <w:r>
        <w:rPr>
          <w:rFonts w:ascii="Courier New" w:cs="Courier New" w:eastAsia="Courier New" w:hAnsi="Courier New"/>
          <w:sz w:val="15"/>
          <w:szCs w:val="15"/>
          <w:color w:val="auto"/>
        </w:rPr>
        <w:t>Existing Indebtedness</w:t>
      </w:r>
    </w:p>
    <w:p>
      <w:pPr>
        <w:spacing w:after="0" w:line="237" w:lineRule="auto"/>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1560" w:space="720"/>
            <w:col w:w="7959"/>
          </w:cols>
          <w:pgMar w:left="220" w:top="281"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AMENDED AND RESTATED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REVOLVING CREDIT AGREEMENT</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This AMENDED AND RESTATED REVOLVING CREDIT AGREEMENT is made as of the 7th day of August, 1997, by and among USA WASTE SERVICES, INC., a Delaware corporation having its chief executive office at 1001 Fannin Street, First City Tower, Suite 4000, Houston, Texas 77002 (the "Borrower"), the Guarantors, and BANK OF AMERICA NATIONAL TRUST AND SAVINGS ASSOCIATION, a national banking association having its principal place of business at 231 South LaSalle Street Chicago, IL 60697 (successor by merger to Bank of America Illinois and referred to herein as "BOA"), MORGAN GUARANTY TRUST COMPANY OF NEW YORK, a New York state banking association having its principal place of business at 60 Wall Street, New York, New York 10260 ("MGT"), and each of the other financial institutions party hereto (collectively, the "Banks"), and MGT as administrative agent and documentation agent (the "Administrative Agent").</w:t>
      </w:r>
    </w:p>
    <w:p>
      <w:pPr>
        <w:spacing w:after="0" w:line="15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WHEREAS, the Borrower, Canadian Waste Services Inc., Sanifill, BOA, MGT and certain of the Banks, and MGT as Administrative and Documentation Agent thereunder (collectively, the "Original Parties") are party to that certain Amended and Restated Revolving Credit Agreement dated as of March 5, 1997, by and among the Original Parties (as amended and in effect from time to time, the "Original Credit Agreement"); and</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WHEREAS, the Borrower has requested, among other things, additional financing and the Banks are willing to provide such financing on the terms and conditions set forth herein to replace the Original Credit Agreement;</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NOW, THEREFORE, in consideration of the foregoing, the mutual covenants and agreements set forth herein below, and other good and valuable consideration, the receipt and sufficiency of which are hereby acknowledged by the parties, the parties hereto agree, and the Original Parties have acknowledged, that on the Closing Date the Original Credit Agreement shall be amended and restated by this Agreement, the terms of which are as follows:</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8</w:t>
      </w:r>
    </w:p>
    <w:p>
      <w:pPr>
        <w:ind w:left="334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360"/>
        <w:spacing w:after="0"/>
        <w:tabs>
          <w:tab w:leader="none" w:pos="340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66"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7.4(a).</w:t>
      </w:r>
    </w:p>
    <w:p>
      <w:pPr>
        <w:spacing w:after="0" w:line="166" w:lineRule="exact"/>
        <w:rPr>
          <w:sz w:val="20"/>
          <w:szCs w:val="20"/>
          <w:color w:val="auto"/>
        </w:rPr>
      </w:pPr>
    </w:p>
    <w:p>
      <w:pPr>
        <w:ind w:left="360"/>
        <w:spacing w:after="0"/>
        <w:tabs>
          <w:tab w:leader="none" w:pos="23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66"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5.12.</w:t>
      </w:r>
    </w:p>
    <w:p>
      <w:pPr>
        <w:spacing w:after="0" w:line="173"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4"/>
          <w:szCs w:val="14"/>
          <w:color w:val="auto"/>
        </w:rPr>
        <w:t>Agents.</w:t>
        <w:tab/>
        <w:t>BOA, BancAmerica Securities, Inc. and J.P. Morgan Securities Inc.</w:t>
      </w:r>
    </w:p>
    <w:p>
      <w:pPr>
        <w:spacing w:after="0" w:line="178"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Agreement. This Amended and Restated Revolving Credit Agreement, including the Schedules and Exhibits hereto, as from time to time amended and supplemented in accordance with the terms hereof.</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Subsidiaries, including the Pension Benefits Act (Ontario), the Income Tax Act (Canada), and all regulations made thereunder.</w:t>
      </w:r>
    </w:p>
    <w:p>
      <w:pPr>
        <w:spacing w:after="0" w:line="174"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shall be as set forth in the Pricing Table.</w:t>
      </w:r>
    </w:p>
    <w:p>
      <w:pPr>
        <w:spacing w:after="0" w:line="17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67" w:lineRule="exact"/>
        <w:rPr>
          <w:sz w:val="20"/>
          <w:szCs w:val="20"/>
          <w:color w:val="auto"/>
        </w:rPr>
      </w:pPr>
    </w:p>
    <w:p>
      <w:pPr>
        <w:ind w:left="360"/>
        <w:spacing w:after="0"/>
        <w:tabs>
          <w:tab w:leader="none" w:pos="262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7.10.</w:t>
      </w:r>
    </w:p>
    <w:p>
      <w:pPr>
        <w:spacing w:after="0" w:line="173"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3" w:lineRule="exact"/>
        <w:rPr>
          <w:sz w:val="20"/>
          <w:szCs w:val="20"/>
          <w:color w:val="auto"/>
        </w:rPr>
      </w:pPr>
    </w:p>
    <w:p>
      <w:pPr>
        <w:ind w:left="360"/>
        <w:spacing w:after="0"/>
        <w:tabs>
          <w:tab w:leader="none" w:pos="278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19.</w:t>
      </w:r>
    </w:p>
    <w:p>
      <w:pPr>
        <w:spacing w:after="0" w:line="166" w:lineRule="exact"/>
        <w:rPr>
          <w:sz w:val="20"/>
          <w:szCs w:val="20"/>
          <w:color w:val="auto"/>
        </w:rPr>
      </w:pPr>
    </w:p>
    <w:p>
      <w:pPr>
        <w:ind w:left="360"/>
        <w:spacing w:after="0"/>
        <w:tabs>
          <w:tab w:leader="none" w:pos="3760" w:val="left"/>
        </w:tabs>
        <w:rPr>
          <w:sz w:val="20"/>
          <w:szCs w:val="20"/>
          <w:color w:val="auto"/>
        </w:rPr>
      </w:pPr>
      <w:r>
        <w:rPr>
          <w:rFonts w:ascii="Courier New" w:cs="Courier New" w:eastAsia="Courier New" w:hAnsi="Courier New"/>
          <w:sz w:val="15"/>
          <w:szCs w:val="15"/>
          <w:color w:val="auto"/>
        </w:rPr>
        <w:t>Average Quarterly Utilization Amount.</w:t>
      </w:r>
      <w:r>
        <w:rPr>
          <w:sz w:val="20"/>
          <w:szCs w:val="20"/>
          <w:color w:val="auto"/>
        </w:rPr>
        <w:tab/>
      </w:r>
      <w:r>
        <w:rPr>
          <w:rFonts w:ascii="Courier New" w:cs="Courier New" w:eastAsia="Courier New" w:hAnsi="Courier New"/>
          <w:sz w:val="14"/>
          <w:szCs w:val="14"/>
          <w:color w:val="auto"/>
        </w:rPr>
        <w:t>See Section 2.2(b).</w:t>
      </w:r>
    </w:p>
    <w:p>
      <w:pPr>
        <w:spacing w:after="0" w:line="166" w:lineRule="exact"/>
        <w:rPr>
          <w:sz w:val="20"/>
          <w:szCs w:val="20"/>
          <w:color w:val="auto"/>
        </w:rPr>
      </w:pPr>
    </w:p>
    <w:p>
      <w:pPr>
        <w:ind w:left="360"/>
        <w:spacing w:after="0"/>
        <w:tabs>
          <w:tab w:leader="none" w:pos="2180" w:val="left"/>
          <w:tab w:leader="none" w:pos="4460" w:val="left"/>
        </w:tabs>
        <w:rPr>
          <w:sz w:val="20"/>
          <w:szCs w:val="20"/>
          <w:color w:val="auto"/>
        </w:rPr>
      </w:pPr>
      <w:r>
        <w:rPr>
          <w:rFonts w:ascii="Courier New" w:cs="Courier New" w:eastAsia="Courier New" w:hAnsi="Courier New"/>
          <w:sz w:val="15"/>
          <w:szCs w:val="15"/>
          <w:color w:val="auto"/>
        </w:rPr>
        <w:t>Balance Sheet Date.</w:t>
        <w:tab/>
        <w:t>December 31, 1996.Banks.</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Base Rate. The higher of (a) the annual rate of interest announced from time to time by the Administrative Agent at its Head Office as its "prime rate" (it being understood that such rate is a reference rate and not necessarily the</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9</w:t>
      </w:r>
    </w:p>
    <w:p>
      <w:pPr>
        <w:ind w:left="3340"/>
        <w:spacing w:after="0" w:line="237" w:lineRule="auto"/>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lowest rate of interest charged by the Administrative Agent), or (b) one percent (1%) above the Overnight Federal Funds Effective Rate.</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67"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BOA.</w:t>
        <w:tab/>
        <w:t>See Preamble.</w:t>
      </w:r>
    </w:p>
    <w:p>
      <w:pPr>
        <w:spacing w:after="0" w:line="166" w:lineRule="exact"/>
        <w:rPr>
          <w:sz w:val="20"/>
          <w:szCs w:val="20"/>
          <w:color w:val="auto"/>
        </w:rPr>
      </w:pPr>
    </w:p>
    <w:p>
      <w:pPr>
        <w:ind w:left="360"/>
        <w:spacing w:after="0"/>
        <w:tabs>
          <w:tab w:leader="none" w:pos="1300" w:val="left"/>
        </w:tabs>
        <w:rPr>
          <w:sz w:val="20"/>
          <w:szCs w:val="20"/>
          <w:color w:val="auto"/>
        </w:rPr>
      </w:pPr>
      <w:r>
        <w:rPr>
          <w:rFonts w:ascii="Courier New" w:cs="Courier New" w:eastAsia="Courier New" w:hAnsi="Courier New"/>
          <w:sz w:val="15"/>
          <w:szCs w:val="15"/>
          <w:color w:val="auto"/>
        </w:rPr>
        <w:t>Borrower.</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61"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69"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5"/>
          <w:szCs w:val="15"/>
          <w:color w:val="auto"/>
        </w:rPr>
        <w:t>CERCLA.</w:t>
        <w:tab/>
        <w:t>See Section 6.15(a).</w:t>
      </w:r>
    </w:p>
    <w:p>
      <w:pPr>
        <w:spacing w:after="0" w:line="173"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58" w:lineRule="exact"/>
        <w:rPr>
          <w:sz w:val="20"/>
          <w:szCs w:val="20"/>
          <w:color w:val="auto"/>
        </w:rPr>
      </w:pPr>
    </w:p>
    <w:p>
      <w:pPr>
        <w:ind w:left="360"/>
        <w:spacing w:after="0"/>
        <w:tabs>
          <w:tab w:leader="none" w:pos="18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7.4(b).</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Closing Date. The date on which the conditions precedent set forth in Section 10.1 hereof are satisfied.</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2.3 and Section 19.</w:t>
      </w:r>
    </w:p>
    <w:p>
      <w:pPr>
        <w:spacing w:after="0" w:line="174"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Competitive Bid Loan(s). A borrowing hereunder consisting of one or more loans made by any of the participating Banks whose offer to make a</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10</w:t>
      </w:r>
    </w:p>
    <w:p>
      <w:pPr>
        <w:ind w:left="3340"/>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Competitive Bid Loan as part of such borrowing has been accepted by the Borrower under the auction bidding procedure described in Section 4 hereof.</w:t>
      </w:r>
    </w:p>
    <w:p>
      <w:pPr>
        <w:spacing w:after="0" w:line="153"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4.2(a).</w:t>
      </w:r>
    </w:p>
    <w:p>
      <w:pPr>
        <w:spacing w:after="0" w:line="166" w:lineRule="exact"/>
        <w:rPr>
          <w:sz w:val="20"/>
          <w:szCs w:val="20"/>
          <w:color w:val="auto"/>
        </w:rPr>
      </w:pPr>
    </w:p>
    <w:p>
      <w:pPr>
        <w:ind w:left="360"/>
        <w:spacing w:after="0"/>
        <w:tabs>
          <w:tab w:leader="none" w:pos="252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4.5(b)(iv).</w:t>
      </w:r>
    </w:p>
    <w:p>
      <w:pPr>
        <w:spacing w:after="0" w:line="166" w:lineRule="exact"/>
        <w:rPr>
          <w:sz w:val="20"/>
          <w:szCs w:val="20"/>
          <w:color w:val="auto"/>
        </w:rPr>
      </w:pPr>
    </w:p>
    <w:p>
      <w:pPr>
        <w:ind w:left="360"/>
        <w:spacing w:after="0"/>
        <w:tabs>
          <w:tab w:leader="none" w:pos="2440"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4.2(b).</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67"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4.3.</w:t>
      </w:r>
    </w:p>
    <w:p>
      <w:pPr>
        <w:spacing w:after="0" w:line="166" w:lineRule="exact"/>
        <w:rPr>
          <w:sz w:val="20"/>
          <w:szCs w:val="20"/>
          <w:color w:val="auto"/>
        </w:rPr>
      </w:pPr>
    </w:p>
    <w:p>
      <w:pPr>
        <w:ind w:left="360"/>
        <w:spacing w:after="0"/>
        <w:tabs>
          <w:tab w:leader="none" w:pos="2360"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66" w:lineRule="exact"/>
        <w:rPr>
          <w:sz w:val="20"/>
          <w:szCs w:val="20"/>
          <w:color w:val="auto"/>
        </w:rPr>
      </w:pPr>
    </w:p>
    <w:p>
      <w:pPr>
        <w:ind w:left="360"/>
        <w:spacing w:after="0"/>
        <w:tabs>
          <w:tab w:leader="none" w:pos="2520"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7.4(c).</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the sum of (1) interest expense, (2) income taxes,</w:t>
      </w:r>
    </w:p>
    <w:p>
      <w:pPr>
        <w:spacing w:after="0" w:line="1" w:lineRule="exact"/>
        <w:rPr>
          <w:sz w:val="20"/>
          <w:szCs w:val="20"/>
          <w:color w:val="auto"/>
        </w:rPr>
      </w:pPr>
    </w:p>
    <w:p>
      <w:pPr>
        <w:ind w:right="3319" w:firstLine="10"/>
        <w:spacing w:after="0" w:line="254"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$39,000,000 in pooling charges actually incurred with respect to the Western Waste Merger taken as a special charge in the quarter ending June 30, 1996, (4) up to $82,556,000 in pooling charges actually incurred with respect to the Sanifill Merger, taken as a special charge in the quarter ending September 30, 1996, (5) up to $50,848,000 in extraordinary charges actually incurred in the quarter ending September 30, 1996, (6) up to $50,000,000 in pooling charges actually incurred with respect to the United Merger, taken as a special charge in the quarter ending September 30, 1997, (7) up to $6,200,000 related to prepayment penalties in connection with the Prudential Private Placement Debt, and (8) up to $4,000,000 related to prepayment penalties in connection with the United Senior Secured Notes to the extent that each of items (1) through (8) was deducted in determining Consolidated Net Income (or Deficit) in the relevant period; provided, however, that EBIT shall not include</w:t>
      </w:r>
    </w:p>
    <w:p>
      <w:pPr>
        <w:spacing w:after="0" w:line="4" w:lineRule="exact"/>
        <w:rPr>
          <w:rFonts w:ascii="Courier New" w:cs="Courier New" w:eastAsia="Courier New" w:hAnsi="Courier New"/>
          <w:sz w:val="14"/>
          <w:szCs w:val="14"/>
          <w:color w:val="auto"/>
        </w:rPr>
      </w:pPr>
    </w:p>
    <w:p>
      <w:pPr>
        <w:ind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extraordinary gains from tax credits occurring in any quarter commencing with the quarter ending September 30, 1996, or (B) any cash reimbursements or payments received with respect to item (5).</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11</w:t>
      </w:r>
    </w:p>
    <w:p>
      <w:pPr>
        <w:ind w:left="3340"/>
        <w:spacing w:after="0" w:line="237" w:lineRule="auto"/>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calculation of Consolidated Net Income for such period, determined in accordance with GAAP.</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59" w:lineRule="exact"/>
        <w:rPr>
          <w:sz w:val="20"/>
          <w:szCs w:val="20"/>
          <w:color w:val="auto"/>
        </w:rPr>
      </w:pPr>
    </w:p>
    <w:p>
      <w:pPr>
        <w:ind w:left="360"/>
        <w:spacing w:after="0"/>
        <w:tabs>
          <w:tab w:leader="none" w:pos="3060"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 of:</w:t>
      </w:r>
    </w:p>
    <w:p>
      <w:pPr>
        <w:spacing w:after="0" w:line="173" w:lineRule="exact"/>
        <w:rPr>
          <w:sz w:val="20"/>
          <w:szCs w:val="20"/>
          <w:color w:val="auto"/>
        </w:rPr>
      </w:pPr>
    </w:p>
    <w:p>
      <w:pPr>
        <w:ind w:left="360" w:right="3319" w:firstLine="787"/>
        <w:spacing w:after="0" w:line="236" w:lineRule="auto"/>
        <w:tabs>
          <w:tab w:leader="none" w:pos="18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jc w:val="both"/>
        <w:ind w:left="360" w:right="3319" w:firstLine="787"/>
        <w:spacing w:after="0" w:line="235" w:lineRule="auto"/>
        <w:tabs>
          <w:tab w:leader="none" w:pos="18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4" w:lineRule="exact"/>
        <w:rPr>
          <w:sz w:val="20"/>
          <w:szCs w:val="20"/>
          <w:color w:val="auto"/>
        </w:rPr>
      </w:pPr>
    </w:p>
    <w:p>
      <w:pPr>
        <w:ind w:right="3939" w:firstLine="350"/>
        <w:spacing w:after="0" w:line="261" w:lineRule="auto"/>
        <w:rPr>
          <w:sz w:val="20"/>
          <w:szCs w:val="20"/>
          <w:color w:val="auto"/>
        </w:rPr>
      </w:pPr>
      <w:r>
        <w:rPr>
          <w:rFonts w:ascii="Courier New" w:cs="Courier New" w:eastAsia="Courier New" w:hAnsi="Courier New"/>
          <w:sz w:val="14"/>
          <w:szCs w:val="14"/>
          <w:color w:val="auto"/>
        </w:rPr>
        <w:t>Consolidated Total Assets. All assets of the Borrower and its Subsidiaries determined on a consolidated basis in accordance with GAAP.</w:t>
      </w:r>
    </w:p>
    <w:p>
      <w:pPr>
        <w:spacing w:after="0" w:line="160" w:lineRule="exact"/>
        <w:rPr>
          <w:sz w:val="20"/>
          <w:szCs w:val="20"/>
          <w:color w:val="auto"/>
        </w:rPr>
      </w:pPr>
    </w:p>
    <w:p>
      <w:pPr>
        <w:ind w:right="4379" w:firstLine="350"/>
        <w:spacing w:after="0" w:line="234" w:lineRule="auto"/>
        <w:rPr>
          <w:sz w:val="20"/>
          <w:szCs w:val="20"/>
          <w:color w:val="auto"/>
        </w:rPr>
      </w:pPr>
      <w:r>
        <w:rPr>
          <w:rFonts w:ascii="Courier New" w:cs="Courier New" w:eastAsia="Courier New" w:hAnsi="Courier New"/>
          <w:sz w:val="15"/>
          <w:szCs w:val="15"/>
          <w:color w:val="auto"/>
        </w:rPr>
        <w:t>Consolidated Total Capitalization. The sum of Funded Debt plus Consolidated Net Worth.</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67"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5.12.</w:t>
      </w:r>
    </w:p>
    <w:p>
      <w:pPr>
        <w:spacing w:after="0" w:line="166" w:lineRule="exact"/>
        <w:rPr>
          <w:sz w:val="20"/>
          <w:szCs w:val="20"/>
          <w:color w:val="auto"/>
        </w:rPr>
      </w:pPr>
    </w:p>
    <w:p>
      <w:pPr>
        <w:ind w:left="360"/>
        <w:spacing w:after="0"/>
        <w:tabs>
          <w:tab w:leader="none" w:pos="1300" w:val="left"/>
        </w:tabs>
        <w:rPr>
          <w:sz w:val="20"/>
          <w:szCs w:val="20"/>
          <w:color w:val="auto"/>
        </w:rPr>
      </w:pPr>
      <w:r>
        <w:rPr>
          <w:rFonts w:ascii="Courier New" w:cs="Courier New" w:eastAsia="Courier New" w:hAnsi="Courier New"/>
          <w:sz w:val="15"/>
          <w:szCs w:val="15"/>
          <w:color w:val="auto"/>
        </w:rPr>
        <w:t>Defaults.</w:t>
      </w:r>
      <w:r>
        <w:rPr>
          <w:sz w:val="20"/>
          <w:szCs w:val="20"/>
          <w:color w:val="auto"/>
        </w:rPr>
        <w:tab/>
      </w:r>
      <w:r>
        <w:rPr>
          <w:rFonts w:ascii="Courier New" w:cs="Courier New" w:eastAsia="Courier New" w:hAnsi="Courier New"/>
          <w:sz w:val="14"/>
          <w:szCs w:val="14"/>
          <w:color w:val="auto"/>
        </w:rPr>
        <w:t>See Section 12.1.</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12</w:t>
      </w:r>
    </w:p>
    <w:p>
      <w:pPr>
        <w:ind w:left="3340"/>
        <w:spacing w:after="0" w:line="237" w:lineRule="auto"/>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360"/>
        <w:spacing w:after="0"/>
        <w:tabs>
          <w:tab w:leader="none" w:pos="1300" w:val="left"/>
        </w:tabs>
        <w:rPr>
          <w:sz w:val="20"/>
          <w:szCs w:val="20"/>
          <w:color w:val="auto"/>
        </w:rPr>
      </w:pPr>
      <w:r>
        <w:rPr>
          <w:rFonts w:ascii="Courier New" w:cs="Courier New" w:eastAsia="Courier New" w:hAnsi="Courier New"/>
          <w:sz w:val="15"/>
          <w:szCs w:val="15"/>
          <w:color w:val="auto"/>
        </w:rPr>
        <w:t>Disposal.</w:t>
      </w:r>
      <w:r>
        <w:rPr>
          <w:sz w:val="20"/>
          <w:szCs w:val="20"/>
          <w:color w:val="auto"/>
        </w:rPr>
        <w:tab/>
      </w:r>
      <w:r>
        <w:rPr>
          <w:rFonts w:ascii="Courier New" w:cs="Courier New" w:eastAsia="Courier New" w:hAnsi="Courier New"/>
          <w:sz w:val="14"/>
          <w:szCs w:val="14"/>
          <w:color w:val="auto"/>
        </w:rPr>
        <w:t>See "Release".</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67"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Drawdown Date.</w:t>
      </w:r>
      <w:r>
        <w:rPr>
          <w:sz w:val="20"/>
          <w:szCs w:val="20"/>
          <w:color w:val="auto"/>
        </w:rPr>
        <w:tab/>
      </w:r>
      <w:r>
        <w:rPr>
          <w:rFonts w:ascii="Courier New" w:cs="Courier New" w:eastAsia="Courier New" w:hAnsi="Courier New"/>
          <w:sz w:val="14"/>
          <w:szCs w:val="14"/>
          <w:color w:val="auto"/>
        </w:rPr>
        <w:t>The date on which any Loan is made or is to be made.</w:t>
      </w:r>
    </w:p>
    <w:p>
      <w:pPr>
        <w:spacing w:after="0" w:line="173" w:lineRule="exact"/>
        <w:rPr>
          <w:sz w:val="20"/>
          <w:szCs w:val="20"/>
          <w:color w:val="auto"/>
        </w:rPr>
      </w:pPr>
    </w:p>
    <w:p>
      <w:pPr>
        <w:ind w:left="360"/>
        <w:spacing w:after="0"/>
        <w:tabs>
          <w:tab w:leader="none" w:pos="960" w:val="left"/>
        </w:tabs>
        <w:rPr>
          <w:sz w:val="20"/>
          <w:szCs w:val="20"/>
          <w:color w:val="auto"/>
        </w:rPr>
      </w:pPr>
      <w:r>
        <w:rPr>
          <w:rFonts w:ascii="Courier New" w:cs="Courier New" w:eastAsia="Courier New" w:hAnsi="Courier New"/>
          <w:sz w:val="14"/>
          <w:szCs w:val="14"/>
          <w:color w:val="auto"/>
        </w:rPr>
        <w:t>EBIT.</w:t>
        <w:tab/>
        <w:t>See definition of Consolidated Earnings Before Interest and Taxes.</w:t>
      </w:r>
    </w:p>
    <w:p>
      <w:pPr>
        <w:spacing w:after="0" w:line="178"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69" w:lineRule="exact"/>
        <w:rPr>
          <w:sz w:val="20"/>
          <w:szCs w:val="20"/>
          <w:color w:val="auto"/>
        </w:rPr>
      </w:pPr>
    </w:p>
    <w:p>
      <w:pPr>
        <w:ind w:left="360"/>
        <w:spacing w:after="0"/>
        <w:tabs>
          <w:tab w:leader="none" w:pos="21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6.15(a).</w:t>
      </w:r>
    </w:p>
    <w:p>
      <w:pPr>
        <w:spacing w:after="0" w:line="166"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EPA.</w:t>
        <w:tab/>
        <w:t>See Section 6.15(b).</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ERISA Affiliate. Any Person which is treated as a single employer with the Borrower or any of its Subsidiaries under Section 414 of the Code.</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5" w:lineRule="exact"/>
        <w:rPr>
          <w:sz w:val="20"/>
          <w:szCs w:val="20"/>
          <w:color w:val="auto"/>
        </w:rPr>
      </w:pPr>
    </w:p>
    <w:p>
      <w:pPr>
        <w:jc w:val="both"/>
        <w:ind w:right="3399" w:firstLine="350"/>
        <w:spacing w:after="0" w:line="258" w:lineRule="auto"/>
        <w:rPr>
          <w:sz w:val="20"/>
          <w:szCs w:val="20"/>
          <w:color w:val="auto"/>
        </w:rPr>
      </w:pPr>
      <w:r>
        <w:rPr>
          <w:rFonts w:ascii="Courier New" w:cs="Courier New" w:eastAsia="Courier New" w:hAnsi="Courier New"/>
          <w:sz w:val="14"/>
          <w:szCs w:val="14"/>
          <w:color w:val="auto"/>
        </w:rPr>
        <w:t>Eurocurrency Reserve Rate. For any day with respect to a Eurodollar Loan, the maximum rate (expressed as a decimal) at which any lender subject thereto would be required to maintain reserves under Regulation D of the Board</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13</w:t>
      </w:r>
    </w:p>
    <w:p>
      <w:pPr>
        <w:ind w:left="3340"/>
        <w:spacing w:after="0" w:line="237" w:lineRule="auto"/>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6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5"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Eurodollar Interest Determination Date. For any Interest Period, the date two Eurodollar Business Days prior to the first day of such Interest Period.</w:t>
      </w:r>
    </w:p>
    <w:p>
      <w:pPr>
        <w:spacing w:after="0" w:line="160"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Eurodollar Lending Office. Initially, the office of each Bank set forth in Schedule 1 hereto; thereafter, upon notice to the Administrative Agent, such other office of such Bank that shall be making or maintaining Eurodollar Loans.</w:t>
      </w:r>
    </w:p>
    <w:p>
      <w:pPr>
        <w:spacing w:after="0" w:line="161" w:lineRule="exact"/>
        <w:rPr>
          <w:sz w:val="20"/>
          <w:szCs w:val="20"/>
          <w:color w:val="auto"/>
        </w:rPr>
      </w:pPr>
    </w:p>
    <w:p>
      <w:pPr>
        <w:ind w:right="4099" w:firstLine="350"/>
        <w:spacing w:after="0" w:line="234"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58" w:lineRule="exact"/>
        <w:rPr>
          <w:sz w:val="20"/>
          <w:szCs w:val="20"/>
          <w:color w:val="auto"/>
        </w:rPr>
      </w:pPr>
    </w:p>
    <w:p>
      <w:pPr>
        <w:ind w:left="360"/>
        <w:spacing w:after="0"/>
        <w:tabs>
          <w:tab w:leader="none" w:pos="208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12.1.</w:t>
      </w:r>
    </w:p>
    <w:p>
      <w:pPr>
        <w:spacing w:after="0" w:line="166" w:lineRule="exact"/>
        <w:rPr>
          <w:sz w:val="20"/>
          <w:szCs w:val="20"/>
          <w:color w:val="auto"/>
        </w:rPr>
      </w:pP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2.2(a).</w:t>
      </w:r>
    </w:p>
    <w:p>
      <w:pPr>
        <w:spacing w:after="0" w:line="173" w:lineRule="exact"/>
        <w:rPr>
          <w:sz w:val="20"/>
          <w:szCs w:val="20"/>
          <w:color w:val="auto"/>
        </w:rPr>
      </w:pPr>
    </w:p>
    <w:p>
      <w:pPr>
        <w:ind w:right="3679" w:firstLine="350"/>
        <w:spacing w:after="0" w:line="236" w:lineRule="auto"/>
        <w:rPr>
          <w:sz w:val="20"/>
          <w:szCs w:val="20"/>
          <w:color w:val="auto"/>
        </w:rPr>
      </w:pPr>
      <w:r>
        <w:rPr>
          <w:rFonts w:ascii="Courier New" w:cs="Courier New" w:eastAsia="Courier New" w:hAnsi="Courier New"/>
          <w:sz w:val="15"/>
          <w:szCs w:val="15"/>
          <w:color w:val="auto"/>
        </w:rPr>
        <w:t>Funded Debt. Consolidated Indebtedness of the Borrower and its Subsidiaries for borrowed money and guarantees of debt for borrowed money recorded on the Consolidated balance sheet of the Borrower and its Subsidiaries, including the amount of any Indebtedness of such Persons for Capitalized Leases which corresponds to principal and any Indebtedness with respect to Permitted Receivables Transactions.</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14</w:t>
      </w:r>
    </w:p>
    <w:p>
      <w:pPr>
        <w:ind w:left="3340"/>
        <w:spacing w:after="0" w:line="237" w:lineRule="auto"/>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325" w:lineRule="exact"/>
        <w:rPr>
          <w:sz w:val="20"/>
          <w:szCs w:val="20"/>
          <w:color w:val="auto"/>
        </w:rPr>
      </w:pPr>
    </w:p>
    <w:p>
      <w:pPr>
        <w:ind w:left="360"/>
        <w:spacing w:after="0"/>
        <w:tabs>
          <w:tab w:leader="none" w:pos="2520"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27.1.</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4"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Guarantors. Shall mean Sanifill prior to the United Joinder Date, and shall mean Sanifill and United, collectively, after the United Joinder Date.</w:t>
      </w:r>
    </w:p>
    <w:p>
      <w:pPr>
        <w:spacing w:after="0" w:line="153" w:lineRule="exact"/>
        <w:rPr>
          <w:sz w:val="20"/>
          <w:szCs w:val="20"/>
          <w:color w:val="auto"/>
        </w:rPr>
      </w:pPr>
    </w:p>
    <w:p>
      <w:pPr>
        <w:ind w:left="360"/>
        <w:spacing w:after="0"/>
        <w:tabs>
          <w:tab w:leader="none" w:pos="2360"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6.15(b).</w:t>
      </w:r>
    </w:p>
    <w:p>
      <w:pPr>
        <w:spacing w:after="0" w:line="173"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15</w:t>
      </w:r>
    </w:p>
    <w:p>
      <w:pPr>
        <w:ind w:left="3340"/>
        <w:spacing w:after="0" w:line="237" w:lineRule="auto"/>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obligations, liabilities or indebtedness (contingent or otherwise) under surety, performance bonds or any other bonding arrangements, (g) all Indebtedness of others referred to in clauses (a) 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w:t>
      </w:r>
    </w:p>
    <w:p>
      <w:pPr>
        <w:spacing w:after="0" w:line="3" w:lineRule="exact"/>
        <w:rPr>
          <w:sz w:val="20"/>
          <w:szCs w:val="20"/>
          <w:color w:val="auto"/>
        </w:rPr>
      </w:pPr>
    </w:p>
    <w:p>
      <w:pPr>
        <w:ind w:right="3399" w:firstLine="10"/>
        <w:spacing w:after="0" w:line="255"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w:t>
      </w:r>
    </w:p>
    <w:p>
      <w:pPr>
        <w:spacing w:after="0" w:line="33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325" w:lineRule="exact"/>
        <w:rPr>
          <w:sz w:val="20"/>
          <w:szCs w:val="20"/>
          <w:color w:val="auto"/>
        </w:rPr>
      </w:pPr>
    </w:p>
    <w:p>
      <w:pPr>
        <w:ind w:left="360"/>
        <w:spacing w:after="0"/>
        <w:tabs>
          <w:tab w:leader="none" w:pos="2880"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March 31, 1997.</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16</w:t>
      </w:r>
    </w:p>
    <w:p>
      <w:pPr>
        <w:ind w:left="3340"/>
        <w:spacing w:after="0" w:line="237" w:lineRule="auto"/>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w:t>
      </w:r>
    </w:p>
    <w:p>
      <w:pPr>
        <w:spacing w:after="0" w:line="175" w:lineRule="exact"/>
        <w:rPr>
          <w:sz w:val="20"/>
          <w:szCs w:val="20"/>
          <w:color w:val="auto"/>
        </w:rPr>
      </w:pPr>
    </w:p>
    <w:p>
      <w:pPr>
        <w:ind w:right="3579" w:firstLine="10"/>
        <w:spacing w:after="0" w:line="234"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deducted from the aggregate amount of Investments any decrease in the value thereof.</w:t>
      </w:r>
    </w:p>
    <w:p>
      <w:pPr>
        <w:spacing w:after="0" w:line="167" w:lineRule="exact"/>
        <w:rPr>
          <w:sz w:val="20"/>
          <w:szCs w:val="20"/>
          <w:color w:val="auto"/>
        </w:rPr>
      </w:pP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3.6.</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Issuing Banks. The Bank(s) issuing Letters of Credit, which shall be (a) MGT, BOA, BankBoston, N.A. (f/k/a The First National Bank of Boston), Texas Commerce Bank, National Association, and Fleet Bank, N.A. and (b) such other Banks as agreed to by the Borrower and the Administrative Agent.</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69" w:lineRule="exact"/>
        <w:rPr>
          <w:sz w:val="20"/>
          <w:szCs w:val="20"/>
          <w:color w:val="auto"/>
        </w:rPr>
      </w:pPr>
    </w:p>
    <w:p>
      <w:pPr>
        <w:ind w:left="360"/>
        <w:spacing w:after="0"/>
        <w:tabs>
          <w:tab w:leader="none" w:pos="2360"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3.6.</w:t>
      </w:r>
    </w:p>
    <w:p>
      <w:pPr>
        <w:spacing w:after="0" w:line="166" w:lineRule="exact"/>
        <w:rPr>
          <w:sz w:val="20"/>
          <w:szCs w:val="20"/>
          <w:color w:val="auto"/>
        </w:rPr>
      </w:pPr>
    </w:p>
    <w:p>
      <w:pPr>
        <w:ind w:left="360"/>
        <w:spacing w:after="0"/>
        <w:tabs>
          <w:tab w:leader="none" w:pos="3220"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3.1(c).</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Letters of Credit. Standby letters of credit issued or to be issued by the Issuing Banks under Section 3 hereof for the account of the Borrower.</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17</w:t>
      </w:r>
    </w:p>
    <w:p>
      <w:pPr>
        <w:ind w:left="3340"/>
        <w:spacing w:after="0" w:line="237" w:lineRule="auto"/>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3"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w:t>
      </w:r>
    </w:p>
    <w:p>
      <w:pPr>
        <w:spacing w:after="0" w:line="5" w:lineRule="exact"/>
        <w:rPr>
          <w:sz w:val="20"/>
          <w:szCs w:val="20"/>
          <w:color w:val="auto"/>
        </w:rPr>
      </w:pPr>
    </w:p>
    <w:p>
      <w:pPr>
        <w:ind w:right="3399" w:firstLine="10"/>
        <w:spacing w:after="0" w:line="234"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equal to 1.00 minus the Eurocurrency Reserve Rate, if applicable (rounded upwards to the nearest 1/16 of one percent).</w:t>
      </w:r>
    </w:p>
    <w:p>
      <w:pPr>
        <w:spacing w:after="0" w:line="173" w:lineRule="exact"/>
        <w:rPr>
          <w:sz w:val="20"/>
          <w:szCs w:val="20"/>
          <w:color w:val="auto"/>
        </w:rPr>
      </w:pPr>
    </w:p>
    <w:p>
      <w:pPr>
        <w:ind w:right="3679" w:firstLine="350"/>
        <w:spacing w:after="0" w:line="256" w:lineRule="auto"/>
        <w:rPr>
          <w:sz w:val="20"/>
          <w:szCs w:val="20"/>
          <w:color w:val="auto"/>
        </w:rPr>
      </w:pPr>
      <w:r>
        <w:rPr>
          <w:rFonts w:ascii="Courier New" w:cs="Courier New" w:eastAsia="Courier New" w:hAnsi="Courier New"/>
          <w:sz w:val="14"/>
          <w:szCs w:val="14"/>
          <w:color w:val="auto"/>
        </w:rPr>
        <w:t>Loan Documents. This Agreement, the Notes, the Letter of Credit Applications, the Letters of Credit, the United Joinder and any documents, instruments or agreements executed in connection with any of the foregoing, each as amended, modified, supplemented, or replaced from time to time.</w:t>
      </w:r>
    </w:p>
    <w:p>
      <w:pPr>
        <w:spacing w:after="0" w:line="164"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Loans. Collectively, the Syndicated Loans, the Swing Line Loans and the Competitive Bid Loans.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4"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Material Subsidiary. Any Subsidiary which, at the time such determination is made, (a) has assets, revenues, or liabilities equal to at least $8,000,000, or (b) is the holder of or the applicant for a permit to operate a solid waste facility pursuant to RCRA or any analogous state law.</w:t>
      </w:r>
    </w:p>
    <w:p>
      <w:pPr>
        <w:spacing w:after="0" w:line="169"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4"/>
          <w:szCs w:val="14"/>
          <w:color w:val="auto"/>
        </w:rPr>
        <w:t>August 7, 2002.</w:t>
      </w:r>
    </w:p>
    <w:p>
      <w:pPr>
        <w:spacing w:after="0" w:line="173" w:lineRule="exact"/>
        <w:rPr>
          <w:sz w:val="20"/>
          <w:szCs w:val="20"/>
          <w:color w:val="auto"/>
        </w:rPr>
      </w:pPr>
    </w:p>
    <w:p>
      <w:pPr>
        <w:ind w:right="3679" w:firstLine="350"/>
        <w:spacing w:after="0" w:line="261" w:lineRule="auto"/>
        <w:rPr>
          <w:sz w:val="20"/>
          <w:szCs w:val="20"/>
          <w:color w:val="auto"/>
        </w:rPr>
      </w:pPr>
      <w:r>
        <w:rPr>
          <w:rFonts w:ascii="Courier New" w:cs="Courier New" w:eastAsia="Courier New" w:hAnsi="Courier New"/>
          <w:sz w:val="14"/>
          <w:szCs w:val="14"/>
          <w:color w:val="auto"/>
        </w:rPr>
        <w:t>Maximum Drawing Amount. The maximum aggregate amount from time to time that the beneficiaries may draw under outstanding Letters of Credit.</w:t>
      </w:r>
    </w:p>
    <w:p>
      <w:pPr>
        <w:spacing w:after="0" w:line="153"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MGT.</w:t>
        <w:tab/>
        <w:t>See Preamble.</w:t>
      </w:r>
    </w:p>
    <w:p>
      <w:pPr>
        <w:spacing w:after="0" w:line="166"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Moody's.</w:t>
        <w:tab/>
        <w:t>Moody's Investors Service, Inc.</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18</w:t>
      </w:r>
    </w:p>
    <w:p>
      <w:pPr>
        <w:ind w:left="3340"/>
        <w:spacing w:after="0" w:line="237" w:lineRule="auto"/>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67" w:lineRule="exact"/>
        <w:rPr>
          <w:sz w:val="20"/>
          <w:szCs w:val="20"/>
          <w:color w:val="auto"/>
        </w:rPr>
      </w:pPr>
    </w:p>
    <w:p>
      <w:pPr>
        <w:ind w:left="360"/>
        <w:spacing w:after="0"/>
        <w:tabs>
          <w:tab w:leader="none" w:pos="218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5.1(c).</w:t>
      </w:r>
    </w:p>
    <w:p>
      <w:pPr>
        <w:spacing w:after="0" w:line="166"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5.1(b).</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Notes. Collectively, the Competitive Bid Notes, the Syndicated Notes, and the Swing Line Note.</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72" w:lineRule="exact"/>
        <w:rPr>
          <w:sz w:val="20"/>
          <w:szCs w:val="20"/>
          <w:color w:val="auto"/>
        </w:rPr>
      </w:pPr>
    </w:p>
    <w:p>
      <w:pPr>
        <w:ind w:left="360"/>
        <w:spacing w:after="0"/>
        <w:tabs>
          <w:tab w:leader="none" w:pos="2780" w:val="left"/>
        </w:tabs>
        <w:rPr>
          <w:sz w:val="20"/>
          <w:szCs w:val="20"/>
          <w:color w:val="auto"/>
        </w:rPr>
      </w:pPr>
      <w:r>
        <w:rPr>
          <w:rFonts w:ascii="Courier New" w:cs="Courier New" w:eastAsia="Courier New" w:hAnsi="Courier New"/>
          <w:sz w:val="15"/>
          <w:szCs w:val="15"/>
          <w:color w:val="auto"/>
        </w:rPr>
        <w:t>Original Credit Agreement.</w:t>
      </w:r>
      <w:r>
        <w:rPr>
          <w:sz w:val="20"/>
          <w:szCs w:val="20"/>
          <w:color w:val="auto"/>
        </w:rPr>
        <w:tab/>
      </w:r>
      <w:r>
        <w:rPr>
          <w:rFonts w:ascii="Courier New" w:cs="Courier New" w:eastAsia="Courier New" w:hAnsi="Courier New"/>
          <w:sz w:val="14"/>
          <w:szCs w:val="14"/>
          <w:color w:val="auto"/>
        </w:rPr>
        <w:t>See Recitals.</w:t>
      </w:r>
    </w:p>
    <w:p>
      <w:pPr>
        <w:spacing w:after="0" w:line="166"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4"/>
          <w:szCs w:val="14"/>
          <w:color w:val="auto"/>
        </w:rPr>
        <w:t>See Recitals.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w:t>
      </w:r>
    </w:p>
    <w:p>
      <w:pPr>
        <w:spacing w:after="0" w:line="174"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spacing w:after="0" w:line="153"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8.2.</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$150,000,000 at any one time outstanding, including, without limitation, any revolving purchase(s) of Receivables where the maximum aggregate uncollected purchase price (exclusive of any deferred purchase price) for such Receivables at any time outstanding does not exceed $150,000,000, and (b) which Receivables shall not be discounted more than 25%.</w:t>
      </w:r>
    </w:p>
    <w:p>
      <w:pPr>
        <w:spacing w:after="0" w:line="178"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Person. Any individual, corporation, partnership, joint venture, limited liability company, trust, unincorporated association, business, or other legal</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19</w:t>
      </w:r>
    </w:p>
    <w:p>
      <w:pPr>
        <w:jc w:val="center"/>
        <w:ind w:right="3239"/>
        <w:spacing w:after="0" w:line="237" w:lineRule="auto"/>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entity, and any government or any governmental agency or political subdivision thereof.</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Pricing Table: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w:t>
      </w:r>
    </w:p>
    <w:p>
      <w:pPr>
        <w:spacing w:after="0" w:line="5" w:lineRule="exact"/>
        <w:rPr>
          <w:sz w:val="20"/>
          <w:szCs w:val="20"/>
          <w:color w:val="auto"/>
        </w:rPr>
      </w:pPr>
    </w:p>
    <w:p>
      <w:pPr>
        <w:ind w:left="540" w:right="1039" w:firstLine="1749"/>
        <w:spacing w:after="0" w:line="234" w:lineRule="auto"/>
        <w:rPr>
          <w:sz w:val="20"/>
          <w:szCs w:val="20"/>
          <w:color w:val="auto"/>
        </w:rPr>
      </w:pPr>
      <w:r>
        <w:rPr>
          <w:rFonts w:ascii="Courier New" w:cs="Courier New" w:eastAsia="Courier New" w:hAnsi="Courier New"/>
          <w:sz w:val="15"/>
          <w:szCs w:val="15"/>
          <w:color w:val="auto"/>
        </w:rPr>
        <w:t>SENIOR PUBLIC APPLICABLE APPLICABLE EURODOLLAR LEVEL DEBT RATING FACILITY RATE L/C RATE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w w:val="99"/>
              </w:rPr>
              <w:t>At least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2420" w:type="dxa"/>
            <w:vAlign w:val="bottom"/>
          </w:tcPr>
          <w:p>
            <w:pPr>
              <w:ind w:left="60"/>
              <w:spacing w:after="0"/>
              <w:rPr>
                <w:sz w:val="20"/>
                <w:szCs w:val="20"/>
                <w:color w:val="auto"/>
              </w:rPr>
            </w:pPr>
            <w:r>
              <w:rPr>
                <w:rFonts w:ascii="Courier New" w:cs="Courier New" w:eastAsia="Courier New" w:hAnsi="Courier New"/>
                <w:sz w:val="15"/>
                <w:szCs w:val="15"/>
                <w:color w:val="auto"/>
              </w:rPr>
              <w:t>by Standard &amp; Poor's or</w:t>
            </w:r>
          </w:p>
        </w:tc>
        <w:tc>
          <w:tcPr>
            <w:tcW w:w="1560" w:type="dxa"/>
            <w:vAlign w:val="bottom"/>
          </w:tcPr>
          <w:p>
            <w:pPr>
              <w:ind w:left="340"/>
              <w:spacing w:after="0"/>
              <w:rPr>
                <w:sz w:val="20"/>
                <w:szCs w:val="20"/>
                <w:color w:val="auto"/>
              </w:rPr>
            </w:pPr>
            <w:r>
              <w:rPr>
                <w:rFonts w:ascii="Courier New" w:cs="Courier New" w:eastAsia="Courier New" w:hAnsi="Courier New"/>
                <w:sz w:val="15"/>
                <w:szCs w:val="15"/>
                <w:color w:val="auto"/>
              </w:rPr>
              <w:t>0.07500%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at least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A3</w:t>
            </w:r>
          </w:p>
        </w:tc>
        <w:tc>
          <w:tcPr>
            <w:tcW w:w="2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by Moody's</w:t>
            </w:r>
          </w:p>
        </w:tc>
        <w:tc>
          <w:tcPr>
            <w:tcW w:w="1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0.1500%</w:t>
            </w:r>
          </w:p>
        </w:tc>
      </w:tr>
      <w:tr>
        <w:trPr>
          <w:trHeight w:val="168"/>
        </w:trPr>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w:t>
            </w:r>
          </w:p>
        </w:tc>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At least BBB+ by Standard &amp; Poor's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0.0900%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0.1850%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 at least Baa1 by Moody's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0.1850%</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3</w:t>
            </w:r>
          </w:p>
        </w:tc>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At least BBB by Standard &amp; Poor's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0.1125%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0.2375%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 at least Baa2 by Moody's</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0.2375%</w:t>
            </w:r>
          </w:p>
        </w:tc>
      </w:tr>
      <w:tr>
        <w:trPr>
          <w:trHeight w:val="168"/>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4</w:t>
            </w:r>
          </w:p>
        </w:tc>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At least BBB- by Standard &amp; Poor's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0.1500%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0.3000%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 at least Baa3 by Moody's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0.3000%</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5</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w w:val="98"/>
              </w:rPr>
              <w:t>At least BB+ by Standard &amp;</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Poor's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0.2500%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2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or at least Ba1 by Moody's</w:t>
            </w:r>
          </w:p>
        </w:tc>
        <w:tc>
          <w:tcPr>
            <w:tcW w:w="100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0.5000%</w:t>
            </w:r>
          </w:p>
        </w:tc>
      </w:tr>
      <w:tr>
        <w:trPr>
          <w:trHeight w:val="168"/>
        </w:trPr>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6</w:t>
            </w:r>
          </w:p>
        </w:tc>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If no other level applies</w:t>
            </w:r>
          </w:p>
        </w:tc>
        <w:tc>
          <w:tcPr>
            <w:tcW w:w="2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0.3000%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0.5750%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68"/>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 plus</w:t>
            </w:r>
          </w:p>
        </w:tc>
      </w:tr>
      <w:tr>
        <w:trPr>
          <w:trHeight w:val="168"/>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0.5750%</w:t>
            </w:r>
          </w:p>
        </w:tc>
      </w:tr>
      <w:tr>
        <w:trPr>
          <w:trHeight w:val="168"/>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Prudential Private Placement Debt. (a) That certain Amended and Restated Note Agreement dated as of August 28, 1996 by and among the Borrower, Sanifill and The Prudential Insurance Company of America and (b) that certain Amended and Restated Master Shelf Agreement dated as of August 28, 1996 by and among the Borrower, Sanifill and The Prudential Insurance Company of America, as each shall be amended through the Closing Date.</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20</w:t>
      </w:r>
    </w:p>
    <w:p>
      <w:pPr>
        <w:ind w:left="3340"/>
        <w:spacing w:after="0" w:line="237" w:lineRule="auto"/>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RCRA.</w:t>
        <w:tab/>
        <w:t>See Section 6.15(a).</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67"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BOA and MGT.</w:t>
      </w:r>
    </w:p>
    <w:p>
      <w:pPr>
        <w:spacing w:after="0" w:line="173" w:lineRule="exact"/>
        <w:rPr>
          <w:sz w:val="20"/>
          <w:szCs w:val="20"/>
          <w:color w:val="auto"/>
        </w:rPr>
      </w:pPr>
    </w:p>
    <w:p>
      <w:pPr>
        <w:jc w:val="both"/>
        <w:ind w:right="3839" w:firstLine="350"/>
        <w:spacing w:after="0" w:line="235"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67"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5.12.</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Replacement Notice. See Section 5.12.Sanifill. Sanifill, Inc., a Delaware corporation having its chief executive office at 1001 Fannin Street, First City Tower, Suite 4000, Houston, Texas 77002.</w:t>
      </w:r>
    </w:p>
    <w:p>
      <w:pPr>
        <w:spacing w:after="0" w:line="174"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Sanifill Merger. The merger of Sanifill and Quatro Acquisition Corp., a Subsidiary of the Borrower, pursuant to the terms of the Sanifill Merger Agreement.</w:t>
      </w:r>
    </w:p>
    <w:p>
      <w:pPr>
        <w:spacing w:after="0" w:line="174"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Sanifill Merger Agreement. The Agreement and Plan of Merger dated as of June 22, 1996 between Sanifill, the Borrower and Quatro Acquisition Corp.</w:t>
      </w:r>
    </w:p>
    <w:p>
      <w:pPr>
        <w:spacing w:after="0" w:line="16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Sanifill Convertible Subordinated Debt. That certain indenture dated as of March 1, 1996, by and between Sanifill and Texas Commerce Bank National Association as Trustee, as in effect on the Closing Date, provided, that the Obligations and Sanifill's Guaranteed Obligations shall be "Senior Indebtedness" thereunder.</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21</w:t>
      </w:r>
    </w:p>
    <w:p>
      <w:pPr>
        <w:ind w:left="3340"/>
        <w:spacing w:after="0" w:line="237" w:lineRule="auto"/>
        <w:rPr>
          <w:sz w:val="20"/>
          <w:szCs w:val="20"/>
          <w:color w:val="auto"/>
        </w:rPr>
      </w:pPr>
      <w:r>
        <w:rPr>
          <w:rFonts w:ascii="Courier New" w:cs="Courier New" w:eastAsia="Courier New" w:hAnsi="Courier New"/>
          <w:sz w:val="15"/>
          <w:szCs w:val="15"/>
          <w:color w:val="auto"/>
        </w:rPr>
        <w:t>-15-</w:t>
      </w:r>
    </w:p>
    <w:p>
      <w:pPr>
        <w:spacing w:after="0" w:line="34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 long-term senior debt or this credit facility, the Borrower's corporate credit rating by Standard &amp; Poor's shall apply.</w:t>
      </w:r>
    </w:p>
    <w:p>
      <w:pPr>
        <w:spacing w:after="0" w:line="166"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69"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2.11(a).</w:t>
      </w:r>
    </w:p>
    <w:p>
      <w:pPr>
        <w:spacing w:after="0" w:line="166"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2.11(a).</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69" w:lineRule="exact"/>
        <w:rPr>
          <w:sz w:val="20"/>
          <w:szCs w:val="20"/>
          <w:color w:val="auto"/>
        </w:rPr>
      </w:pPr>
    </w:p>
    <w:p>
      <w:pPr>
        <w:ind w:left="360"/>
        <w:spacing w:after="0"/>
        <w:tabs>
          <w:tab w:leader="none" w:pos="306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66" w:lineRule="exact"/>
        <w:rPr>
          <w:sz w:val="20"/>
          <w:szCs w:val="20"/>
          <w:color w:val="auto"/>
        </w:rPr>
      </w:pPr>
    </w:p>
    <w:p>
      <w:pPr>
        <w:ind w:left="360"/>
        <w:spacing w:after="0"/>
        <w:tabs>
          <w:tab w:leader="none" w:pos="288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66" w:lineRule="exact"/>
        <w:rPr>
          <w:sz w:val="20"/>
          <w:szCs w:val="20"/>
          <w:color w:val="auto"/>
        </w:rPr>
      </w:pPr>
    </w:p>
    <w:p>
      <w:pPr>
        <w:ind w:left="360"/>
        <w:spacing w:after="0"/>
        <w:tabs>
          <w:tab w:leader="none" w:pos="270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66" w:lineRule="exact"/>
        <w:rPr>
          <w:sz w:val="20"/>
          <w:szCs w:val="20"/>
          <w:color w:val="auto"/>
        </w:rPr>
      </w:pPr>
    </w:p>
    <w:p>
      <w:pPr>
        <w:ind w:left="360"/>
        <w:spacing w:after="0"/>
        <w:tabs>
          <w:tab w:leader="none" w:pos="262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2.11 hereof.</w:t>
      </w:r>
    </w:p>
    <w:p>
      <w:pPr>
        <w:spacing w:after="0" w:line="167" w:lineRule="exact"/>
        <w:rPr>
          <w:sz w:val="20"/>
          <w:szCs w:val="20"/>
          <w:color w:val="auto"/>
        </w:rPr>
      </w:pPr>
    </w:p>
    <w:p>
      <w:pPr>
        <w:ind w:left="360"/>
        <w:spacing w:after="0"/>
        <w:tabs>
          <w:tab w:leader="none" w:pos="20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3"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Total Commitment. (a) $1,700,000,000 prior to the United Joinder Date, or (b) $2,000,000,000 on and after the United Joinder Date, as such amount may</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22</w:t>
      </w:r>
    </w:p>
    <w:p>
      <w:pPr>
        <w:jc w:val="center"/>
        <w:ind w:right="3219"/>
        <w:spacing w:after="0" w:line="237" w:lineRule="auto"/>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be reduced pursuant to Section 2.3 hereof, or, (c) if such Total Commitment has been terminated pursuant to Section 2.3 or Section 12.2 hereof, zero.</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Four Greenwich Office Park, Greenwich, Connecticut 06830.</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United Credit Agreement. That certain Fourth Amended and Restated Credit Agreement dated as of December 5, 1996 among United, the First National Bank of Boston as co-agent, Bank of America Illinois as agent, and certain other financial institutions party thereto.</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United Indenture. That certain indenture dated as of June 5, 1996 between United and Bankers Trust Company, as trustee, in the principal amount of $150,000,000 due June 1, 2001.</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United Joinder. A joinder to this Agreement in the form of Exhibit L executed by United simultaneously with the closing of the United Merger Agreement wherein United becomes a Guarantor hereunder, and such other related documents reasonably requested by the Administrative Agent, all in form and substance satisfactory to the Administrative Agent.</w:t>
      </w:r>
    </w:p>
    <w:p>
      <w:pPr>
        <w:spacing w:after="0" w:line="174"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United Joinder Date. The date of the satisfaction of the conditions set forth in Section 10.2.</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United Merger. The merger of United and Riviera Acquisition Corporation, a Subsidiary of the Borrower, pursuant to the terms of the United Merger Agreement.</w:t>
      </w:r>
    </w:p>
    <w:p>
      <w:pPr>
        <w:spacing w:after="0" w:line="174"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United Merger Agreement. The Agreement and Plan of Merger dated as of April 13, 1997 by and among United, the Borrower and Riviera Acquisition Corporation.</w:t>
      </w:r>
    </w:p>
    <w:p>
      <w:pPr>
        <w:spacing w:after="0" w:line="174"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United Senior Secured Notes. That certain Secured Note Agreement among United and the purchasers listed in the schedule attached thereto dated as of September 1, 1995 in the principal amount of $75,000,000 due September 1, 2005.</w:t>
      </w:r>
    </w:p>
    <w:p>
      <w:pPr>
        <w:spacing w:after="0" w:line="155"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Utilization Fee.</w:t>
      </w:r>
      <w:r>
        <w:rPr>
          <w:sz w:val="20"/>
          <w:szCs w:val="20"/>
          <w:color w:val="auto"/>
        </w:rPr>
        <w:tab/>
      </w:r>
      <w:r>
        <w:rPr>
          <w:rFonts w:ascii="Courier New" w:cs="Courier New" w:eastAsia="Courier New" w:hAnsi="Courier New"/>
          <w:sz w:val="14"/>
          <w:szCs w:val="14"/>
          <w:color w:val="auto"/>
        </w:rPr>
        <w:t>See Section 2.2(b).</w:t>
      </w:r>
    </w:p>
    <w:p>
      <w:pPr>
        <w:spacing w:after="0" w:line="166" w:lineRule="exact"/>
        <w:rPr>
          <w:sz w:val="20"/>
          <w:szCs w:val="20"/>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Western Waste.</w:t>
      </w:r>
      <w:r>
        <w:rPr>
          <w:sz w:val="20"/>
          <w:szCs w:val="20"/>
          <w:color w:val="auto"/>
        </w:rPr>
        <w:tab/>
      </w:r>
      <w:r>
        <w:rPr>
          <w:rFonts w:ascii="Courier New" w:cs="Courier New" w:eastAsia="Courier New" w:hAnsi="Courier New"/>
          <w:sz w:val="14"/>
          <w:szCs w:val="14"/>
          <w:color w:val="auto"/>
        </w:rPr>
        <w:t>Western Waste Industries, Inc., a California corporation.</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Western Waste Merger. The merger of Western Waste and Riviera Acquisition Corporation, a Subsidiary of the Borrower, pursuant to the terms of the Western Waste Merger Agreement.</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23</w:t>
      </w:r>
    </w:p>
    <w:p>
      <w:pPr>
        <w:jc w:val="center"/>
        <w:ind w:right="3219"/>
        <w:spacing w:after="0" w:line="237" w:lineRule="auto"/>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Western Waste Merger Agreement. The Agreement and Plan of Merger dated as of December 18, 1995 between Western Waste, the Borrower and Riviera Acquisition Corporation.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SECTION 1.2 RULES OF INTERPRETATION.</w:t>
      </w:r>
    </w:p>
    <w:p>
      <w:pPr>
        <w:spacing w:after="0" w:line="173" w:lineRule="exact"/>
        <w:rPr>
          <w:sz w:val="20"/>
          <w:szCs w:val="20"/>
          <w:color w:val="auto"/>
        </w:rPr>
      </w:pPr>
    </w:p>
    <w:p>
      <w:pPr>
        <w:ind w:left="360" w:right="3319" w:firstLine="787"/>
        <w:spacing w:after="0" w:line="235"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68" w:lineRule="exact"/>
        <w:rPr>
          <w:rFonts w:ascii="Courier New" w:cs="Courier New" w:eastAsia="Courier New" w:hAnsi="Courier New"/>
          <w:sz w:val="15"/>
          <w:szCs w:val="15"/>
          <w:color w:val="auto"/>
        </w:rPr>
      </w:pPr>
    </w:p>
    <w:p>
      <w:pPr>
        <w:ind w:left="1840" w:hanging="693"/>
        <w:spacing w:after="0"/>
        <w:tabs>
          <w:tab w:leader="none" w:pos="18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w:t>
      </w:r>
    </w:p>
    <w:p>
      <w:pPr>
        <w:spacing w:after="0" w:line="173" w:lineRule="exact"/>
        <w:rPr>
          <w:rFonts w:ascii="Courier New" w:cs="Courier New" w:eastAsia="Courier New" w:hAnsi="Courier New"/>
          <w:sz w:val="15"/>
          <w:szCs w:val="15"/>
          <w:color w:val="auto"/>
        </w:rPr>
      </w:pPr>
    </w:p>
    <w:p>
      <w:pPr>
        <w:ind w:left="360" w:right="4199" w:firstLine="787"/>
        <w:spacing w:after="0" w:line="234"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3" w:lineRule="exact"/>
        <w:rPr>
          <w:rFonts w:ascii="Courier New" w:cs="Courier New" w:eastAsia="Courier New" w:hAnsi="Courier New"/>
          <w:sz w:val="15"/>
          <w:szCs w:val="15"/>
          <w:color w:val="auto"/>
        </w:rPr>
      </w:pPr>
    </w:p>
    <w:p>
      <w:pPr>
        <w:ind w:left="360" w:right="4199" w:firstLine="787"/>
        <w:spacing w:after="0" w:line="234"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3" w:lineRule="exact"/>
        <w:rPr>
          <w:rFonts w:ascii="Courier New" w:cs="Courier New" w:eastAsia="Courier New" w:hAnsi="Courier New"/>
          <w:sz w:val="15"/>
          <w:szCs w:val="15"/>
          <w:color w:val="auto"/>
        </w:rPr>
      </w:pPr>
    </w:p>
    <w:p>
      <w:pPr>
        <w:ind w:left="360" w:right="3399" w:firstLine="787"/>
        <w:spacing w:after="0" w:line="235"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 not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limiting.</w:t>
      </w:r>
    </w:p>
    <w:p>
      <w:pPr>
        <w:spacing w:after="0" w:line="173" w:lineRule="exact"/>
        <w:rPr>
          <w:rFonts w:ascii="Courier New" w:cs="Courier New" w:eastAsia="Courier New" w:hAnsi="Courier New"/>
          <w:sz w:val="15"/>
          <w:szCs w:val="15"/>
          <w:color w:val="auto"/>
        </w:rPr>
      </w:pPr>
    </w:p>
    <w:p>
      <w:pPr>
        <w:ind w:left="360" w:right="3399" w:firstLine="787"/>
        <w:spacing w:after="0" w:line="235"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5" w:lineRule="exact"/>
        <w:rPr>
          <w:rFonts w:ascii="Courier New" w:cs="Courier New" w:eastAsia="Courier New" w:hAnsi="Courier New"/>
          <w:sz w:val="15"/>
          <w:szCs w:val="15"/>
          <w:color w:val="auto"/>
        </w:rPr>
      </w:pPr>
    </w:p>
    <w:p>
      <w:pPr>
        <w:ind w:left="360" w:right="3939" w:firstLine="787"/>
        <w:spacing w:after="0" w:line="234"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3" w:lineRule="exact"/>
        <w:rPr>
          <w:rFonts w:ascii="Courier New" w:cs="Courier New" w:eastAsia="Courier New" w:hAnsi="Courier New"/>
          <w:sz w:val="15"/>
          <w:szCs w:val="15"/>
          <w:color w:val="auto"/>
        </w:rPr>
      </w:pPr>
    </w:p>
    <w:p>
      <w:pPr>
        <w:ind w:left="360" w:right="3679" w:firstLine="787"/>
        <w:spacing w:after="0" w:line="235" w:lineRule="auto"/>
        <w:tabs>
          <w:tab w:leader="none" w:pos="18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67"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w:t>
      </w:r>
    </w:p>
    <w:p>
      <w:pPr>
        <w:spacing w:after="0" w:line="166"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3" w:lineRule="exact"/>
        <w:rPr>
          <w:sz w:val="20"/>
          <w:szCs w:val="20"/>
          <w:color w:val="auto"/>
        </w:rPr>
      </w:pPr>
    </w:p>
    <w:p>
      <w:pPr>
        <w:ind w:left="360" w:right="3499" w:firstLine="787"/>
        <w:spacing w:after="0" w:line="235" w:lineRule="auto"/>
        <w:tabs>
          <w:tab w:leader="none" w:pos="18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w:t>
      </w:r>
    </w:p>
    <w:p>
      <w:pPr>
        <w:sectPr>
          <w:pgSz w:w="11900" w:h="16838" w:orient="portrait"/>
          <w:cols w:equalWidth="0" w:num="1">
            <w:col w:w="10239"/>
          </w:cols>
          <w:pgMar w:left="220" w:top="28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24</w:t>
      </w:r>
    </w:p>
    <w:p>
      <w:pPr>
        <w:jc w:val="center"/>
        <w:ind w:right="3499"/>
        <w:spacing w:after="0" w:line="237" w:lineRule="auto"/>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between the Closing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77" w:lineRule="exact"/>
        <w:rPr>
          <w:sz w:val="20"/>
          <w:szCs w:val="20"/>
          <w:color w:val="auto"/>
        </w:rPr>
      </w:pPr>
    </w:p>
    <w:p>
      <w:pPr>
        <w:ind w:left="80" w:right="3319" w:firstLine="787"/>
        <w:spacing w:after="0" w:line="256" w:lineRule="auto"/>
        <w:tabs>
          <w:tab w:leader="none" w:pos="156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request for a Loan or Letter of Credit hereunder shall constitute a representation and warranty by the Borrower that the conditions set forth in Section 10 and Section 11, as the case may be, have been satisfied on the date of such request. Any unpaid Reimbursement Obligation shall be a Base Rate Loan, as set forth in Section 3.2 (a).</w:t>
      </w:r>
    </w:p>
    <w:p>
      <w:pPr>
        <w:spacing w:after="0" w:line="157"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FACILITY FEE; UTILIZATION FEE.</w:t>
      </w:r>
    </w:p>
    <w:p>
      <w:pPr>
        <w:spacing w:after="0" w:line="173" w:lineRule="exact"/>
        <w:rPr>
          <w:sz w:val="20"/>
          <w:szCs w:val="20"/>
          <w:color w:val="auto"/>
        </w:rPr>
      </w:pPr>
    </w:p>
    <w:p>
      <w:pPr>
        <w:jc w:val="both"/>
        <w:ind w:left="80" w:right="3319" w:firstLine="787"/>
        <w:spacing w:after="0" w:line="254" w:lineRule="auto"/>
        <w:tabs>
          <w:tab w:leader="none" w:pos="15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pay to the Administrative Agent for the account of the Banks a fee (the "Facility Fee") on the Total Commitment equal to the Applicable Facility Rate multiplied by the Total Commitment.</w:t>
      </w:r>
    </w:p>
    <w:p>
      <w:pPr>
        <w:spacing w:after="0" w:line="1" w:lineRule="exact"/>
        <w:rPr>
          <w:rFonts w:ascii="Courier New" w:cs="Courier New" w:eastAsia="Courier New" w:hAnsi="Courier New"/>
          <w:sz w:val="14"/>
          <w:szCs w:val="14"/>
          <w:color w:val="auto"/>
        </w:rPr>
      </w:pPr>
    </w:p>
    <w:p>
      <w:pPr>
        <w:ind w:left="8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Facility Fee shall be payable for the period from and after the Closing Date quarterly in arrears on the first day of each calendar quarter for the immediately preceding calendar quarter commencing on October 1, 1997 with a final payment on the Maturity Date (or on the date of termination in full of the Total Commitment, if earlier). The Facility Fee shall be distributed pro rata among the Banks in accordance with each Bank's Commitment Percentage.</w:t>
      </w:r>
    </w:p>
    <w:p>
      <w:pPr>
        <w:spacing w:after="0" w:line="175" w:lineRule="exact"/>
        <w:rPr>
          <w:rFonts w:ascii="Courier New" w:cs="Courier New" w:eastAsia="Courier New" w:hAnsi="Courier New"/>
          <w:sz w:val="14"/>
          <w:szCs w:val="14"/>
          <w:color w:val="auto"/>
        </w:rPr>
      </w:pPr>
    </w:p>
    <w:p>
      <w:pPr>
        <w:ind w:left="80" w:right="3319" w:firstLine="787"/>
        <w:spacing w:after="0" w:line="255" w:lineRule="auto"/>
        <w:tabs>
          <w:tab w:leader="none" w:pos="15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average outstanding amount of the Loans plus the average Maximum Drawing Amount of the Letters of Credit in any calendar quarter (collectively, the "Average Quarterly Utilization Amount") exceeds fifty percent (50%) of the Total Commitment in effect during such calendar quarter, the Borrower agrees to pay to the Administrative Agent for the account of the Banks a fee (the "Utilization Fee") equal to 0.05% per annum on the Average Quarterly Utilization Amount. If applicable, the Utilization Fee shall be payable quarterly in arrears on the first day of each calendar quarter for the immediate preceding calendar quarter (or such lesser period of time as has elapsed since the Closing Date), commencing October 1, 1997 with a final payment on the Maturity Date (or on the date of termination in full of the Total Commitment if earlier). The Utilization Fee shall be distributed pro rata among the Banks in accordance with each Bank's Commitment Percentage.</w:t>
      </w:r>
    </w:p>
    <w:p>
      <w:pPr>
        <w:sectPr>
          <w:pgSz w:w="11900" w:h="16838" w:orient="portrait"/>
          <w:cols w:equalWidth="0" w:num="1">
            <w:col w:w="9959"/>
          </w:cols>
          <w:pgMar w:left="500" w:top="28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25</w:t>
      </w:r>
    </w:p>
    <w:p>
      <w:pPr>
        <w:ind w:left="3060"/>
        <w:spacing w:after="0" w:line="237" w:lineRule="auto"/>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REDUCTION OF TOTAL COMMITMENT.</w:t>
      </w:r>
    </w:p>
    <w:p>
      <w:pPr>
        <w:spacing w:after="0" w:line="173" w:lineRule="exact"/>
        <w:rPr>
          <w:sz w:val="20"/>
          <w:szCs w:val="20"/>
          <w:color w:val="auto"/>
        </w:rPr>
      </w:pPr>
    </w:p>
    <w:p>
      <w:pPr>
        <w:ind w:left="80" w:right="3319" w:firstLine="787"/>
        <w:spacing w:after="0" w:line="255" w:lineRule="auto"/>
        <w:tabs>
          <w:tab w:leader="none" w:pos="156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165" w:lineRule="exact"/>
        <w:rPr>
          <w:rFonts w:ascii="Courier New" w:cs="Courier New" w:eastAsia="Courier New" w:hAnsi="Courier New"/>
          <w:sz w:val="14"/>
          <w:szCs w:val="14"/>
          <w:color w:val="auto"/>
        </w:rPr>
      </w:pPr>
    </w:p>
    <w:p>
      <w:pPr>
        <w:ind w:left="80" w:right="3319" w:firstLine="787"/>
        <w:spacing w:after="0" w:line="235" w:lineRule="auto"/>
        <w:tabs>
          <w:tab w:leader="none" w:pos="15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5" w:lineRule="exact"/>
        <w:rPr>
          <w:rFonts w:ascii="Courier New" w:cs="Courier New" w:eastAsia="Courier New" w:hAnsi="Courier New"/>
          <w:sz w:val="15"/>
          <w:szCs w:val="15"/>
          <w:color w:val="auto"/>
        </w:rPr>
      </w:pPr>
    </w:p>
    <w:p>
      <w:pPr>
        <w:ind w:left="80" w:right="3499" w:firstLine="787"/>
        <w:spacing w:after="0" w:line="235" w:lineRule="auto"/>
        <w:tabs>
          <w:tab w:leader="none" w:pos="15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notify the Banks promptly after receiving any notice delivered by the Borrower pursuant to this Section 2.3 and will distribute to each Bank a revised Schedule 1 to this Agreement.</w:t>
      </w:r>
    </w:p>
    <w:p>
      <w:pPr>
        <w:spacing w:after="0" w:line="169"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w:t>
      </w:r>
    </w:p>
    <w:p>
      <w:pPr>
        <w:spacing w:after="0" w:line="173" w:lineRule="exact"/>
        <w:rPr>
          <w:sz w:val="20"/>
          <w:szCs w:val="20"/>
          <w:color w:val="auto"/>
        </w:rPr>
      </w:pPr>
    </w:p>
    <w:p>
      <w:pPr>
        <w:ind w:left="80" w:right="3319" w:firstLine="787"/>
        <w:spacing w:after="0" w:line="236" w:lineRule="auto"/>
        <w:tabs>
          <w:tab w:leader="none" w:pos="15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Closing Date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 Notwithstanding the initial face amounts of the Syndicated Notes, the Total Commitment shall not exceed $1,700,000,000 prior to the United Joinder Date.</w:t>
      </w:r>
    </w:p>
    <w:p>
      <w:pPr>
        <w:spacing w:after="0" w:line="180" w:lineRule="exact"/>
        <w:rPr>
          <w:rFonts w:ascii="Courier New" w:cs="Courier New" w:eastAsia="Courier New" w:hAnsi="Courier New"/>
          <w:sz w:val="15"/>
          <w:szCs w:val="15"/>
          <w:color w:val="auto"/>
        </w:rPr>
      </w:pPr>
    </w:p>
    <w:p>
      <w:pPr>
        <w:ind w:left="80" w:right="3319" w:firstLine="787"/>
        <w:spacing w:after="0" w:line="255" w:lineRule="auto"/>
        <w:tabs>
          <w:tab w:leader="none" w:pos="156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Loans set forth on such Bank's records shall be</w:t>
      </w:r>
    </w:p>
    <w:p>
      <w:pPr>
        <w:sectPr>
          <w:pgSz w:w="11900" w:h="16838" w:orient="portrait"/>
          <w:cols w:equalWidth="0" w:num="1">
            <w:col w:w="9959"/>
          </w:cols>
          <w:pgMar w:left="500" w:top="281" w:right="1440" w:bottom="1440" w:gutter="0" w:footer="0" w:header="0"/>
        </w:sectPr>
      </w:pPr>
    </w:p>
    <w:bookmarkStart w:id="79" w:name="page80"/>
    <w:bookmarkEnd w:id="79"/>
    <w:p>
      <w:pPr>
        <w:ind w:left="270"/>
        <w:spacing w:after="0"/>
        <w:rPr>
          <w:sz w:val="20"/>
          <w:szCs w:val="20"/>
          <w:color w:val="auto"/>
        </w:rPr>
      </w:pPr>
      <w:r>
        <w:rPr>
          <w:rFonts w:ascii="Courier New" w:cs="Courier New" w:eastAsia="Courier New" w:hAnsi="Courier New"/>
          <w:sz w:val="15"/>
          <w:szCs w:val="15"/>
          <w:color w:val="auto"/>
        </w:rPr>
        <w:t>26</w:t>
      </w:r>
    </w:p>
    <w:p>
      <w:pPr>
        <w:jc w:val="center"/>
        <w:ind w:right="3229"/>
        <w:spacing w:after="0" w:line="237" w:lineRule="auto"/>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left="350" w:right="3399"/>
        <w:spacing w:after="0" w:line="236" w:lineRule="auto"/>
        <w:rPr>
          <w:sz w:val="20"/>
          <w:szCs w:val="20"/>
          <w:color w:val="auto"/>
        </w:rPr>
      </w:pPr>
      <w:r>
        <w:rPr>
          <w:rFonts w:ascii="Courier New" w:cs="Courier New" w:eastAsia="Courier New" w:hAnsi="Courier New"/>
          <w:sz w:val="15"/>
          <w:szCs w:val="15"/>
          <w:color w:val="auto"/>
        </w:rPr>
        <w:t>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67" w:lineRule="exact"/>
        <w:rPr>
          <w:sz w:val="20"/>
          <w:szCs w:val="20"/>
          <w:color w:val="auto"/>
        </w:rPr>
      </w:pPr>
    </w:p>
    <w:p>
      <w:pPr>
        <w:ind w:left="350"/>
        <w:spacing w:after="0"/>
        <w:tabs>
          <w:tab w:leader="none" w:pos="147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LOANS.</w:t>
      </w:r>
    </w:p>
    <w:p>
      <w:pPr>
        <w:spacing w:after="0" w:line="173" w:lineRule="exact"/>
        <w:rPr>
          <w:sz w:val="20"/>
          <w:szCs w:val="20"/>
          <w:color w:val="auto"/>
        </w:rPr>
      </w:pPr>
    </w:p>
    <w:p>
      <w:pPr>
        <w:ind w:left="350" w:right="3499" w:firstLine="787"/>
        <w:spacing w:after="0" w:line="256" w:lineRule="auto"/>
        <w:tabs>
          <w:tab w:leader="none" w:pos="18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64" w:lineRule="exact"/>
        <w:rPr>
          <w:rFonts w:ascii="Courier New" w:cs="Courier New" w:eastAsia="Courier New" w:hAnsi="Courier New"/>
          <w:sz w:val="14"/>
          <w:szCs w:val="14"/>
          <w:color w:val="auto"/>
        </w:rPr>
      </w:pPr>
    </w:p>
    <w:p>
      <w:pPr>
        <w:ind w:left="350" w:right="3399" w:firstLine="787"/>
        <w:spacing w:after="0" w:line="255" w:lineRule="auto"/>
        <w:tabs>
          <w:tab w:leader="none" w:pos="18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September 1, 1997, on Base Rate Loans, (ii) on the last day of the applicable Interest Period, and if such Interest Period is longer than three months, also on the last day of the third month following the commencement of such Interest Period, on Eurodollar Loans, and (iii) on the Maturity Date for all Loans.</w:t>
      </w:r>
    </w:p>
    <w:p>
      <w:pPr>
        <w:spacing w:after="0" w:line="160" w:lineRule="exact"/>
        <w:rPr>
          <w:sz w:val="20"/>
          <w:szCs w:val="20"/>
          <w:color w:val="auto"/>
        </w:rPr>
      </w:pPr>
    </w:p>
    <w:p>
      <w:pPr>
        <w:ind w:left="350"/>
        <w:spacing w:after="0"/>
        <w:tabs>
          <w:tab w:leader="none" w:pos="147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w:t>
      </w:r>
    </w:p>
    <w:p>
      <w:pPr>
        <w:spacing w:after="0" w:line="173" w:lineRule="exact"/>
        <w:rPr>
          <w:sz w:val="20"/>
          <w:szCs w:val="20"/>
          <w:color w:val="auto"/>
        </w:rPr>
      </w:pPr>
    </w:p>
    <w:p>
      <w:pPr>
        <w:ind w:left="-10" w:right="3319" w:firstLine="1147"/>
        <w:spacing w:after="0" w:line="254" w:lineRule="auto"/>
        <w:tabs>
          <w:tab w:leader="none" w:pos="182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w:t>
      </w:r>
    </w:p>
    <w:p>
      <w:pPr>
        <w:spacing w:after="0" w:line="1" w:lineRule="exact"/>
        <w:rPr>
          <w:rFonts w:ascii="Courier New" w:cs="Courier New" w:eastAsia="Courier New" w:hAnsi="Courier New"/>
          <w:sz w:val="14"/>
          <w:szCs w:val="14"/>
          <w:color w:val="auto"/>
        </w:rPr>
      </w:pPr>
    </w:p>
    <w:p>
      <w:pPr>
        <w:ind w:left="-10" w:right="3399" w:firstLine="10"/>
        <w:spacing w:after="0" w:line="237" w:lineRule="auto"/>
        <w:tabs>
          <w:tab w:leader="none" w:pos="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73" w:lineRule="exact"/>
        <w:rPr>
          <w:rFonts w:ascii="Courier New" w:cs="Courier New" w:eastAsia="Courier New" w:hAnsi="Courier New"/>
          <w:sz w:val="15"/>
          <w:szCs w:val="15"/>
          <w:color w:val="auto"/>
        </w:rPr>
      </w:pPr>
    </w:p>
    <w:p>
      <w:pPr>
        <w:ind w:left="-10" w:right="3319" w:firstLine="1147"/>
        <w:spacing w:after="0" w:line="236" w:lineRule="auto"/>
        <w:tabs>
          <w:tab w:leader="none" w:pos="182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w:t>
      </w:r>
    </w:p>
    <w:p>
      <w:pPr>
        <w:sectPr>
          <w:pgSz w:w="11900" w:h="16838" w:orient="portrait"/>
          <w:cols w:equalWidth="0" w:num="1">
            <w:col w:w="10229"/>
          </w:cols>
          <w:pgMar w:left="23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27</w:t>
      </w:r>
    </w:p>
    <w:p>
      <w:pPr>
        <w:jc w:val="center"/>
        <w:ind w:right="3219"/>
        <w:spacing w:after="0" w:line="237" w:lineRule="auto"/>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166" w:lineRule="exact"/>
        <w:rPr>
          <w:sz w:val="20"/>
          <w:szCs w:val="20"/>
          <w:color w:val="auto"/>
        </w:rPr>
      </w:pPr>
    </w:p>
    <w:p>
      <w:pPr>
        <w:ind w:right="3319" w:firstLine="1147"/>
        <w:spacing w:after="0" w:line="256" w:lineRule="auto"/>
        <w:tabs>
          <w:tab w:leader="none" w:pos="183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64"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3" w:lineRule="exact"/>
        <w:rPr>
          <w:sz w:val="20"/>
          <w:szCs w:val="20"/>
          <w:color w:val="auto"/>
        </w:rPr>
      </w:pPr>
    </w:p>
    <w:p>
      <w:pPr>
        <w:ind w:left="360" w:right="3399" w:firstLine="787"/>
        <w:spacing w:after="0" w:line="254" w:lineRule="auto"/>
        <w:tabs>
          <w:tab w:leader="none" w:pos="1847"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w:t>
      </w:r>
    </w:p>
    <w:p>
      <w:pPr>
        <w:spacing w:after="0" w:line="1" w:lineRule="exact"/>
        <w:rPr>
          <w:rFonts w:ascii="Courier New" w:cs="Courier New" w:eastAsia="Courier New" w:hAnsi="Courier New"/>
          <w:sz w:val="14"/>
          <w:szCs w:val="14"/>
          <w:color w:val="auto"/>
        </w:rPr>
      </w:pPr>
    </w:p>
    <w:p>
      <w:pPr>
        <w:ind w:left="360" w:right="3319"/>
        <w:spacing w:after="0" w:line="255" w:lineRule="auto"/>
        <w:tabs>
          <w:tab w:leader="none" w:pos="79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65" w:lineRule="exact"/>
        <w:rPr>
          <w:rFonts w:ascii="Courier New" w:cs="Courier New" w:eastAsia="Courier New" w:hAnsi="Courier New"/>
          <w:sz w:val="14"/>
          <w:szCs w:val="14"/>
          <w:color w:val="auto"/>
        </w:rPr>
      </w:pPr>
    </w:p>
    <w:p>
      <w:pPr>
        <w:ind w:left="360" w:right="3319" w:firstLine="787"/>
        <w:spacing w:after="0" w:line="255" w:lineRule="auto"/>
        <w:tabs>
          <w:tab w:leader="none" w:pos="184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28</w:t>
      </w:r>
    </w:p>
    <w:p>
      <w:pPr>
        <w:jc w:val="center"/>
        <w:ind w:right="3219"/>
        <w:spacing w:after="0" w:line="237" w:lineRule="auto"/>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360" w:right="3399"/>
        <w:spacing w:after="0" w:line="234" w:lineRule="auto"/>
        <w:rPr>
          <w:sz w:val="20"/>
          <w:szCs w:val="20"/>
          <w:color w:val="auto"/>
        </w:rPr>
      </w:pPr>
      <w:r>
        <w:rPr>
          <w:rFonts w:ascii="Courier New" w:cs="Courier New" w:eastAsia="Courier New" w:hAnsi="Courier New"/>
          <w:sz w:val="15"/>
          <w:szCs w:val="15"/>
          <w:color w:val="auto"/>
        </w:rPr>
        <w:t>Banks in writing (or by telephone confirmed in writing or by facsimile) of such election.</w:t>
      </w:r>
    </w:p>
    <w:p>
      <w:pPr>
        <w:spacing w:after="0" w:line="173" w:lineRule="exact"/>
        <w:rPr>
          <w:sz w:val="20"/>
          <w:szCs w:val="20"/>
          <w:color w:val="auto"/>
        </w:rPr>
      </w:pPr>
    </w:p>
    <w:p>
      <w:pPr>
        <w:ind w:left="360" w:right="3579" w:firstLine="787"/>
        <w:spacing w:after="0" w:line="235" w:lineRule="auto"/>
        <w:tabs>
          <w:tab w:leader="none" w:pos="18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Maturity Date.</w:t>
      </w:r>
    </w:p>
    <w:p>
      <w:pPr>
        <w:spacing w:after="0" w:line="173" w:lineRule="exact"/>
        <w:rPr>
          <w:rFonts w:ascii="Courier New" w:cs="Courier New" w:eastAsia="Courier New" w:hAnsi="Courier New"/>
          <w:sz w:val="15"/>
          <w:szCs w:val="15"/>
          <w:color w:val="auto"/>
        </w:rPr>
      </w:pPr>
    </w:p>
    <w:p>
      <w:pPr>
        <w:ind w:left="360" w:right="3399" w:firstLine="787"/>
        <w:spacing w:after="0" w:line="235" w:lineRule="auto"/>
        <w:tabs>
          <w:tab w:leader="none" w:pos="18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5" w:lineRule="exact"/>
        <w:rPr>
          <w:rFonts w:ascii="Courier New" w:cs="Courier New" w:eastAsia="Courier New" w:hAnsi="Courier New"/>
          <w:sz w:val="15"/>
          <w:szCs w:val="15"/>
          <w:color w:val="auto"/>
        </w:rPr>
      </w:pPr>
    </w:p>
    <w:p>
      <w:pPr>
        <w:ind w:left="360" w:right="3319" w:firstLine="787"/>
        <w:spacing w:after="0" w:line="237" w:lineRule="auto"/>
        <w:tabs>
          <w:tab w:leader="none" w:pos="18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Section 5.8 hereof, if any affected Bank demands compensation under Section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(a) in the case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29</w:t>
      </w:r>
    </w:p>
    <w:p>
      <w:pPr>
        <w:ind w:left="3340"/>
        <w:spacing w:after="0" w:line="237" w:lineRule="auto"/>
        <w:rPr>
          <w:sz w:val="20"/>
          <w:szCs w:val="20"/>
          <w:color w:val="auto"/>
        </w:rPr>
      </w:pPr>
      <w:r>
        <w:rPr>
          <w:rFonts w:ascii="Courier New" w:cs="Courier New" w:eastAsia="Courier New" w:hAnsi="Courier New"/>
          <w:sz w:val="15"/>
          <w:szCs w:val="15"/>
          <w:color w:val="auto"/>
        </w:rPr>
        <w:t>-23-</w:t>
      </w:r>
    </w:p>
    <w:p>
      <w:pPr>
        <w:spacing w:after="0" w:line="342"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SECTION 2.9 MATURITY OF THE LOANS AND REIMBURSEMENT OBLIGATIONS. The Borrower promises to pay on the Maturity Date, and there shall become absolutely due and payable on the Maturity Date, all of the Loans and unpaid Reimbursement Obligations outstanding on such date, together with any and all accrued and unpaid interest thereon and any fees and other amounts owing hereunder.</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one (1) Business Day prior to the proposed date of prepayment or repayment of all other Loans, written notice (or telephonic notice confirmed in writing or by facsimile) of any proposed prepayment or repayment pursuant to this Section</w:t>
      </w:r>
    </w:p>
    <w:p>
      <w:pPr>
        <w:spacing w:after="0" w:line="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2.10, specifying the proposed date of prepayment or repayment of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67"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SWING LINE LOANS; SETTLEMENTS.</w:t>
      </w:r>
    </w:p>
    <w:p>
      <w:pPr>
        <w:spacing w:after="0" w:line="173" w:lineRule="exact"/>
        <w:rPr>
          <w:sz w:val="20"/>
          <w:szCs w:val="20"/>
          <w:color w:val="auto"/>
        </w:rPr>
      </w:pPr>
    </w:p>
    <w:p>
      <w:pPr>
        <w:ind w:left="360" w:right="3319" w:firstLine="787"/>
        <w:spacing w:after="0" w:line="255" w:lineRule="auto"/>
        <w:tabs>
          <w:tab w:leader="none" w:pos="184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163" w:lineRule="exact"/>
        <w:rPr>
          <w:rFonts w:ascii="Courier New" w:cs="Courier New" w:eastAsia="Courier New" w:hAnsi="Courier New"/>
          <w:sz w:val="14"/>
          <w:szCs w:val="14"/>
          <w:color w:val="auto"/>
        </w:rPr>
      </w:pPr>
    </w:p>
    <w:p>
      <w:pPr>
        <w:jc w:val="both"/>
        <w:ind w:left="360" w:right="3499" w:firstLine="787"/>
        <w:spacing w:after="0" w:line="258" w:lineRule="auto"/>
        <w:tabs>
          <w:tab w:leader="none" w:pos="184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MGT gives written notice to the Administrative Agent to effect a Swing Line Settlement, (ii)</w:t>
      </w:r>
    </w:p>
    <w:p>
      <w:pPr>
        <w:sectPr>
          <w:pgSz w:w="11900" w:h="16838" w:orient="portrait"/>
          <w:cols w:equalWidth="0" w:num="1">
            <w:col w:w="10239"/>
          </w:cols>
          <w:pgMar w:left="220" w:top="28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30</w:t>
      </w:r>
    </w:p>
    <w:p>
      <w:pPr>
        <w:jc w:val="center"/>
        <w:ind w:right="3499"/>
        <w:spacing w:after="0" w:line="237" w:lineRule="auto"/>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80" w:right="3319"/>
        <w:spacing w:after="0" w:line="254" w:lineRule="auto"/>
        <w:rPr>
          <w:sz w:val="20"/>
          <w:szCs w:val="20"/>
          <w:color w:val="auto"/>
        </w:rPr>
      </w:pPr>
      <w:r>
        <w:rPr>
          <w:rFonts w:ascii="Courier New" w:cs="Courier New" w:eastAsia="Courier New" w:hAnsi="Courier New"/>
          <w:sz w:val="14"/>
          <w:szCs w:val="14"/>
          <w:color w:val="auto"/>
        </w:rPr>
        <w:t>the Business Day immediately following the Administrative Agent's becoming aware of the existence of any Default or Event of Default, (iii) the Maturity Date and (iv) the Business Day immediately following any day on which the outstanding amount of Swing Line Loans advanced by MGT exceeds $10,000,000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w:t>
      </w:r>
    </w:p>
    <w:p>
      <w:pPr>
        <w:spacing w:after="0" w:line="9" w:lineRule="exact"/>
        <w:rPr>
          <w:sz w:val="20"/>
          <w:szCs w:val="20"/>
          <w:color w:val="auto"/>
        </w:rPr>
      </w:pPr>
    </w:p>
    <w:p>
      <w:pPr>
        <w:ind w:left="80" w:right="3499"/>
        <w:spacing w:after="0" w:line="234" w:lineRule="auto"/>
        <w:rPr>
          <w:sz w:val="20"/>
          <w:szCs w:val="20"/>
          <w:color w:val="auto"/>
        </w:rPr>
      </w:pPr>
      <w:r>
        <w:rPr>
          <w:rFonts w:ascii="Courier New" w:cs="Courier New" w:eastAsia="Courier New" w:hAnsi="Courier New"/>
          <w:sz w:val="15"/>
          <w:szCs w:val="15"/>
          <w:color w:val="auto"/>
        </w:rPr>
        <w:t>2.11(b) shall for all purposes be treated as repayment of amounts owed by the Borrower with respect to Base Rate Loans made by such Bank.</w:t>
      </w:r>
    </w:p>
    <w:p>
      <w:pPr>
        <w:spacing w:after="0" w:line="173" w:lineRule="exact"/>
        <w:rPr>
          <w:sz w:val="20"/>
          <w:szCs w:val="20"/>
          <w:color w:val="auto"/>
        </w:rPr>
      </w:pPr>
    </w:p>
    <w:p>
      <w:pPr>
        <w:ind w:left="80" w:right="3399" w:firstLine="787"/>
        <w:spacing w:after="0" w:line="254" w:lineRule="auto"/>
        <w:tabs>
          <w:tab w:leader="none" w:pos="1567"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w:t>
      </w:r>
    </w:p>
    <w:p>
      <w:pPr>
        <w:ind w:left="80" w:right="3319"/>
        <w:spacing w:after="0" w:line="255" w:lineRule="auto"/>
        <w:tabs>
          <w:tab w:leader="none" w:pos="43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w:t>
      </w:r>
    </w:p>
    <w:p>
      <w:pPr>
        <w:sectPr>
          <w:pgSz w:w="11900" w:h="16838" w:orient="portrait"/>
          <w:cols w:equalWidth="0" w:num="1">
            <w:col w:w="9959"/>
          </w:cols>
          <w:pgMar w:left="500" w:top="28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31</w:t>
      </w:r>
    </w:p>
    <w:p>
      <w:pPr>
        <w:jc w:val="center"/>
        <w:ind w:right="3499"/>
        <w:spacing w:after="0" w:line="237" w:lineRule="auto"/>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left="80" w:right="3319"/>
        <w:spacing w:after="0" w:line="237" w:lineRule="auto"/>
        <w:rPr>
          <w:sz w:val="20"/>
          <w:szCs w:val="20"/>
          <w:color w:val="auto"/>
        </w:rPr>
      </w:pPr>
      <w:r>
        <w:rPr>
          <w:rFonts w:ascii="Courier New" w:cs="Courier New" w:eastAsia="Courier New" w:hAnsi="Courier New"/>
          <w:sz w:val="15"/>
          <w:szCs w:val="15"/>
          <w:color w:val="auto"/>
        </w:rPr>
        <w:t>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174" w:lineRule="exact"/>
        <w:rPr>
          <w:sz w:val="20"/>
          <w:szCs w:val="20"/>
          <w:color w:val="auto"/>
        </w:rPr>
      </w:pPr>
    </w:p>
    <w:p>
      <w:pPr>
        <w:ind w:left="80" w:right="3399" w:firstLine="787"/>
        <w:spacing w:after="0" w:line="255" w:lineRule="auto"/>
        <w:tabs>
          <w:tab w:leader="none" w:pos="156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60"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66"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LETTER OF CREDIT COMMITMENTS.</w:t>
      </w:r>
    </w:p>
    <w:p>
      <w:pPr>
        <w:spacing w:after="0" w:line="173" w:lineRule="exact"/>
        <w:rPr>
          <w:sz w:val="20"/>
          <w:szCs w:val="20"/>
          <w:color w:val="auto"/>
        </w:rPr>
      </w:pPr>
    </w:p>
    <w:p>
      <w:pPr>
        <w:ind w:left="80" w:right="3319" w:firstLine="787"/>
        <w:spacing w:after="0" w:line="255" w:lineRule="auto"/>
        <w:tabs>
          <w:tab w:leader="none" w:pos="15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w:t>
      </w:r>
    </w:p>
    <w:p>
      <w:pPr>
        <w:sectPr>
          <w:pgSz w:w="11900" w:h="16838" w:orient="portrait"/>
          <w:cols w:equalWidth="0" w:num="1">
            <w:col w:w="9959"/>
          </w:cols>
          <w:pgMar w:left="50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32</w:t>
      </w:r>
    </w:p>
    <w:p>
      <w:pPr>
        <w:jc w:val="center"/>
        <w:ind w:right="3219"/>
        <w:spacing w:after="0" w:line="237" w:lineRule="auto"/>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left="360" w:right="3319"/>
        <w:spacing w:after="0" w:line="254" w:lineRule="auto"/>
        <w:rPr>
          <w:sz w:val="20"/>
          <w:szCs w:val="20"/>
          <w:color w:val="auto"/>
        </w:rPr>
      </w:pPr>
      <w:r>
        <w:rPr>
          <w:rFonts w:ascii="Courier New" w:cs="Courier New" w:eastAsia="Courier New" w:hAnsi="Courier New"/>
          <w:sz w:val="14"/>
          <w:szCs w:val="14"/>
          <w:color w:val="auto"/>
        </w:rPr>
        <w:t>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lesser of (i) $650,000,000 or (ii) the Total Commitment minus the aggregate outstanding amount of the Loans and provided further, that no Letter of Credit shall have an expiration date later than the earlier of (x) eighteen</w:t>
      </w:r>
    </w:p>
    <w:p>
      <w:pPr>
        <w:spacing w:after="0" w:line="2" w:lineRule="exact"/>
        <w:rPr>
          <w:sz w:val="20"/>
          <w:szCs w:val="20"/>
          <w:color w:val="auto"/>
        </w:rPr>
      </w:pPr>
    </w:p>
    <w:p>
      <w:pPr>
        <w:ind w:left="360" w:right="3319"/>
        <w:spacing w:after="0" w:line="255" w:lineRule="auto"/>
        <w:tabs>
          <w:tab w:leader="none" w:pos="79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date of issuance (which may incorporate automatic renewals for periods of up to twelve (12) months), or (y) five (5) Business Days prior to the Maturity Date. The letters of credit listed in Schedule 3.1(a) issued by Issuing Banks under the Original Credit Agreement shall be Letters of Credit under this Agreement, and the letters of credit listed in Schedule 3.1(a) issued by Issuing Banks under the United Credit Agreement shall be Letters of Credit under this Agreement issued for the account of the Borrower as of the United Joinder Date.</w:t>
      </w:r>
    </w:p>
    <w:p>
      <w:pPr>
        <w:spacing w:after="0" w:line="165" w:lineRule="exact"/>
        <w:rPr>
          <w:rFonts w:ascii="Courier New" w:cs="Courier New" w:eastAsia="Courier New" w:hAnsi="Courier New"/>
          <w:sz w:val="14"/>
          <w:szCs w:val="14"/>
          <w:color w:val="auto"/>
        </w:rPr>
      </w:pPr>
    </w:p>
    <w:p>
      <w:pPr>
        <w:ind w:left="360" w:right="3399" w:firstLine="787"/>
        <w:spacing w:after="0" w:line="255" w:lineRule="auto"/>
        <w:tabs>
          <w:tab w:leader="none" w:pos="184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3.1(c) shall not be affected in any way by any circumstance other than the gross negligence or willful misconduct of the Issuing Bank.</w:t>
      </w:r>
    </w:p>
    <w:p>
      <w:pPr>
        <w:spacing w:after="0" w:line="332" w:lineRule="exact"/>
        <w:rPr>
          <w:rFonts w:ascii="Courier New" w:cs="Courier New" w:eastAsia="Courier New" w:hAnsi="Courier New"/>
          <w:sz w:val="14"/>
          <w:szCs w:val="14"/>
          <w:color w:val="auto"/>
        </w:rPr>
      </w:pPr>
    </w:p>
    <w:p>
      <w:pPr>
        <w:ind w:left="360" w:right="3499" w:firstLine="787"/>
        <w:spacing w:after="0" w:line="236" w:lineRule="auto"/>
        <w:tabs>
          <w:tab w:leader="none" w:pos="184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4" w:lineRule="exact"/>
        <w:rPr>
          <w:sz w:val="20"/>
          <w:szCs w:val="20"/>
          <w:color w:val="auto"/>
        </w:rPr>
      </w:pPr>
    </w:p>
    <w:p>
      <w:pPr>
        <w:ind w:left="360" w:right="3399" w:firstLine="787"/>
        <w:spacing w:after="0" w:line="255" w:lineRule="auto"/>
        <w:tabs>
          <w:tab w:leader="none" w:pos="18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12(g)</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33</w:t>
      </w:r>
    </w:p>
    <w:p>
      <w:pPr>
        <w:jc w:val="center"/>
        <w:ind w:right="3219"/>
        <w:spacing w:after="0" w:line="237" w:lineRule="auto"/>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left="360" w:right="3579"/>
        <w:spacing w:after="0" w:line="261" w:lineRule="auto"/>
        <w:rPr>
          <w:sz w:val="20"/>
          <w:szCs w:val="20"/>
          <w:color w:val="auto"/>
        </w:rPr>
      </w:pPr>
      <w:r>
        <w:rPr>
          <w:rFonts w:ascii="Courier New" w:cs="Courier New" w:eastAsia="Courier New" w:hAnsi="Courier New"/>
          <w:sz w:val="14"/>
          <w:szCs w:val="14"/>
          <w:color w:val="auto"/>
        </w:rPr>
        <w:t>or 12(h) has occurred, become automatically a Syndicated Loan which is a Base Rate Loan advanced hereunder in an amount equal to such sum; and</w:t>
      </w:r>
    </w:p>
    <w:p>
      <w:pPr>
        <w:spacing w:after="0" w:line="160" w:lineRule="exact"/>
        <w:rPr>
          <w:sz w:val="20"/>
          <w:szCs w:val="20"/>
          <w:color w:val="auto"/>
        </w:rPr>
      </w:pPr>
    </w:p>
    <w:p>
      <w:pPr>
        <w:ind w:left="360" w:right="3679" w:firstLine="787"/>
        <w:spacing w:after="0" w:line="236" w:lineRule="auto"/>
        <w:tabs>
          <w:tab w:leader="none" w:pos="184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the applicable Reimbursement Obligations.</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18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34</w:t>
      </w:r>
    </w:p>
    <w:p>
      <w:pPr>
        <w:ind w:left="3340"/>
        <w:spacing w:after="0" w:line="237" w:lineRule="auto"/>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counsel, independent accountants and other experts selected by such Issuing Bank.</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or extensions thereof, the applicable Issuing Bank shall notify the Administrative Agent of the terms of such Letter of Credit, amendment or extension. On the day of any drawing under any Letter of Credit, such Issuing Bank shall notify the Administrative Agent of such drawing under any Letter of Credit.</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commencing October 1, 1997, and on the Maturity Date. In addition, an issuing fee (the "Issuance Fee") with respect to each Letter of Credit to be agreed upon annually between the Borrower and each Issuing Bank shall be payable to such Issuing Bank for its account.</w:t>
      </w:r>
    </w:p>
    <w:p>
      <w:pPr>
        <w:spacing w:after="0" w:line="173"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59"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COMPETITIVE BID LOAN ACCOUNTS: COMPETITIVE BID NOTES.</w:t>
      </w:r>
    </w:p>
    <w:p>
      <w:pPr>
        <w:spacing w:after="0" w:line="173" w:lineRule="exact"/>
        <w:rPr>
          <w:sz w:val="20"/>
          <w:szCs w:val="20"/>
          <w:color w:val="auto"/>
        </w:rPr>
      </w:pPr>
    </w:p>
    <w:p>
      <w:pPr>
        <w:ind w:left="360" w:right="3319" w:firstLine="787"/>
        <w:spacing w:after="0" w:line="254" w:lineRule="auto"/>
        <w:tabs>
          <w:tab w:leader="none" w:pos="184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w:t>
      </w:r>
    </w:p>
    <w:p>
      <w:pPr>
        <w:spacing w:after="0" w:line="2" w:lineRule="exact"/>
        <w:rPr>
          <w:rFonts w:ascii="Courier New" w:cs="Courier New" w:eastAsia="Courier New" w:hAnsi="Courier New"/>
          <w:sz w:val="14"/>
          <w:szCs w:val="14"/>
          <w:color w:val="auto"/>
        </w:rPr>
      </w:pPr>
    </w:p>
    <w:p>
      <w:pPr>
        <w:ind w:left="360" w:right="3399"/>
        <w:spacing w:after="0" w:line="235" w:lineRule="auto"/>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4.2, the Borrower's obligations with respect to Competitive Bid Loans are to be evidenced only as stated herein and not by separate promissory notes.</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35</w:t>
      </w:r>
    </w:p>
    <w:p>
      <w:pPr>
        <w:ind w:left="3340"/>
        <w:spacing w:after="0" w:line="237" w:lineRule="auto"/>
        <w:rPr>
          <w:sz w:val="20"/>
          <w:szCs w:val="20"/>
          <w:color w:val="auto"/>
        </w:rPr>
      </w:pPr>
      <w:r>
        <w:rPr>
          <w:rFonts w:ascii="Courier New" w:cs="Courier New" w:eastAsia="Courier New" w:hAnsi="Courier New"/>
          <w:sz w:val="15"/>
          <w:szCs w:val="15"/>
          <w:color w:val="auto"/>
        </w:rPr>
        <w:t>-29-</w:t>
      </w:r>
    </w:p>
    <w:p>
      <w:pPr>
        <w:spacing w:after="0" w:line="342" w:lineRule="exact"/>
        <w:rPr>
          <w:sz w:val="20"/>
          <w:szCs w:val="20"/>
          <w:color w:val="auto"/>
        </w:rPr>
      </w:pPr>
    </w:p>
    <w:p>
      <w:pPr>
        <w:ind w:left="360" w:right="3319" w:firstLine="787"/>
        <w:spacing w:after="0" w:line="255" w:lineRule="auto"/>
        <w:tabs>
          <w:tab w:leader="none" w:pos="184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and from time to time, request that any Competitive Bid Loans outstanding to such Bank be evidenced by a promissory note of the Borrower in substantially the form of Exhibit C hereto (each, a "Competitive Bid Note"), dated as of the Closing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63" w:lineRule="exact"/>
        <w:rPr>
          <w:rFonts w:ascii="Courier New" w:cs="Courier New" w:eastAsia="Courier New" w:hAnsi="Courier New"/>
          <w:sz w:val="14"/>
          <w:szCs w:val="14"/>
          <w:color w:val="auto"/>
        </w:rPr>
      </w:pPr>
    </w:p>
    <w:p>
      <w:pPr>
        <w:ind w:left="360" w:right="3319" w:firstLine="787"/>
        <w:spacing w:after="0" w:line="254" w:lineRule="auto"/>
        <w:tabs>
          <w:tab w:leader="none" w:pos="184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175"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3" w:lineRule="exact"/>
        <w:rPr>
          <w:sz w:val="20"/>
          <w:szCs w:val="20"/>
          <w:color w:val="auto"/>
        </w:rPr>
      </w:pPr>
    </w:p>
    <w:p>
      <w:pPr>
        <w:ind w:left="360" w:right="3939" w:firstLine="787"/>
        <w:spacing w:after="0" w:line="258" w:lineRule="auto"/>
        <w:tabs>
          <w:tab w:leader="none" w:pos="184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36</w:t>
      </w:r>
    </w:p>
    <w:p>
      <w:pPr>
        <w:jc w:val="center"/>
        <w:ind w:right="3219"/>
        <w:spacing w:after="0" w:line="237" w:lineRule="auto"/>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jc w:val="both"/>
        <w:ind w:left="360" w:right="3319"/>
        <w:spacing w:after="0" w:line="236" w:lineRule="auto"/>
        <w:rPr>
          <w:sz w:val="20"/>
          <w:szCs w:val="20"/>
          <w:color w:val="auto"/>
        </w:rPr>
      </w:pPr>
      <w:r>
        <w:rPr>
          <w:rFonts w:ascii="Courier New" w:cs="Courier New" w:eastAsia="Courier New" w:hAnsi="Courier New"/>
          <w:sz w:val="15"/>
          <w:szCs w:val="15"/>
          <w:color w:val="auto"/>
        </w:rPr>
        <w:t>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 one (1) Business Day prior to the requested Drawdown Date in the case of an Absolute Competitive Bid Loan (an "Absolute Competitive Bid Loan"), specifying:</w:t>
      </w:r>
    </w:p>
    <w:p>
      <w:pPr>
        <w:spacing w:after="0" w:line="176" w:lineRule="exact"/>
        <w:rPr>
          <w:sz w:val="20"/>
          <w:szCs w:val="20"/>
          <w:color w:val="auto"/>
        </w:rPr>
      </w:pPr>
    </w:p>
    <w:p>
      <w:pPr>
        <w:ind w:left="1140" w:right="3399" w:firstLine="706"/>
        <w:spacing w:after="0" w:line="235" w:lineRule="auto"/>
        <w:tabs>
          <w:tab w:leader="none" w:pos="218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1140" w:right="3499" w:firstLine="706"/>
        <w:spacing w:after="0" w:line="261" w:lineRule="auto"/>
        <w:tabs>
          <w:tab w:leader="none" w:pos="227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such Competitive Bid Loans, which shall be $10,000,000 or larger multiple of $1,000,000;</w:t>
      </w:r>
    </w:p>
    <w:p>
      <w:pPr>
        <w:spacing w:after="0" w:line="159" w:lineRule="exact"/>
        <w:rPr>
          <w:rFonts w:ascii="Courier New" w:cs="Courier New" w:eastAsia="Courier New" w:hAnsi="Courier New"/>
          <w:sz w:val="14"/>
          <w:szCs w:val="14"/>
          <w:color w:val="auto"/>
        </w:rPr>
      </w:pPr>
    </w:p>
    <w:p>
      <w:pPr>
        <w:ind w:left="1140" w:right="3499" w:firstLine="706"/>
        <w:spacing w:after="0" w:line="235" w:lineRule="auto"/>
        <w:tabs>
          <w:tab w:leader="none" w:pos="236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Interest Period(s) applicable thereto, subject to the provisions of the definition of Interest Period; and</w:t>
      </w:r>
    </w:p>
    <w:p>
      <w:pPr>
        <w:spacing w:after="0" w:line="173" w:lineRule="exact"/>
        <w:rPr>
          <w:rFonts w:ascii="Courier New" w:cs="Courier New" w:eastAsia="Courier New" w:hAnsi="Courier New"/>
          <w:sz w:val="15"/>
          <w:szCs w:val="15"/>
          <w:color w:val="auto"/>
        </w:rPr>
      </w:pPr>
    </w:p>
    <w:p>
      <w:pPr>
        <w:ind w:left="1140" w:right="3319" w:firstLine="706"/>
        <w:spacing w:after="0" w:line="261" w:lineRule="auto"/>
        <w:tabs>
          <w:tab w:leader="none" w:pos="236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Competitive Bid Quotes requested are for LIBOR Competitive Bid Loans or Absolute Competitive Bid Loans.</w:t>
      </w:r>
    </w:p>
    <w:p>
      <w:pPr>
        <w:spacing w:after="0" w:line="160"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75" w:lineRule="exact"/>
        <w:rPr>
          <w:sz w:val="20"/>
          <w:szCs w:val="20"/>
          <w:color w:val="auto"/>
        </w:rPr>
      </w:pPr>
    </w:p>
    <w:p>
      <w:pPr>
        <w:ind w:left="360" w:right="3399" w:firstLine="787"/>
        <w:spacing w:after="0" w:line="236" w:lineRule="auto"/>
        <w:tabs>
          <w:tab w:leader="none" w:pos="18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ectPr>
          <w:pgSz w:w="11900" w:h="16838" w:orient="portrait"/>
          <w:cols w:equalWidth="0" w:num="1">
            <w:col w:w="10239"/>
          </w:cols>
          <w:pgMar w:left="220" w:top="28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37</w:t>
      </w:r>
    </w:p>
    <w:p>
      <w:pPr>
        <w:ind w:left="3060"/>
        <w:spacing w:after="0" w:line="237" w:lineRule="auto"/>
        <w:rPr>
          <w:sz w:val="20"/>
          <w:szCs w:val="20"/>
          <w:color w:val="auto"/>
        </w:rPr>
      </w:pPr>
      <w:r>
        <w:rPr>
          <w:rFonts w:ascii="Courier New" w:cs="Courier New" w:eastAsia="Courier New" w:hAnsi="Courier New"/>
          <w:sz w:val="15"/>
          <w:szCs w:val="15"/>
          <w:color w:val="auto"/>
        </w:rPr>
        <w:t>-31-</w:t>
      </w:r>
    </w:p>
    <w:p>
      <w:pPr>
        <w:spacing w:after="0" w:line="167" w:lineRule="exact"/>
        <w:rPr>
          <w:sz w:val="20"/>
          <w:szCs w:val="20"/>
          <w:color w:val="auto"/>
        </w:rPr>
      </w:pPr>
    </w:p>
    <w:p>
      <w:pPr>
        <w:ind w:left="80"/>
        <w:spacing w:after="0"/>
        <w:tabs>
          <w:tab w:leader="none" w:pos="128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3" w:lineRule="exact"/>
        <w:rPr>
          <w:sz w:val="20"/>
          <w:szCs w:val="20"/>
          <w:color w:val="auto"/>
        </w:rPr>
      </w:pPr>
    </w:p>
    <w:p>
      <w:pPr>
        <w:ind w:left="80" w:right="3319" w:firstLine="787"/>
        <w:spacing w:after="0" w:line="237" w:lineRule="auto"/>
        <w:tabs>
          <w:tab w:leader="none" w:pos="156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21 not later than (x) 2:00 p.m. (New York time) on the fourth Eurodollar Business Day prior to the proposed Drawdown Date, in the case of a LIBOR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175" w:lineRule="exact"/>
        <w:rPr>
          <w:rFonts w:ascii="Courier New" w:cs="Courier New" w:eastAsia="Courier New" w:hAnsi="Courier New"/>
          <w:sz w:val="15"/>
          <w:szCs w:val="15"/>
          <w:color w:val="auto"/>
        </w:rPr>
      </w:pPr>
    </w:p>
    <w:p>
      <w:pPr>
        <w:ind w:left="80" w:right="3319" w:firstLine="787"/>
        <w:spacing w:after="0" w:line="234" w:lineRule="auto"/>
        <w:tabs>
          <w:tab w:leader="none" w:pos="130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66" w:lineRule="exact"/>
        <w:rPr>
          <w:rFonts w:ascii="Courier New" w:cs="Courier New" w:eastAsia="Courier New" w:hAnsi="Courier New"/>
          <w:sz w:val="15"/>
          <w:szCs w:val="15"/>
          <w:color w:val="auto"/>
        </w:rPr>
      </w:pPr>
    </w:p>
    <w:p>
      <w:pPr>
        <w:ind w:left="2000" w:hanging="434"/>
        <w:spacing w:after="0"/>
        <w:tabs>
          <w:tab w:leader="none" w:pos="200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2" w:lineRule="exact"/>
        <w:rPr>
          <w:rFonts w:ascii="Courier New" w:cs="Courier New" w:eastAsia="Courier New" w:hAnsi="Courier New"/>
          <w:sz w:val="15"/>
          <w:szCs w:val="15"/>
          <w:color w:val="auto"/>
        </w:rPr>
      </w:pPr>
    </w:p>
    <w:p>
      <w:pPr>
        <w:ind w:left="860" w:right="3319" w:firstLine="706"/>
        <w:spacing w:after="0" w:line="254" w:lineRule="auto"/>
        <w:tabs>
          <w:tab w:leader="none" w:pos="2084"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Competitive Bid Loan for which each proposal is being made, which principal amount (w) may be greater than or less than the Commitment of the quoting Bank,</w:t>
      </w:r>
    </w:p>
    <w:p>
      <w:pPr>
        <w:spacing w:after="0" w:line="1" w:lineRule="exact"/>
        <w:rPr>
          <w:rFonts w:ascii="Courier New" w:cs="Courier New" w:eastAsia="Courier New" w:hAnsi="Courier New"/>
          <w:sz w:val="14"/>
          <w:szCs w:val="14"/>
          <w:color w:val="auto"/>
        </w:rPr>
      </w:pPr>
    </w:p>
    <w:p>
      <w:pPr>
        <w:ind w:left="860" w:right="3319" w:firstLine="7"/>
        <w:spacing w:after="0" w:line="236" w:lineRule="auto"/>
        <w:tabs>
          <w:tab w:leader="none" w:pos="121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174" w:lineRule="exact"/>
        <w:rPr>
          <w:rFonts w:ascii="Courier New" w:cs="Courier New" w:eastAsia="Courier New" w:hAnsi="Courier New"/>
          <w:sz w:val="15"/>
          <w:szCs w:val="15"/>
          <w:color w:val="auto"/>
        </w:rPr>
      </w:pPr>
    </w:p>
    <w:p>
      <w:pPr>
        <w:ind w:left="860" w:right="3579" w:firstLine="706"/>
        <w:spacing w:after="0" w:line="234" w:lineRule="auto"/>
        <w:tabs>
          <w:tab w:leader="none" w:pos="217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3" w:lineRule="exact"/>
        <w:rPr>
          <w:rFonts w:ascii="Courier New" w:cs="Courier New" w:eastAsia="Courier New" w:hAnsi="Courier New"/>
          <w:sz w:val="15"/>
          <w:szCs w:val="15"/>
          <w:color w:val="auto"/>
        </w:rPr>
      </w:pPr>
    </w:p>
    <w:p>
      <w:pPr>
        <w:ind w:left="860" w:right="3319" w:firstLine="706"/>
        <w:spacing w:after="0" w:line="256" w:lineRule="auto"/>
        <w:tabs>
          <w:tab w:leader="none" w:pos="208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ectPr>
          <w:pgSz w:w="11900" w:h="16838" w:orient="portrait"/>
          <w:cols w:equalWidth="0" w:num="1">
            <w:col w:w="9959"/>
          </w:cols>
          <w:pgMar w:left="50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38</w:t>
      </w:r>
    </w:p>
    <w:p>
      <w:pPr>
        <w:ind w:left="3340"/>
        <w:spacing w:after="0" w:line="237" w:lineRule="auto"/>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left="1140" w:right="3319" w:firstLine="706"/>
        <w:spacing w:after="0" w:line="235" w:lineRule="auto"/>
        <w:tabs>
          <w:tab w:leader="none" w:pos="227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68" w:lineRule="exact"/>
        <w:rPr>
          <w:rFonts w:ascii="Courier New" w:cs="Courier New" w:eastAsia="Courier New" w:hAnsi="Courier New"/>
          <w:sz w:val="15"/>
          <w:szCs w:val="15"/>
          <w:color w:val="auto"/>
        </w:rPr>
      </w:pPr>
    </w:p>
    <w:p>
      <w:pPr>
        <w:ind w:left="2380" w:hanging="534"/>
        <w:spacing w:after="0"/>
        <w:tabs>
          <w:tab w:leader="none" w:pos="2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67" w:lineRule="exact"/>
        <w:rPr>
          <w:sz w:val="20"/>
          <w:szCs w:val="20"/>
          <w:color w:val="auto"/>
        </w:rPr>
      </w:pPr>
    </w:p>
    <w:p>
      <w:pPr>
        <w:ind w:left="1580" w:hanging="433"/>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2" w:lineRule="exact"/>
        <w:rPr>
          <w:rFonts w:ascii="Courier New" w:cs="Courier New" w:eastAsia="Courier New" w:hAnsi="Courier New"/>
          <w:sz w:val="15"/>
          <w:szCs w:val="15"/>
          <w:color w:val="auto"/>
        </w:rPr>
      </w:pPr>
    </w:p>
    <w:p>
      <w:pPr>
        <w:ind w:left="2280" w:hanging="434"/>
        <w:spacing w:after="0"/>
        <w:tabs>
          <w:tab w:leader="none" w:pos="22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substantially in the form of Exhibit J hereto;</w:t>
      </w:r>
    </w:p>
    <w:p>
      <w:pPr>
        <w:spacing w:after="0" w:line="177" w:lineRule="exact"/>
        <w:rPr>
          <w:rFonts w:ascii="Courier New" w:cs="Courier New" w:eastAsia="Courier New" w:hAnsi="Courier New"/>
          <w:sz w:val="14"/>
          <w:szCs w:val="14"/>
          <w:color w:val="auto"/>
        </w:rPr>
      </w:pPr>
    </w:p>
    <w:p>
      <w:pPr>
        <w:ind w:left="2380" w:hanging="534"/>
        <w:spacing w:after="0"/>
        <w:tabs>
          <w:tab w:leader="none" w:pos="23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qualifying, conditional or similar language;</w:t>
      </w:r>
    </w:p>
    <w:p>
      <w:pPr>
        <w:spacing w:after="0" w:line="177" w:lineRule="exact"/>
        <w:rPr>
          <w:rFonts w:ascii="Courier New" w:cs="Courier New" w:eastAsia="Courier New" w:hAnsi="Courier New"/>
          <w:sz w:val="14"/>
          <w:szCs w:val="14"/>
          <w:color w:val="auto"/>
        </w:rPr>
      </w:pPr>
    </w:p>
    <w:p>
      <w:pPr>
        <w:ind w:left="1140" w:right="3319" w:firstLine="706"/>
        <w:spacing w:after="0" w:line="235" w:lineRule="auto"/>
        <w:tabs>
          <w:tab w:leader="none" w:pos="2452"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Competitive Bid Quotes; or</w:t>
      </w:r>
    </w:p>
    <w:p>
      <w:pPr>
        <w:spacing w:after="0" w:line="167" w:lineRule="exact"/>
        <w:rPr>
          <w:rFonts w:ascii="Courier New" w:cs="Courier New" w:eastAsia="Courier New" w:hAnsi="Courier New"/>
          <w:sz w:val="15"/>
          <w:szCs w:val="15"/>
          <w:color w:val="auto"/>
        </w:rPr>
      </w:pPr>
    </w:p>
    <w:p>
      <w:pPr>
        <w:ind w:left="2380" w:hanging="534"/>
        <w:spacing w:after="0"/>
        <w:tabs>
          <w:tab w:leader="none" w:pos="23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 4.5(a)</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w:t>
      </w:r>
    </w:p>
    <w:p>
      <w:pPr>
        <w:spacing w:after="0" w:line="5" w:lineRule="exact"/>
        <w:rPr>
          <w:sz w:val="20"/>
          <w:szCs w:val="20"/>
          <w:color w:val="auto"/>
        </w:rPr>
      </w:pPr>
    </w:p>
    <w:p>
      <w:pPr>
        <w:jc w:val="both"/>
        <w:ind w:right="3319" w:firstLine="10"/>
        <w:spacing w:after="0" w:line="261" w:lineRule="auto"/>
        <w:tabs>
          <w:tab w:leader="none" w:pos="3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limitations on the aggregate principal amount of Competitive Bid Loans for which offers in any single Competitive Bid Quote may be accepted.</w:t>
      </w:r>
    </w:p>
    <w:p>
      <w:pPr>
        <w:spacing w:after="0" w:line="160" w:lineRule="exact"/>
        <w:rPr>
          <w:sz w:val="20"/>
          <w:szCs w:val="20"/>
          <w:color w:val="auto"/>
        </w:rPr>
      </w:pPr>
    </w:p>
    <w:p>
      <w:pPr>
        <w:jc w:val="both"/>
        <w:ind w:right="3319" w:firstLine="350"/>
        <w:spacing w:after="0" w:line="236" w:lineRule="auto"/>
        <w:rPr>
          <w:sz w:val="20"/>
          <w:szCs w:val="20"/>
          <w:color w:val="auto"/>
        </w:rPr>
      </w:pPr>
      <w:r>
        <w:rPr>
          <w:rFonts w:ascii="Courier New" w:cs="Courier New" w:eastAsia="Courier New" w:hAnsi="Courier New"/>
          <w:sz w:val="15"/>
          <w:szCs w:val="15"/>
          <w:color w:val="auto"/>
        </w:rPr>
        <w:t>SECTION 4.7. ACCEPTANCE AND NOTICE BY BORROWER AND ADMINISTRATIVE AGENT. Not later than 11:00 a.m. (New York time) on (x) the third Eurodollar Business Day prior to the proposed Drawdown Date, in the case of a LIBOR Competitive Bid Loan or (y) the proposed Drawdown Date, in the case of an Absolute Competitive Bid Loan, the Borrower shall notify the Administrative Agent of its acceptance or non-acceptance of each Competitive Bid Quote in</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39</w:t>
      </w:r>
    </w:p>
    <w:p>
      <w:pPr>
        <w:ind w:left="3340"/>
        <w:spacing w:after="0" w:line="237" w:lineRule="auto"/>
        <w:rPr>
          <w:sz w:val="20"/>
          <w:szCs w:val="20"/>
          <w:color w:val="auto"/>
        </w:rPr>
      </w:pPr>
      <w:r>
        <w:rPr>
          <w:rFonts w:ascii="Courier New" w:cs="Courier New" w:eastAsia="Courier New" w:hAnsi="Courier New"/>
          <w:sz w:val="15"/>
          <w:szCs w:val="15"/>
          <w:color w:val="auto"/>
        </w:rPr>
        <w:t>-33-</w:t>
      </w:r>
    </w:p>
    <w:p>
      <w:pPr>
        <w:spacing w:after="0" w:line="167"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substantially the form of Exhibit K hereto.</w:t>
      </w:r>
      <w:r>
        <w:rPr>
          <w:sz w:val="20"/>
          <w:szCs w:val="20"/>
          <w:color w:val="auto"/>
        </w:rPr>
        <w:tab/>
      </w:r>
      <w:r>
        <w:rPr>
          <w:rFonts w:ascii="Courier New" w:cs="Courier New" w:eastAsia="Courier New" w:hAnsi="Courier New"/>
          <w:sz w:val="14"/>
          <w:szCs w:val="14"/>
          <w:color w:val="auto"/>
        </w:rPr>
        <w:t>The Borrower may accept any</w:t>
      </w:r>
    </w:p>
    <w:p>
      <w:pPr>
        <w:spacing w:after="0" w:line="237" w:lineRule="auto"/>
        <w:rPr>
          <w:sz w:val="20"/>
          <w:szCs w:val="20"/>
          <w:color w:val="auto"/>
        </w:rPr>
      </w:pPr>
      <w:r>
        <w:rPr>
          <w:rFonts w:ascii="Courier New" w:cs="Courier New" w:eastAsia="Courier New" w:hAnsi="Courier New"/>
          <w:sz w:val="15"/>
          <w:szCs w:val="15"/>
          <w:color w:val="auto"/>
        </w:rPr>
        <w:t>Competitive Bid Quote in whole or in part; provided that:</w:t>
      </w:r>
    </w:p>
    <w:p>
      <w:pPr>
        <w:spacing w:after="0" w:line="173" w:lineRule="exact"/>
        <w:rPr>
          <w:sz w:val="20"/>
          <w:szCs w:val="20"/>
          <w:color w:val="auto"/>
        </w:rPr>
      </w:pPr>
    </w:p>
    <w:p>
      <w:pPr>
        <w:ind w:left="1140" w:right="3579" w:firstLine="706"/>
        <w:spacing w:after="0" w:line="235" w:lineRule="auto"/>
        <w:tabs>
          <w:tab w:leader="none" w:pos="227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3" w:lineRule="exact"/>
        <w:rPr>
          <w:rFonts w:ascii="Courier New" w:cs="Courier New" w:eastAsia="Courier New" w:hAnsi="Courier New"/>
          <w:sz w:val="15"/>
          <w:szCs w:val="15"/>
          <w:color w:val="auto"/>
        </w:rPr>
      </w:pPr>
    </w:p>
    <w:p>
      <w:pPr>
        <w:ind w:left="1140" w:right="3399" w:firstLine="706"/>
        <w:spacing w:after="0" w:line="235" w:lineRule="auto"/>
        <w:tabs>
          <w:tab w:leader="none" w:pos="23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Competitive Bid Margins or Competitive Bid Rates, as the case may be, and</w:t>
      </w:r>
    </w:p>
    <w:p>
      <w:pPr>
        <w:spacing w:after="0" w:line="173" w:lineRule="exact"/>
        <w:rPr>
          <w:rFonts w:ascii="Courier New" w:cs="Courier New" w:eastAsia="Courier New" w:hAnsi="Courier New"/>
          <w:sz w:val="15"/>
          <w:szCs w:val="15"/>
          <w:color w:val="auto"/>
        </w:rPr>
      </w:pPr>
    </w:p>
    <w:p>
      <w:pPr>
        <w:ind w:left="1140" w:right="3499" w:firstLine="706"/>
        <w:spacing w:after="0" w:line="235" w:lineRule="auto"/>
        <w:tabs>
          <w:tab w:leader="none" w:pos="245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80"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40</w:t>
      </w:r>
    </w:p>
    <w:p>
      <w:pPr>
        <w:jc w:val="center"/>
        <w:ind w:right="3219"/>
        <w:spacing w:after="0" w:line="237" w:lineRule="auto"/>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Loans, including, without limitation compensation as provided in Section 5.8.</w:t>
      </w:r>
    </w:p>
    <w:p>
      <w:pPr>
        <w:spacing w:after="0" w:line="179"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168"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66"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PAYMENTS.</w:t>
      </w:r>
    </w:p>
    <w:p>
      <w:pPr>
        <w:spacing w:after="0" w:line="173" w:lineRule="exact"/>
        <w:rPr>
          <w:sz w:val="20"/>
          <w:szCs w:val="20"/>
          <w:color w:val="auto"/>
        </w:rPr>
      </w:pPr>
    </w:p>
    <w:p>
      <w:pPr>
        <w:ind w:left="360" w:right="3319" w:firstLine="787"/>
        <w:spacing w:after="0" w:line="236" w:lineRule="auto"/>
        <w:tabs>
          <w:tab w:leader="none" w:pos="184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 immediately available funds by 11:00 a.m. (New York time) on any due date. Subject to the provisions of Section 28,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w:t>
      </w:r>
    </w:p>
    <w:p>
      <w:pPr>
        <w:sectPr>
          <w:pgSz w:w="11900" w:h="16838" w:orient="portrait"/>
          <w:cols w:equalWidth="0" w:num="1">
            <w:col w:w="10239"/>
          </w:cols>
          <w:pgMar w:left="220" w:top="28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41</w:t>
      </w:r>
    </w:p>
    <w:p>
      <w:pPr>
        <w:jc w:val="center"/>
        <w:ind w:right="3499"/>
        <w:spacing w:after="0" w:line="237" w:lineRule="auto"/>
        <w:rPr>
          <w:sz w:val="20"/>
          <w:szCs w:val="20"/>
          <w:color w:val="auto"/>
        </w:rPr>
      </w:pPr>
      <w:r>
        <w:rPr>
          <w:rFonts w:ascii="Courier New" w:cs="Courier New" w:eastAsia="Courier New" w:hAnsi="Courier New"/>
          <w:sz w:val="15"/>
          <w:szCs w:val="15"/>
          <w:color w:val="auto"/>
        </w:rPr>
        <w:t>-35-</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case of payments with respect to Syndicated Loans and Letters of Credit,</w:t>
      </w:r>
    </w:p>
    <w:p>
      <w:pPr>
        <w:spacing w:after="0" w:line="5" w:lineRule="exact"/>
        <w:rPr>
          <w:sz w:val="20"/>
          <w:szCs w:val="20"/>
          <w:color w:val="auto"/>
        </w:rPr>
      </w:pPr>
    </w:p>
    <w:p>
      <w:pPr>
        <w:ind w:left="80" w:right="3319"/>
        <w:spacing w:after="0" w:line="237" w:lineRule="auto"/>
        <w:tabs>
          <w:tab w:leader="none" w:pos="4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177" w:lineRule="exact"/>
        <w:rPr>
          <w:rFonts w:ascii="Courier New" w:cs="Courier New" w:eastAsia="Courier New" w:hAnsi="Courier New"/>
          <w:sz w:val="15"/>
          <w:szCs w:val="15"/>
          <w:color w:val="auto"/>
        </w:rPr>
      </w:pPr>
    </w:p>
    <w:p>
      <w:pPr>
        <w:ind w:left="80" w:right="3319" w:firstLine="787"/>
        <w:spacing w:after="0" w:line="254" w:lineRule="auto"/>
        <w:tabs>
          <w:tab w:leader="none" w:pos="1567"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Administrative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w:t>
      </w:r>
    </w:p>
    <w:p>
      <w:pPr>
        <w:sectPr>
          <w:pgSz w:w="11900" w:h="16838" w:orient="portrait"/>
          <w:cols w:equalWidth="0" w:num="1">
            <w:col w:w="9959"/>
          </w:cols>
          <w:pgMar w:left="50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42</w:t>
      </w:r>
    </w:p>
    <w:p>
      <w:pPr>
        <w:jc w:val="center"/>
        <w:ind w:right="3219"/>
        <w:spacing w:after="0" w:line="237" w:lineRule="auto"/>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left="360" w:right="3579"/>
        <w:spacing w:after="0" w:line="236" w:lineRule="auto"/>
        <w:rPr>
          <w:sz w:val="20"/>
          <w:szCs w:val="20"/>
          <w:color w:val="auto"/>
        </w:rPr>
      </w:pPr>
      <w:r>
        <w:rPr>
          <w:rFonts w:ascii="Courier New" w:cs="Courier New" w:eastAsia="Courier New" w:hAnsi="Courier New"/>
          <w:sz w:val="15"/>
          <w:szCs w:val="15"/>
          <w:color w:val="auto"/>
        </w:rPr>
        <w:t>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74" w:lineRule="exact"/>
        <w:rPr>
          <w:sz w:val="20"/>
          <w:szCs w:val="20"/>
          <w:color w:val="auto"/>
        </w:rPr>
      </w:pPr>
    </w:p>
    <w:p>
      <w:pPr>
        <w:ind w:left="360" w:right="3399" w:firstLine="787"/>
        <w:spacing w:after="0" w:line="254" w:lineRule="auto"/>
        <w:tabs>
          <w:tab w:leader="none" w:pos="184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(c) above.</w:t>
      </w:r>
    </w:p>
    <w:p>
      <w:pPr>
        <w:spacing w:after="0" w:line="343" w:lineRule="exact"/>
        <w:rPr>
          <w:rFonts w:ascii="Courier New" w:cs="Courier New" w:eastAsia="Courier New" w:hAnsi="Courier New"/>
          <w:sz w:val="14"/>
          <w:szCs w:val="14"/>
          <w:color w:val="auto"/>
        </w:rPr>
      </w:pPr>
    </w:p>
    <w:p>
      <w:pPr>
        <w:ind w:left="360" w:right="3399" w:firstLine="787"/>
        <w:spacing w:after="0" w:line="236" w:lineRule="auto"/>
        <w:tabs>
          <w:tab w:leader="none" w:pos="158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 can be made in a manner so that such Bank, in its sole determination, suffers no legal, economic or regulatory disadvantage.</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5.2. MANDATORY REPAYMENTS OF THE LOANS. 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(a) for application to the Loans, first to Syndicated Loans, then to Competitive Bid Loans, subject to Section 5.8, or (b) if no Loans shall be outstanding, to be held by the Administrative Agent for the benefit of the Banks as collateral security for such excess Maximum Drawing Amount; provided, however, that if the amount of cash collateral held by the Administrative Agent pursuant to this Section 5.2 exceeds</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Maximum Drawing Amount required to be collateralized from time to time, the Administrative Agent shall return such excess to the Borrower.</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5.3. COMPUTATIONS. Except as otherwise expressly provided herein, all computations of interest, Facility Fees, Utilization Fees, Letter of Credit Fees or other fees shall be based on a 360-day year and paid for the actual number of days elapsed, except that computations based on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44</w:t>
      </w:r>
    </w:p>
    <w:p>
      <w:pPr>
        <w:ind w:left="3340"/>
        <w:spacing w:after="0" w:line="237" w:lineRule="auto"/>
        <w:rPr>
          <w:sz w:val="20"/>
          <w:szCs w:val="20"/>
          <w:color w:val="auto"/>
        </w:rPr>
      </w:pPr>
      <w:r>
        <w:rPr>
          <w:rFonts w:ascii="Courier New" w:cs="Courier New" w:eastAsia="Courier New" w:hAnsi="Courier New"/>
          <w:sz w:val="15"/>
          <w:szCs w:val="15"/>
          <w:color w:val="auto"/>
        </w:rPr>
        <w:t>-38-</w:t>
      </w:r>
    </w:p>
    <w:p>
      <w:pPr>
        <w:spacing w:after="0" w:line="34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77" w:lineRule="exact"/>
        <w:rPr>
          <w:sz w:val="20"/>
          <w:szCs w:val="20"/>
          <w:color w:val="auto"/>
        </w:rPr>
      </w:pPr>
    </w:p>
    <w:p>
      <w:pPr>
        <w:ind w:left="360" w:right="3319" w:firstLine="437"/>
        <w:spacing w:after="0" w:line="236" w:lineRule="auto"/>
        <w:tabs>
          <w:tab w:leader="none" w:pos="11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4" w:lineRule="exact"/>
        <w:rPr>
          <w:rFonts w:ascii="Courier New" w:cs="Courier New" w:eastAsia="Courier New" w:hAnsi="Courier New"/>
          <w:sz w:val="15"/>
          <w:szCs w:val="15"/>
          <w:color w:val="auto"/>
        </w:rPr>
      </w:pPr>
    </w:p>
    <w:p>
      <w:pPr>
        <w:ind w:left="360" w:right="3399" w:firstLine="437"/>
        <w:spacing w:after="0" w:line="236" w:lineRule="auto"/>
        <w:tabs>
          <w:tab w:leader="none" w:pos="11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4" w:lineRule="exact"/>
        <w:rPr>
          <w:rFonts w:ascii="Courier New" w:cs="Courier New" w:eastAsia="Courier New" w:hAnsi="Courier New"/>
          <w:sz w:val="15"/>
          <w:szCs w:val="15"/>
          <w:color w:val="auto"/>
        </w:rPr>
      </w:pPr>
    </w:p>
    <w:p>
      <w:pPr>
        <w:ind w:left="360" w:right="3319" w:firstLine="437"/>
        <w:spacing w:after="0" w:line="236" w:lineRule="auto"/>
        <w:tabs>
          <w:tab w:leader="none" w:pos="11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5.6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8" w:lineRule="exact"/>
        <w:rPr>
          <w:rFonts w:ascii="Courier New" w:cs="Courier New" w:eastAsia="Courier New" w:hAnsi="Courier New"/>
          <w:sz w:val="15"/>
          <w:szCs w:val="15"/>
          <w:color w:val="auto"/>
        </w:rPr>
      </w:pPr>
    </w:p>
    <w:p>
      <w:pPr>
        <w:ind w:left="360" w:right="3319" w:firstLine="437"/>
        <w:spacing w:after="0" w:line="236" w:lineRule="auto"/>
        <w:tabs>
          <w:tab w:leader="none" w:pos="11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3" w:lineRule="exact"/>
        <w:rPr>
          <w:rFonts w:ascii="Courier New" w:cs="Courier New" w:eastAsia="Courier New" w:hAnsi="Courier New"/>
          <w:sz w:val="15"/>
          <w:szCs w:val="15"/>
          <w:color w:val="auto"/>
        </w:rPr>
      </w:pPr>
    </w:p>
    <w:p>
      <w:pPr>
        <w:jc w:val="both"/>
        <w:ind w:left="800" w:right="3319" w:firstLine="347"/>
        <w:spacing w:after="0" w:line="235" w:lineRule="auto"/>
        <w:tabs>
          <w:tab w:leader="none" w:pos="150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3" w:lineRule="exact"/>
        <w:rPr>
          <w:rFonts w:ascii="Courier New" w:cs="Courier New" w:eastAsia="Courier New" w:hAnsi="Courier New"/>
          <w:sz w:val="15"/>
          <w:szCs w:val="15"/>
          <w:color w:val="auto"/>
        </w:rPr>
      </w:pPr>
    </w:p>
    <w:p>
      <w:pPr>
        <w:ind w:left="800" w:right="3839" w:firstLine="347"/>
        <w:spacing w:after="0" w:line="258" w:lineRule="auto"/>
        <w:tabs>
          <w:tab w:leader="none" w:pos="185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reduce the amount of principal, interest or other amount payable to such Bank hereunder on account of such Bank's Commitment, the Loans or the Reimbursement Obligations; or</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45</w:t>
      </w:r>
    </w:p>
    <w:p>
      <w:pPr>
        <w:ind w:left="3340"/>
        <w:spacing w:after="0" w:line="237" w:lineRule="auto"/>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left="800" w:right="3399" w:firstLine="347"/>
        <w:spacing w:after="0" w:line="236" w:lineRule="auto"/>
        <w:tabs>
          <w:tab w:leader="none" w:pos="18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4" w:lineRule="exact"/>
        <w:rPr>
          <w:sz w:val="20"/>
          <w:szCs w:val="20"/>
          <w:color w:val="auto"/>
        </w:rPr>
      </w:pPr>
    </w:p>
    <w:p>
      <w:pPr>
        <w:ind w:left="360" w:right="3579" w:firstLine="437"/>
        <w:spacing w:after="0" w:line="255"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66"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5.6.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4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SECTION 5.7. CERTIFICATE. A certificate setting forth the additional amounts payable pursuant to Section 5.5 or Section 5.6 and a reasonable</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explanation of such amounts which are due, submitted by any Bank to the Borrower, shall be conclusive, absent manifest error, that such amounts are due and owing.</w:t>
      </w:r>
    </w:p>
    <w:p>
      <w:pPr>
        <w:spacing w:after="0" w:line="17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46</w:t>
      </w:r>
    </w:p>
    <w:p>
      <w:pPr>
        <w:jc w:val="center"/>
        <w:ind w:right="3219"/>
        <w:spacing w:after="0" w:line="237" w:lineRule="auto"/>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2.5(c)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4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5.9.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w:t>
      </w:r>
    </w:p>
    <w:tbl>
      <w:tblPr>
        <w:tblLayout w:type="fixed"/>
        <w:tblInd w:w="0" w:type="dxa"/>
        <w:tblCellMar>
          <w:top w:w="0" w:type="dxa"/>
          <w:left w:w="0" w:type="dxa"/>
          <w:bottom w:w="0" w:type="dxa"/>
          <w:right w:w="0" w:type="dxa"/>
        </w:tblCellMar>
      </w:tblPr>
      <w:tr>
        <w:trPr>
          <w:trHeight w:val="165"/>
        </w:trPr>
        <w:tc>
          <w:tcPr>
            <w:tcW w:w="250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8"/>
              </w:rPr>
              <w:t>the Base Rate plus 2%, until</w:t>
            </w:r>
          </w:p>
        </w:tc>
        <w:tc>
          <w:tcPr>
            <w:tcW w:w="43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9"/>
              </w:rPr>
              <w:t>such amount shall be paid in full (after as well</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before judgment).</w:t>
            </w:r>
          </w:p>
        </w:tc>
        <w:tc>
          <w:tcPr>
            <w:tcW w:w="4340" w:type="dxa"/>
            <w:vAlign w:val="bottom"/>
          </w:tcPr>
          <w:p>
            <w:pPr>
              <w:spacing w:after="0"/>
              <w:rPr>
                <w:sz w:val="14"/>
                <w:szCs w:val="14"/>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w w:val="98"/>
              </w:rPr>
              <w:t>5.10. INTEREST</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LIMITATION.  Notwithstanding any other term of</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this Agreement or the Notes,</w:t>
            </w:r>
          </w:p>
        </w:tc>
        <w:tc>
          <w:tcPr>
            <w:tcW w:w="4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other Loan Document or any other document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referred to</w:t>
            </w:r>
          </w:p>
        </w:tc>
        <w:tc>
          <w:tcPr>
            <w:tcW w:w="5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herein or therein, the maximum amount of interest which may be</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charged to or collected from</w:t>
            </w:r>
          </w:p>
        </w:tc>
        <w:tc>
          <w:tcPr>
            <w:tcW w:w="4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any Person liable hereunder or under the Notes by</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any Bank shall be absolutely</w:t>
            </w:r>
          </w:p>
        </w:tc>
        <w:tc>
          <w:tcPr>
            <w:tcW w:w="4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limited to, and shall in no event exceed,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maximum amount of interest which could</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lawfully be charged or collected by such</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Bank under applicable laws (including,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extent applicable, the provisions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Section 5197</w:t>
            </w:r>
          </w:p>
        </w:tc>
        <w:tc>
          <w:tcPr>
            <w:tcW w:w="55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of the Revised Statutes of the United States of America, as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amended, and 12</w:t>
            </w:r>
          </w:p>
        </w:tc>
        <w:tc>
          <w:tcPr>
            <w:tcW w:w="55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U.S.C. Section 85, as amended.</w:t>
            </w:r>
          </w:p>
        </w:tc>
      </w:tr>
      <w:tr>
        <w:trPr>
          <w:trHeight w:val="33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SECTION   5.11. REASONABLE EFFORTS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MITIGATE.  Each Bank agrees that as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promptly as practicable after it becomes aware of the occurrence of an event or</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47</w:t>
      </w:r>
    </w:p>
    <w:p>
      <w:pPr>
        <w:jc w:val="center"/>
        <w:ind w:right="3219"/>
        <w:spacing w:after="0" w:line="237" w:lineRule="auto"/>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the existence of a condition that would cause it to be affected under Sections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5.12. REPLACEMENT OF BANKS. If any Bank (an "Affected Bank") (i) makes demand upon the Borrower for (or if the Borrower is otherwise required to pay) amounts pursuant to Sections 5.5 or 5.6, (ii) is unable to make or maintain Eurodollar Loans as a result of a condition described in Section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19,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5.5, 5.6 and 5.8. Upon the effective date of such</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48</w:t>
      </w:r>
    </w:p>
    <w:p>
      <w:pPr>
        <w:jc w:val="center"/>
        <w:ind w:right="3219"/>
        <w:spacing w:after="0" w:line="237" w:lineRule="auto"/>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assignment, the Borrower shall issue replacement Notes to such Replacement Bank and/or non-Affected Banks, as the case may be, and such Replacement Bank shall become a "Bank" for all purposes under this Agreement and the other Loan Documents.</w:t>
      </w:r>
    </w:p>
    <w:p>
      <w:pPr>
        <w:spacing w:after="0" w:line="175"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SECTION 5.13. ADVANCES BY ADMINISTRATIVE AGENT. The Administrative Agent may (unless earlier notified to the contrary by any Bank by 12:00 noon (New</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200" w:lineRule="exact"/>
        <w:rPr>
          <w:sz w:val="20"/>
          <w:szCs w:val="20"/>
          <w:color w:val="auto"/>
        </w:rPr>
      </w:pPr>
    </w:p>
    <w:p>
      <w:pPr>
        <w:spacing w:after="0" w:line="314" w:lineRule="exact"/>
        <w:rPr>
          <w:sz w:val="20"/>
          <w:szCs w:val="20"/>
          <w:color w:val="auto"/>
        </w:rPr>
      </w:pPr>
    </w:p>
    <w:p>
      <w:pPr>
        <w:ind w:right="3499" w:firstLine="350"/>
        <w:spacing w:after="0" w:line="261" w:lineRule="auto"/>
        <w:rPr>
          <w:sz w:val="20"/>
          <w:szCs w:val="20"/>
          <w:color w:val="auto"/>
        </w:rPr>
      </w:pPr>
      <w:r>
        <w:rPr>
          <w:rFonts w:ascii="Courier New" w:cs="Courier New" w:eastAsia="Courier New" w:hAnsi="Courier New"/>
          <w:sz w:val="14"/>
          <w:szCs w:val="14"/>
          <w:color w:val="auto"/>
        </w:rPr>
        <w:t>SECTION 6. REPRESENTATIONS AND WARRANTIES. The Borrower (and each of the Guarantors, where applicable) represents and warrants to the Banks that:</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49</w:t>
      </w:r>
    </w:p>
    <w:p>
      <w:pPr>
        <w:ind w:left="3340"/>
        <w:spacing w:after="0" w:line="237" w:lineRule="auto"/>
        <w:rPr>
          <w:sz w:val="20"/>
          <w:szCs w:val="20"/>
          <w:color w:val="auto"/>
        </w:rPr>
      </w:pPr>
      <w:r>
        <w:rPr>
          <w:rFonts w:ascii="Courier New" w:cs="Courier New" w:eastAsia="Courier New" w:hAnsi="Courier New"/>
          <w:sz w:val="15"/>
          <w:szCs w:val="15"/>
          <w:color w:val="auto"/>
        </w:rPr>
        <w:t>-43-</w:t>
      </w:r>
    </w:p>
    <w:p>
      <w:pPr>
        <w:spacing w:after="0" w:line="167"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SECTION</w:t>
        <w:tab/>
        <w:t>6.1. CORPORATE AUTHORITY.</w:t>
      </w:r>
    </w:p>
    <w:p>
      <w:pPr>
        <w:spacing w:after="0" w:line="173" w:lineRule="exact"/>
        <w:rPr>
          <w:sz w:val="20"/>
          <w:szCs w:val="20"/>
          <w:color w:val="auto"/>
        </w:rPr>
      </w:pPr>
    </w:p>
    <w:p>
      <w:pPr>
        <w:ind w:left="360" w:right="3499" w:firstLine="437"/>
        <w:spacing w:after="0" w:line="255" w:lineRule="auto"/>
        <w:tabs>
          <w:tab w:leader="none" w:pos="114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64" w:lineRule="exact"/>
        <w:rPr>
          <w:rFonts w:ascii="Courier New" w:cs="Courier New" w:eastAsia="Courier New" w:hAnsi="Courier New"/>
          <w:sz w:val="14"/>
          <w:szCs w:val="14"/>
          <w:color w:val="auto"/>
        </w:rPr>
      </w:pPr>
    </w:p>
    <w:p>
      <w:pPr>
        <w:ind w:left="360" w:right="3319" w:firstLine="437"/>
        <w:spacing w:after="0" w:line="254" w:lineRule="auto"/>
        <w:tabs>
          <w:tab w:leader="none" w:pos="114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 (i) are within the corporate authority of the Borrower and each of the Guarantors,</w:t>
      </w:r>
    </w:p>
    <w:p>
      <w:pPr>
        <w:spacing w:after="0" w:line="1" w:lineRule="exact"/>
        <w:rPr>
          <w:rFonts w:ascii="Courier New" w:cs="Courier New" w:eastAsia="Courier New" w:hAnsi="Courier New"/>
          <w:sz w:val="14"/>
          <w:szCs w:val="14"/>
          <w:color w:val="auto"/>
        </w:rPr>
      </w:pPr>
    </w:p>
    <w:p>
      <w:pPr>
        <w:ind w:left="360" w:right="3319"/>
        <w:spacing w:after="0" w:line="255" w:lineRule="auto"/>
        <w:tabs>
          <w:tab w:leader="none" w:pos="79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duly authorized by all necessary corporate proceedings on the part of each of the Borrower and the Guarantors, (iii) do not conflict with or result in any breach or contravention of any provision of law, statute, rule or regulation to which any of the Borrower or the Guarantors or any of their Subsidiaries is subject or any judgment, order, writ, injunction, license or permit applicable to the Borrower, any of the Guarantors or any of their Subsidiaries so as to materially adversely affect the assets, business or any activity of the Borrower, the Guarantors and their Subsidiaries as a whole, and (iv) do not conflict with any provision of the corporate charter or bylaws of the Borrower, the Guarantors or any Subsidiary or any agreement or other instrument binding upon the Borrower, the Guarantors or any of their Subsidiaries.</w:t>
      </w:r>
    </w:p>
    <w:p>
      <w:pPr>
        <w:spacing w:after="0" w:line="164" w:lineRule="exact"/>
        <w:rPr>
          <w:rFonts w:ascii="Courier New" w:cs="Courier New" w:eastAsia="Courier New" w:hAnsi="Courier New"/>
          <w:sz w:val="14"/>
          <w:szCs w:val="14"/>
          <w:color w:val="auto"/>
        </w:rPr>
      </w:pPr>
    </w:p>
    <w:p>
      <w:pPr>
        <w:ind w:left="360" w:right="3319" w:firstLine="437"/>
        <w:spacing w:after="0" w:line="236" w:lineRule="auto"/>
        <w:tabs>
          <w:tab w:leader="none" w:pos="11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Guarantors will result in valid and legally binding obligations of the Borrower and the Guarantors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9"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SECTION 6.2. GOVERNMENTAL APPROVALS. The execution, delivery and performance of the Loan Documents by the Borrower and the Guarantors and the consummation by the Borrower and the Guarantors of the transactions contemplated hereby and thereby do not require any approval or consent of, or</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50</w:t>
      </w:r>
    </w:p>
    <w:p>
      <w:pPr>
        <w:ind w:left="3340"/>
        <w:spacing w:after="0" w:line="237" w:lineRule="auto"/>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filing with, any governmental agency or authority other than those already obtained and those required after the date hereof in connection with the Borrower's and its Subsidiaries' performance of their covenants contained in Sections 7, 8 and 9 hereof.</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pacing w:after="0" w:line="160" w:lineRule="exact"/>
        <w:rPr>
          <w:sz w:val="20"/>
          <w:szCs w:val="20"/>
          <w:color w:val="auto"/>
        </w:rPr>
      </w:pPr>
    </w:p>
    <w:p>
      <w:pPr>
        <w:ind w:left="360"/>
        <w:spacing w:after="0"/>
        <w:tabs>
          <w:tab w:leader="none" w:pos="1120" w:val="left"/>
          <w:tab w:leader="none" w:pos="1660" w:val="left"/>
        </w:tabs>
        <w:rPr>
          <w:sz w:val="20"/>
          <w:szCs w:val="20"/>
          <w:color w:val="auto"/>
        </w:rPr>
      </w:pPr>
      <w:r>
        <w:rPr>
          <w:rFonts w:ascii="Courier New" w:cs="Courier New" w:eastAsia="Courier New" w:hAnsi="Courier New"/>
          <w:sz w:val="15"/>
          <w:szCs w:val="15"/>
          <w:color w:val="auto"/>
        </w:rPr>
        <w:t>SECTION</w:t>
        <w:tab/>
        <w:t>6.4.</w:t>
      </w:r>
      <w:r>
        <w:rPr>
          <w:sz w:val="20"/>
          <w:szCs w:val="20"/>
          <w:color w:val="auto"/>
        </w:rPr>
        <w:tab/>
      </w:r>
      <w:r>
        <w:rPr>
          <w:rFonts w:ascii="Courier New" w:cs="Courier New" w:eastAsia="Courier New" w:hAnsi="Courier New"/>
          <w:sz w:val="14"/>
          <w:szCs w:val="14"/>
          <w:color w:val="auto"/>
        </w:rPr>
        <w:t>FINANCIAL STATEMENTS; SOLVENCY.</w:t>
      </w:r>
    </w:p>
    <w:p>
      <w:pPr>
        <w:spacing w:after="0" w:line="173" w:lineRule="exact"/>
        <w:rPr>
          <w:sz w:val="20"/>
          <w:szCs w:val="20"/>
          <w:color w:val="auto"/>
        </w:rPr>
      </w:pPr>
    </w:p>
    <w:p>
      <w:pPr>
        <w:ind w:left="360" w:right="3319" w:firstLine="437"/>
        <w:spacing w:after="0" w:line="254" w:lineRule="auto"/>
        <w:tabs>
          <w:tab w:leader="none" w:pos="11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Borrower and its Subsidiaries and United and its Subsidiaries dated the Balance Sheet Date and consolidated statements of operations for the fiscal periods then ended, certified by the Accountants. In addition, there have been furnished to the Banks consolidated balance sheets of the Borrower and its Subsidiaries, and United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or United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United and its Subsidiaries involving material amounts, known to the officers of the Borrower or United which have not been disclosed in said balance sheets and the related notes thereto or otherwise in writing to the Banks.</w:t>
      </w:r>
    </w:p>
    <w:p>
      <w:pPr>
        <w:spacing w:after="0" w:line="343" w:lineRule="exact"/>
        <w:rPr>
          <w:rFonts w:ascii="Courier New" w:cs="Courier New" w:eastAsia="Courier New" w:hAnsi="Courier New"/>
          <w:sz w:val="14"/>
          <w:szCs w:val="14"/>
          <w:color w:val="auto"/>
        </w:rPr>
      </w:pPr>
    </w:p>
    <w:p>
      <w:pPr>
        <w:ind w:left="360" w:right="3319" w:firstLine="437"/>
        <w:spacing w:after="0" w:line="255" w:lineRule="auto"/>
        <w:tabs>
          <w:tab w:leader="none" w:pos="11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its Subsidiaries on a consolidated basis and United and its Subsidiaries on a consolidated basis (both before and after giving effect to the transactions contemplated by this Agreement including the United Merger) are solvent (i.e., they have assets having a fair value in excess of the amount required to pay their probable liabilities on their existing debts as they become absolute and matured) and have,</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51</w:t>
      </w:r>
    </w:p>
    <w:p>
      <w:pPr>
        <w:ind w:left="3340"/>
        <w:spacing w:after="0" w:line="237" w:lineRule="auto"/>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left="360" w:right="3939"/>
        <w:spacing w:after="0" w:line="234" w:lineRule="auto"/>
        <w:rPr>
          <w:sz w:val="20"/>
          <w:szCs w:val="20"/>
          <w:color w:val="auto"/>
        </w:rPr>
      </w:pPr>
      <w:r>
        <w:rPr>
          <w:rFonts w:ascii="Courier New" w:cs="Courier New" w:eastAsia="Courier New" w:hAnsi="Courier New"/>
          <w:sz w:val="15"/>
          <w:szCs w:val="15"/>
          <w:color w:val="auto"/>
        </w:rPr>
        <w:t>and expect to have, the ability to pay their debts from time to time incurred in connection therewith as such debts mature.</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6.5 NO MATERIAL CHANGES, ETC. Since the Interim Balance Sheet Date, there have occurred no material adverse changes in the consolidated financial condition, business or assets of the Borrower and its Subsidiaries, taken together, or United and its Subsidiaries, taken together, as the case may be, as shown on or reflected in the consolidated balance sheets of the Borrower and its Subsidiaries or United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United and its Subsidiaries, taken together, as the case may be. Since the Interim Balance Sheet Date, there have not been any Distributions (including Distributions by the Borrower and United) other than as permitted by Section 8.5 hereof.</w:t>
      </w:r>
    </w:p>
    <w:p>
      <w:pPr>
        <w:spacing w:after="0" w:line="332"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9"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6.7. LITIGATION. Except as set forth on Schedule 6.7,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64"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SECTION 6.8. NO MATERIALLY ADVERSE CONTRACTS, ETC. Neither the Borrower nor any of its Subsidiaries is subject to any charter, corporate or other legal</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52</w:t>
      </w:r>
    </w:p>
    <w:p>
      <w:pPr>
        <w:ind w:left="3340"/>
        <w:spacing w:after="0" w:line="237" w:lineRule="auto"/>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65"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SECTION 6.9. COMPLIANCE WITH OTHER INSTRUMENTS, LAWS, ETC. Neither the Borrower nor any of its Subsidiaries is (a) violating any provision of its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66"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SECTION 6.10. TAX STATUS. The Borrower and its Subsidiaries have filed all federal, state, provincial and territorial income and all other tax</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76"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SECTION 6.11. NO EVENT OF DEFAULT. No Default or Event of Default has occurred and is continuing.</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53</w:t>
      </w:r>
    </w:p>
    <w:p>
      <w:pPr>
        <w:jc w:val="center"/>
        <w:ind w:right="3219"/>
        <w:spacing w:after="0" w:line="237" w:lineRule="auto"/>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6.12.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SECTION   6.13. ABSENCE OF FINANCING STATEMENTS, ETC.  Except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permitted</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by Section 8.2 of this</w:t>
            </w:r>
          </w:p>
        </w:tc>
        <w:tc>
          <w:tcPr>
            <w:tcW w:w="4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7"/>
              </w:rPr>
              <w:t>Agreement, there is no Indebtedness senior to</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Obligations, and there</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is no effective</w:t>
            </w:r>
          </w:p>
        </w:tc>
        <w:tc>
          <w:tcPr>
            <w:tcW w:w="35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financing statement, security agreement,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chattel mortgage, real</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estate mortgage</w:t>
            </w:r>
          </w:p>
        </w:tc>
        <w:tc>
          <w:tcPr>
            <w:tcW w:w="35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or other document filed or recorded with</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any filing records, registry, or other</w:t>
            </w:r>
          </w:p>
        </w:tc>
        <w:tc>
          <w:tcPr>
            <w:tcW w:w="35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public office, which purports to cover,</w:t>
            </w:r>
          </w:p>
        </w:tc>
      </w:tr>
    </w:tbl>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affect or give notice of any present or possible future lien on, or security interest in, any assets or property of the Borrower or any of its Subsidiaries or right thereunder.</w:t>
      </w:r>
    </w:p>
    <w:p>
      <w:pPr>
        <w:spacing w:after="0" w:line="167"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SECTION</w:t>
        <w:tab/>
        <w:t>6.14. EMPLOYEE BENEFIT PLANS.</w:t>
      </w:r>
    </w:p>
    <w:p>
      <w:pPr>
        <w:spacing w:after="0" w:line="173" w:lineRule="exact"/>
        <w:rPr>
          <w:sz w:val="20"/>
          <w:szCs w:val="20"/>
          <w:color w:val="auto"/>
        </w:rPr>
      </w:pPr>
    </w:p>
    <w:p>
      <w:pPr>
        <w:ind w:left="800" w:right="3319" w:firstLine="350"/>
        <w:spacing w:after="0" w:line="236" w:lineRule="auto"/>
        <w:rPr>
          <w:sz w:val="20"/>
          <w:szCs w:val="20"/>
          <w:color w:val="auto"/>
        </w:rPr>
      </w:pPr>
      <w:r>
        <w:rPr>
          <w:rFonts w:ascii="Courier New" w:cs="Courier New" w:eastAsia="Courier New" w:hAnsi="Courier New"/>
          <w:sz w:val="15"/>
          <w:szCs w:val="15"/>
          <w:color w:val="auto"/>
        </w:rPr>
        <w:t>SECTION 6.14.1.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80" w:lineRule="exact"/>
        <w:rPr>
          <w:sz w:val="20"/>
          <w:szCs w:val="20"/>
          <w:color w:val="auto"/>
        </w:rPr>
      </w:pPr>
    </w:p>
    <w:p>
      <w:pPr>
        <w:ind w:left="800" w:right="3319" w:firstLine="350"/>
        <w:spacing w:after="0" w:line="236" w:lineRule="auto"/>
        <w:rPr>
          <w:sz w:val="20"/>
          <w:szCs w:val="20"/>
          <w:color w:val="auto"/>
        </w:rPr>
      </w:pPr>
      <w:r>
        <w:rPr>
          <w:rFonts w:ascii="Courier New" w:cs="Courier New" w:eastAsia="Courier New" w:hAnsi="Courier New"/>
          <w:sz w:val="15"/>
          <w:szCs w:val="15"/>
          <w:color w:val="auto"/>
        </w:rPr>
        <w:t>SECTION 6.14.2.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79" w:lineRule="exact"/>
        <w:rPr>
          <w:sz w:val="20"/>
          <w:szCs w:val="20"/>
          <w:color w:val="auto"/>
        </w:rPr>
      </w:pPr>
    </w:p>
    <w:p>
      <w:pPr>
        <w:ind w:left="800" w:right="3399" w:firstLine="350"/>
        <w:spacing w:after="0" w:line="256" w:lineRule="auto"/>
        <w:rPr>
          <w:sz w:val="20"/>
          <w:szCs w:val="20"/>
          <w:color w:val="auto"/>
        </w:rPr>
      </w:pPr>
      <w:r>
        <w:rPr>
          <w:rFonts w:ascii="Courier New" w:cs="Courier New" w:eastAsia="Courier New" w:hAnsi="Courier New"/>
          <w:sz w:val="14"/>
          <w:szCs w:val="14"/>
          <w:color w:val="auto"/>
        </w:rPr>
        <w:t>SECTION 6.14.3. GUARANTEED PENSION PLANS. Each contribution required to be made to a Guaranteed Pension Plan, whether required to be made to avoid the incurrence of an accumulated funding deficiency, the notice or lien provisions of Section 302(f) of ERISA,</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54</w:t>
      </w:r>
    </w:p>
    <w:p>
      <w:pPr>
        <w:jc w:val="center"/>
        <w:ind w:right="3219"/>
        <w:spacing w:after="0" w:line="237" w:lineRule="auto"/>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and there has not been any ERISA Reportable Event, or any other event or condition which presents a material risk of termination of any Guaranteed Pension Plan by the PBGC.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331" w:lineRule="exact"/>
        <w:rPr>
          <w:sz w:val="20"/>
          <w:szCs w:val="20"/>
          <w:color w:val="auto"/>
        </w:rPr>
      </w:pPr>
    </w:p>
    <w:p>
      <w:pPr>
        <w:ind w:left="800" w:right="3319" w:firstLine="350"/>
        <w:spacing w:after="0" w:line="255" w:lineRule="auto"/>
        <w:rPr>
          <w:sz w:val="20"/>
          <w:szCs w:val="20"/>
          <w:color w:val="auto"/>
        </w:rPr>
      </w:pPr>
      <w:r>
        <w:rPr>
          <w:rFonts w:ascii="Courier New" w:cs="Courier New" w:eastAsia="Courier New" w:hAnsi="Courier New"/>
          <w:sz w:val="14"/>
          <w:szCs w:val="14"/>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SECTION 6.15.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6.15:</w:t>
      </w:r>
    </w:p>
    <w:p>
      <w:pPr>
        <w:spacing w:after="0" w:line="174" w:lineRule="exact"/>
        <w:rPr>
          <w:sz w:val="20"/>
          <w:szCs w:val="20"/>
          <w:color w:val="auto"/>
        </w:rPr>
      </w:pPr>
    </w:p>
    <w:p>
      <w:pPr>
        <w:ind w:left="360" w:right="3319" w:firstLine="437"/>
        <w:spacing w:after="0" w:line="236" w:lineRule="auto"/>
        <w:tabs>
          <w:tab w:leader="none" w:pos="114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United</w:t>
      </w:r>
    </w:p>
    <w:p>
      <w:pPr>
        <w:sectPr>
          <w:pgSz w:w="11900" w:h="16838" w:orient="portrait"/>
          <w:cols w:equalWidth="0" w:num="1">
            <w:col w:w="10239"/>
          </w:cols>
          <w:pgMar w:left="220" w:top="281"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55</w:t>
      </w:r>
    </w:p>
    <w:p>
      <w:pPr>
        <w:ind w:left="3060"/>
        <w:spacing w:after="0" w:line="237" w:lineRule="auto"/>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States or Canadian federal, state, provincial, territorial or local statute, regulation, ordinance, order or decree relating to health, safety, waste transportation or disposal, or the environment (the "Environmental Laws"), which violation would have a material adverse effect on the business, assets or financial condition of the Borrower and its Subsidiaries on a consolidated basis.</w:t>
      </w:r>
    </w:p>
    <w:p>
      <w:pPr>
        <w:spacing w:after="0" w:line="175" w:lineRule="exact"/>
        <w:rPr>
          <w:sz w:val="20"/>
          <w:szCs w:val="20"/>
          <w:color w:val="auto"/>
        </w:rPr>
      </w:pPr>
    </w:p>
    <w:p>
      <w:pPr>
        <w:ind w:left="80" w:right="3319" w:firstLine="437"/>
        <w:spacing w:after="0" w:line="254" w:lineRule="auto"/>
        <w:tabs>
          <w:tab w:leader="none" w:pos="86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on Schedule 6.15,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343" w:lineRule="exact"/>
        <w:rPr>
          <w:rFonts w:ascii="Courier New" w:cs="Courier New" w:eastAsia="Courier New" w:hAnsi="Courier New"/>
          <w:sz w:val="14"/>
          <w:szCs w:val="14"/>
          <w:color w:val="auto"/>
        </w:rPr>
      </w:pPr>
    </w:p>
    <w:p>
      <w:pPr>
        <w:ind w:left="80" w:right="3319" w:firstLine="437"/>
        <w:spacing w:after="0" w:line="255" w:lineRule="auto"/>
        <w:tabs>
          <w:tab w:leader="none" w:pos="86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 and no underground tank or other underground storage receptacle for Hazardous Substances is located on such properties; (ii) 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w:t>
      </w:r>
    </w:p>
    <w:p>
      <w:pPr>
        <w:sectPr>
          <w:pgSz w:w="11900" w:h="16838" w:orient="portrait"/>
          <w:cols w:equalWidth="0" w:num="1">
            <w:col w:w="9959"/>
          </w:cols>
          <w:pgMar w:left="50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56</w:t>
      </w:r>
    </w:p>
    <w:p>
      <w:pPr>
        <w:jc w:val="center"/>
        <w:ind w:right="3219"/>
        <w:spacing w:after="0" w:line="237" w:lineRule="auto"/>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left="360" w:right="3319"/>
        <w:spacing w:after="0" w:line="237" w:lineRule="auto"/>
        <w:rPr>
          <w:sz w:val="20"/>
          <w:szCs w:val="20"/>
          <w:color w:val="auto"/>
        </w:rPr>
      </w:pPr>
      <w:r>
        <w:rPr>
          <w:rFonts w:ascii="Courier New" w:cs="Courier New" w:eastAsia="Courier New" w:hAnsi="Courier New"/>
          <w:sz w:val="15"/>
          <w:szCs w:val="15"/>
          <w:color w:val="auto"/>
        </w:rPr>
        <w:t>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Borrower's and its Subsidiaries' knowledge, operating in compliance with such permits and applicable Environmental Laws.</w:t>
      </w:r>
    </w:p>
    <w:p>
      <w:pPr>
        <w:spacing w:after="0" w:line="175" w:lineRule="exact"/>
        <w:rPr>
          <w:sz w:val="20"/>
          <w:szCs w:val="20"/>
          <w:color w:val="auto"/>
        </w:rPr>
      </w:pPr>
    </w:p>
    <w:p>
      <w:pPr>
        <w:ind w:left="360" w:right="3319" w:firstLine="437"/>
        <w:spacing w:after="0" w:line="256" w:lineRule="auto"/>
        <w:tabs>
          <w:tab w:leader="none" w:pos="114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6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6.16. TRUE COPIES OF CHARTER AND OTHER DOCUMENTS. Each of the Borrower and the Guarantors have furnished the Administrative Agent copies, in each case true and complete as of the Closing Date, of (a) all charter and other incorporation documents (together with any amendments thereto) and (b) by-laws (together with any amendments thereto).</w:t>
      </w:r>
    </w:p>
    <w:p>
      <w:pPr>
        <w:spacing w:after="0" w:line="17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SECTION 6.17. DISCLOSURE. No representation or warranty made by the Borrower or any Guarantor in this Agreement or in any agreement, instrument, document, certificate, statement or letter furnished to the Banks or the Administrative Agent by or on behalf of or at the request of the Borrower and the Guarantors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6.18.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57</w:t>
      </w:r>
    </w:p>
    <w:p>
      <w:pPr>
        <w:jc w:val="center"/>
        <w:ind w:right="3219"/>
        <w:spacing w:after="0" w:line="237" w:lineRule="auto"/>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66"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SECTION 7. AFFIRMATIVE COVENANTS OF THE BORROWER. The Borrower agrees that, so long as any Obligation or any Letter of Credit is outstanding or the</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4"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7.2. MAINTENANCE OF U.S. OFFICE. The Borrower will, and will cause each of its Subsidiaries in the United States of America to, maintain its chief executive offices at Houston, Texas, or at such other place in the United States of America as the Borrower shall designate upon 30 days' prior written notice to the Administrative Agent.</w:t>
      </w:r>
    </w:p>
    <w:p>
      <w:pPr>
        <w:spacing w:after="0" w:line="174"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SECTION 7.3. RECORDS AND ACCOUNTS. The Borrower will, and will cause each of its Subsidiaries to, keep true and accurate records and books of</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account in which full, true and correct entries will be made in accordance with GAAP and with the requirements of all regulatory authorities and maintain adequate accounts and reserves for all taxes (including income taxes),</w:t>
      </w:r>
    </w:p>
    <w:tbl>
      <w:tblPr>
        <w:tblLayout w:type="fixed"/>
        <w:tblInd w:w="0" w:type="dxa"/>
        <w:tblCellMar>
          <w:top w:w="0" w:type="dxa"/>
          <w:left w:w="0" w:type="dxa"/>
          <w:bottom w:w="0" w:type="dxa"/>
          <w:right w:w="0" w:type="dxa"/>
        </w:tblCellMar>
      </w:tblPr>
      <w:tr>
        <w:trPr>
          <w:trHeight w:val="164"/>
        </w:trPr>
        <w:tc>
          <w:tcPr>
            <w:tcW w:w="216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9"/>
              </w:rPr>
              <w:t>depreciation, depletion,</w:t>
            </w:r>
          </w:p>
        </w:tc>
        <w:tc>
          <w:tcPr>
            <w:tcW w:w="148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w w:val="98"/>
              </w:rPr>
              <w:t>obsolescence and</w:t>
            </w:r>
          </w:p>
        </w:tc>
        <w:tc>
          <w:tcPr>
            <w:tcW w:w="31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6"/>
              </w:rPr>
              <w:t>amortization of its properties, all</w:t>
            </w: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contingencies, and all</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 proper</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reserves.</w:t>
            </w:r>
          </w:p>
        </w:tc>
      </w:tr>
      <w:tr>
        <w:trPr>
          <w:trHeight w:val="336"/>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7.4.  FINANCIAL STATEMENTS,</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9"/>
              </w:rPr>
              <w:t>CERTIFICATES AND INFORMATION.  The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Borrower will</w:t>
            </w:r>
          </w:p>
        </w:tc>
        <w:tc>
          <w:tcPr>
            <w:tcW w:w="1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deliver to the</w:t>
            </w: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Banks:</w:t>
            </w:r>
          </w:p>
        </w:tc>
        <w:tc>
          <w:tcPr>
            <w:tcW w:w="3100" w:type="dxa"/>
            <w:vAlign w:val="bottom"/>
          </w:tcPr>
          <w:p>
            <w:pPr>
              <w:spacing w:after="0"/>
              <w:rPr>
                <w:sz w:val="14"/>
                <w:szCs w:val="14"/>
                <w:color w:val="auto"/>
              </w:rPr>
            </w:pPr>
          </w:p>
        </w:tc>
      </w:tr>
    </w:tbl>
    <w:p>
      <w:pPr>
        <w:spacing w:after="0" w:line="173" w:lineRule="exact"/>
        <w:rPr>
          <w:sz w:val="20"/>
          <w:szCs w:val="20"/>
          <w:color w:val="auto"/>
        </w:rPr>
      </w:pPr>
    </w:p>
    <w:p>
      <w:pPr>
        <w:ind w:left="360" w:right="3319" w:firstLine="437"/>
        <w:spacing w:after="0" w:line="255" w:lineRule="auto"/>
        <w:tabs>
          <w:tab w:leader="none" w:pos="114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w:t>
      </w:r>
    </w:p>
    <w:p>
      <w:pPr>
        <w:sectPr>
          <w:pgSz w:w="11900" w:h="16838" w:orient="portrait"/>
          <w:cols w:equalWidth="0" w:num="1">
            <w:col w:w="10239"/>
          </w:cols>
          <w:pgMar w:left="220" w:top="281"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58</w:t>
      </w:r>
    </w:p>
    <w:p>
      <w:pPr>
        <w:jc w:val="center"/>
        <w:ind w:right="3499"/>
        <w:spacing w:after="0" w:line="237" w:lineRule="auto"/>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left="80" w:right="3319"/>
        <w:spacing w:after="0" w:line="255" w:lineRule="auto"/>
        <w:rPr>
          <w:sz w:val="20"/>
          <w:szCs w:val="20"/>
          <w:color w:val="auto"/>
        </w:rPr>
      </w:pPr>
      <w:r>
        <w:rPr>
          <w:rFonts w:ascii="Courier New" w:cs="Courier New" w:eastAsia="Courier New" w:hAnsi="Courier New"/>
          <w:sz w:val="14"/>
          <w:szCs w:val="14"/>
          <w:color w:val="auto"/>
        </w:rPr>
        <w:t>statements to be in reasonable detail, prepared, in accordance with GAAP and, with respect to the consolidated financial statements, certified by Coopers &amp; Lybrand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65" w:lineRule="exact"/>
        <w:rPr>
          <w:sz w:val="20"/>
          <w:szCs w:val="20"/>
          <w:color w:val="auto"/>
        </w:rPr>
      </w:pPr>
    </w:p>
    <w:p>
      <w:pPr>
        <w:ind w:left="80" w:right="3319" w:firstLine="437"/>
        <w:spacing w:after="0" w:line="237" w:lineRule="auto"/>
        <w:tabs>
          <w:tab w:leader="none" w:pos="86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74" w:lineRule="exact"/>
        <w:rPr>
          <w:rFonts w:ascii="Courier New" w:cs="Courier New" w:eastAsia="Courier New" w:hAnsi="Courier New"/>
          <w:sz w:val="15"/>
          <w:szCs w:val="15"/>
          <w:color w:val="auto"/>
        </w:rPr>
      </w:pPr>
    </w:p>
    <w:p>
      <w:pPr>
        <w:ind w:left="80" w:right="3319" w:firstLine="437"/>
        <w:spacing w:after="0" w:line="255" w:lineRule="auto"/>
        <w:tabs>
          <w:tab w:leader="none" w:pos="86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7, 8 and 9 hereof as of the end of the applicable period and setting forth in reasonable detail computations evidencing such compliance with respect to the covenants contained in Sections 8.1(e), 8.3, 8.4, 8.5, and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ectPr>
          <w:pgSz w:w="11900" w:h="16838" w:orient="portrait"/>
          <w:cols w:equalWidth="0" w:num="1">
            <w:col w:w="9959"/>
          </w:cols>
          <w:pgMar w:left="50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59</w:t>
      </w:r>
    </w:p>
    <w:p>
      <w:pPr>
        <w:ind w:left="3340"/>
        <w:spacing w:after="0" w:line="237" w:lineRule="auto"/>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left="360" w:right="3579" w:firstLine="437"/>
        <w:spacing w:after="0" w:line="235" w:lineRule="auto"/>
        <w:tabs>
          <w:tab w:leader="none" w:pos="114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5" w:lineRule="exact"/>
        <w:rPr>
          <w:rFonts w:ascii="Courier New" w:cs="Courier New" w:eastAsia="Courier New" w:hAnsi="Courier New"/>
          <w:sz w:val="15"/>
          <w:szCs w:val="15"/>
          <w:color w:val="auto"/>
        </w:rPr>
      </w:pPr>
    </w:p>
    <w:p>
      <w:pPr>
        <w:ind w:left="360" w:right="3399" w:firstLine="437"/>
        <w:spacing w:after="0" w:line="234" w:lineRule="auto"/>
        <w:tabs>
          <w:tab w:leader="none" w:pos="114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66"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7.5.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7.6.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60</w:t>
      </w:r>
    </w:p>
    <w:p>
      <w:pPr>
        <w:ind w:left="3340"/>
        <w:spacing w:after="0" w:line="237" w:lineRule="auto"/>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SECTION 7.7.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7.8.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33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7.9.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61</w:t>
      </w:r>
    </w:p>
    <w:p>
      <w:pPr>
        <w:ind w:left="3340"/>
        <w:spacing w:after="0" w:line="237" w:lineRule="auto"/>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finances and accounts of the Borrower and its Subsidiaries with, and to be advised as to the same by, their officers, all at such times and intervals as may be reasonably requested.</w:t>
      </w:r>
    </w:p>
    <w:p>
      <w:pPr>
        <w:spacing w:after="0" w:line="17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7.10.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177"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62</w:t>
      </w:r>
    </w:p>
    <w:p>
      <w:pPr>
        <w:ind w:left="3340"/>
        <w:spacing w:after="0" w:line="237" w:lineRule="auto"/>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Banks, the Issuing Banks, the Administrative Agent and their affiliates, successors and assigns.</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SECTION 7.12. FURTHER ASSURANCES. The Borrower and the Guarantors will cooperate with the Administrative Agent and execute such further</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instruments and documents as the Administrative Agent shall reasonably request to carry out to the Banks' satisfaction the transactions contemplated by this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ind w:left="360"/>
              <w:spacing w:after="0"/>
              <w:rPr>
                <w:sz w:val="20"/>
                <w:szCs w:val="20"/>
                <w:color w:val="auto"/>
              </w:rPr>
            </w:pPr>
            <w:r>
              <w:rPr>
                <w:rFonts w:ascii="Courier New" w:cs="Courier New" w:eastAsia="Courier New" w:hAnsi="Courier New"/>
                <w:sz w:val="15"/>
                <w:szCs w:val="15"/>
                <w:color w:val="auto"/>
              </w:rPr>
              <w:t>SECTION   7.13.</w:t>
            </w:r>
          </w:p>
        </w:tc>
        <w:tc>
          <w:tcPr>
            <w:tcW w:w="5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NOTICE OF POTENTIAL CLAIMS OR LITIGATION.  The Borrower</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shall deliver to the</w:t>
            </w: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Banks, within 30 days of receipt thereof, written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notice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the initiation of</w:t>
            </w: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any action, claim, complaint, or any other notice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dispute or potential</w:t>
            </w:r>
          </w:p>
        </w:tc>
        <w:tc>
          <w:tcPr>
            <w:tcW w:w="5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litigation against the Borrower or any of its Subsidiaries</w:t>
            </w:r>
          </w:p>
        </w:tc>
      </w:tr>
    </w:tbl>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wherein the potential liability is in excess of $10,000,000 together with a copy of each such notice received by the Borrower or any of its Subsidiaries.</w:t>
      </w:r>
    </w:p>
    <w:p>
      <w:pPr>
        <w:sectPr>
          <w:pgSz w:w="11900" w:h="16838" w:orient="portrait"/>
          <w:cols w:equalWidth="0" w:num="1">
            <w:col w:w="10239"/>
          </w:cols>
          <w:pgMar w:left="220" w:top="281" w:right="1440" w:bottom="1440" w:gutter="0" w:footer="0" w:header="0"/>
        </w:sectPr>
      </w:pPr>
    </w:p>
    <w:p>
      <w:pPr>
        <w:spacing w:after="0" w:line="153"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SECTION</w:t>
        <w:tab/>
        <w:t>7.14.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CLAIMS.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CERTAIN EVENTS CONCERNING INSURANCE AND</w:t>
      </w:r>
    </w:p>
    <w:p>
      <w:pPr>
        <w:spacing w:after="0" w:line="346" w:lineRule="exact"/>
        <w:rPr>
          <w:sz w:val="20"/>
          <w:szCs w:val="20"/>
          <w:color w:val="auto"/>
        </w:rPr>
      </w:pPr>
    </w:p>
    <w:p>
      <w:pPr>
        <w:sectPr>
          <w:pgSz w:w="11900" w:h="16838" w:orient="portrait"/>
          <w:cols w:equalWidth="0" w:num="2">
            <w:col w:w="1840" w:space="0"/>
            <w:col w:w="8399"/>
          </w:cols>
          <w:pgMar w:left="220" w:top="281" w:right="1440" w:bottom="1440" w:gutter="0" w:footer="0" w:header="0"/>
          <w:type w:val="continuous"/>
        </w:sectPr>
      </w:pPr>
    </w:p>
    <w:p>
      <w:pPr>
        <w:ind w:left="360" w:right="3319" w:firstLine="437"/>
        <w:spacing w:after="0" w:line="236" w:lineRule="auto"/>
        <w:tabs>
          <w:tab w:leader="none" w:pos="11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4" w:lineRule="exact"/>
        <w:rPr>
          <w:rFonts w:ascii="Courier New" w:cs="Courier New" w:eastAsia="Courier New" w:hAnsi="Courier New"/>
          <w:sz w:val="15"/>
          <w:szCs w:val="15"/>
          <w:color w:val="auto"/>
        </w:rPr>
      </w:pPr>
    </w:p>
    <w:p>
      <w:pPr>
        <w:ind w:left="360" w:right="3499" w:firstLine="437"/>
        <w:spacing w:after="0" w:line="234" w:lineRule="auto"/>
        <w:tabs>
          <w:tab w:leader="none" w:pos="11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notify the Banks in writing of any of the following events:</w:t>
      </w:r>
    </w:p>
    <w:p>
      <w:pPr>
        <w:spacing w:after="0" w:line="173" w:lineRule="exact"/>
        <w:rPr>
          <w:rFonts w:ascii="Courier New" w:cs="Courier New" w:eastAsia="Courier New" w:hAnsi="Courier New"/>
          <w:sz w:val="15"/>
          <w:szCs w:val="15"/>
          <w:color w:val="auto"/>
        </w:rPr>
      </w:pPr>
    </w:p>
    <w:p>
      <w:pPr>
        <w:ind w:left="800" w:right="3319" w:firstLine="347"/>
        <w:spacing w:after="0" w:line="236" w:lineRule="auto"/>
        <w:tabs>
          <w:tab w:leader="none" w:pos="15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74" w:lineRule="exact"/>
        <w:rPr>
          <w:rFonts w:ascii="Courier New" w:cs="Courier New" w:eastAsia="Courier New" w:hAnsi="Courier New"/>
          <w:sz w:val="15"/>
          <w:szCs w:val="15"/>
          <w:color w:val="auto"/>
        </w:rPr>
      </w:pPr>
    </w:p>
    <w:p>
      <w:pPr>
        <w:ind w:left="800" w:right="3399" w:firstLine="347"/>
        <w:spacing w:after="0" w:line="256" w:lineRule="auto"/>
        <w:tabs>
          <w:tab w:leader="none" w:pos="185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63" w:lineRule="exact"/>
        <w:rPr>
          <w:rFonts w:ascii="Courier New" w:cs="Courier New" w:eastAsia="Courier New" w:hAnsi="Courier New"/>
          <w:sz w:val="14"/>
          <w:szCs w:val="14"/>
          <w:color w:val="auto"/>
        </w:rPr>
      </w:pPr>
    </w:p>
    <w:p>
      <w:pPr>
        <w:ind w:left="800" w:right="3399" w:firstLine="347"/>
        <w:spacing w:after="0" w:line="236" w:lineRule="auto"/>
        <w:tabs>
          <w:tab w:leader="none" w:pos="185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w:t>
      </w:r>
    </w:p>
    <w:p>
      <w:pPr>
        <w:sectPr>
          <w:pgSz w:w="11900" w:h="16838" w:orient="portrait"/>
          <w:cols w:equalWidth="0" w:num="1">
            <w:col w:w="10239"/>
          </w:cols>
          <w:pgMar w:left="220" w:top="281" w:right="1440" w:bottom="1440"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63</w:t>
      </w:r>
    </w:p>
    <w:p>
      <w:pPr>
        <w:ind w:left="3340"/>
        <w:spacing w:after="0" w:line="237" w:lineRule="auto"/>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governmental officials) and including notice of any formal inquiry, proceeding, demand, investigation or other action with regard to (A) the Borrower's, any Subsidiary's or any Person's operation of the Real Property, (B) contamination on, from, or into the Real Property, or</w:t>
      </w:r>
    </w:p>
    <w:p>
      <w:pPr>
        <w:spacing w:after="0" w:line="1" w:lineRule="exact"/>
        <w:rPr>
          <w:sz w:val="20"/>
          <w:szCs w:val="20"/>
          <w:color w:val="auto"/>
        </w:rPr>
      </w:pPr>
    </w:p>
    <w:p>
      <w:pPr>
        <w:ind w:left="800" w:right="3679" w:hanging="3"/>
        <w:spacing w:after="0" w:line="256" w:lineRule="auto"/>
        <w:tabs>
          <w:tab w:leader="none" w:pos="11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$10,000,000; or</w:t>
      </w:r>
    </w:p>
    <w:p>
      <w:pPr>
        <w:spacing w:after="0" w:line="163" w:lineRule="exact"/>
        <w:rPr>
          <w:rFonts w:ascii="Courier New" w:cs="Courier New" w:eastAsia="Courier New" w:hAnsi="Courier New"/>
          <w:sz w:val="14"/>
          <w:szCs w:val="14"/>
          <w:color w:val="auto"/>
        </w:rPr>
      </w:pPr>
    </w:p>
    <w:p>
      <w:pPr>
        <w:ind w:left="800" w:right="3499" w:firstLine="347"/>
        <w:spacing w:after="0" w:line="236" w:lineRule="auto"/>
        <w:tabs>
          <w:tab w:leader="none" w:pos="185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$10,000,000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6"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SECTION 7.15. NOTICE OF DEFAULT. The Borrower will promptly notify the Banks in writing of the occurrence of any Default or Event of Default. If any</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$10,000,000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7"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SECTION 7.16. USE OF PROCEEDS. The proceeds of the Loans shall be used for general corporate purposes and in connection with the United Merger and</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refinancing the United Credit Agreement and other existing debt and letters of credit of United and the Borrower. No proceeds of the Loans shall be used in any way that will violate Regulations G, T, U or X of the Board of Governors of</w:t>
      </w:r>
    </w:p>
    <w:tbl>
      <w:tblPr>
        <w:tblLayout w:type="fixed"/>
        <w:tblInd w:w="0" w:type="dxa"/>
        <w:tblCellMar>
          <w:top w:w="0" w:type="dxa"/>
          <w:left w:w="0" w:type="dxa"/>
          <w:bottom w:w="0" w:type="dxa"/>
          <w:right w:w="0" w:type="dxa"/>
        </w:tblCellMar>
      </w:tblPr>
      <w:tr>
        <w:trPr>
          <w:trHeight w:val="164"/>
        </w:trPr>
        <w:tc>
          <w:tcPr>
            <w:tcW w:w="172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the Federal Reserve</w:t>
            </w:r>
          </w:p>
        </w:tc>
        <w:tc>
          <w:tcPr>
            <w:tcW w:w="11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System.</w:t>
            </w:r>
          </w:p>
        </w:tc>
        <w:tc>
          <w:tcPr>
            <w:tcW w:w="4060" w:type="dxa"/>
            <w:vAlign w:val="bottom"/>
          </w:tcPr>
          <w:p>
            <w:pPr>
              <w:spacing w:after="0"/>
              <w:rPr>
                <w:sz w:val="14"/>
                <w:szCs w:val="14"/>
                <w:color w:val="auto"/>
              </w:rPr>
            </w:pPr>
          </w:p>
        </w:tc>
      </w:tr>
      <w:tr>
        <w:trPr>
          <w:trHeight w:val="336"/>
        </w:trPr>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w w:val="99"/>
              </w:rPr>
              <w:t>SECTION   7.17.</w:t>
            </w:r>
          </w:p>
        </w:tc>
        <w:tc>
          <w:tcPr>
            <w:tcW w:w="5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CERTAIN TRANSACTIONS.  Except as disclosed in filings made</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by the Borrower and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United under</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Securities Exchange Act of 1934 prior to</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Closing Date, and except for</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arm's length transactions pursuant to which</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Borrower or any</w:t>
            </w:r>
          </w:p>
        </w:tc>
        <w:tc>
          <w:tcPr>
            <w:tcW w:w="52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Subsidiary makes payments in the ordinary course of</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upon terms</w:t>
            </w:r>
          </w:p>
        </w:tc>
        <w:tc>
          <w:tcPr>
            <w:tcW w:w="52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no less favorable than the Borrower or such Subsidiary</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could obtain from third parties,</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none of the officers, directors, or employees</w:t>
            </w:r>
          </w:p>
        </w:tc>
      </w:tr>
      <w:tr>
        <w:trPr>
          <w:trHeight w:val="168"/>
        </w:trPr>
        <w:tc>
          <w:tcPr>
            <w:tcW w:w="6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the Borrower or any Subsidiary are presently or shall be a party to any</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transaction with the Borrower or</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 Subsidiary (other than for services as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employees, officers</w:t>
            </w:r>
          </w:p>
        </w:tc>
        <w:tc>
          <w:tcPr>
            <w:tcW w:w="52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and directors), including any contract, agreement or other</w:t>
            </w:r>
          </w:p>
        </w:tc>
      </w:tr>
    </w:tbl>
    <w:p>
      <w:pPr>
        <w:spacing w:after="0" w:line="237" w:lineRule="auto"/>
        <w:rPr>
          <w:sz w:val="20"/>
          <w:szCs w:val="20"/>
          <w:color w:val="auto"/>
        </w:rPr>
      </w:pPr>
      <w:r>
        <w:rPr>
          <w:rFonts w:ascii="Courier New" w:cs="Courier New" w:eastAsia="Courier New" w:hAnsi="Courier New"/>
          <w:sz w:val="15"/>
          <w:szCs w:val="15"/>
          <w:color w:val="auto"/>
        </w:rPr>
        <w:t>arrangement providing for</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64</w:t>
      </w:r>
    </w:p>
    <w:p>
      <w:pPr>
        <w:jc w:val="center"/>
        <w:ind w:right="3219"/>
        <w:spacing w:after="0" w:line="237" w:lineRule="auto"/>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68" w:lineRule="exact"/>
        <w:rPr>
          <w:sz w:val="20"/>
          <w:szCs w:val="20"/>
          <w:color w:val="auto"/>
        </w:rPr>
      </w:pPr>
    </w:p>
    <w:p>
      <w:pPr>
        <w:ind w:left="360"/>
        <w:spacing w:after="0"/>
        <w:tabs>
          <w:tab w:leader="none" w:pos="1220" w:val="left"/>
          <w:tab w:leader="none" w:pos="1560" w:val="left"/>
          <w:tab w:leader="none" w:pos="5500" w:val="left"/>
        </w:tabs>
        <w:rPr>
          <w:sz w:val="20"/>
          <w:szCs w:val="20"/>
          <w:color w:val="auto"/>
        </w:rPr>
      </w:pPr>
      <w:r>
        <w:rPr>
          <w:rFonts w:ascii="Courier New" w:cs="Courier New" w:eastAsia="Courier New" w:hAnsi="Courier New"/>
          <w:sz w:val="15"/>
          <w:szCs w:val="15"/>
          <w:color w:val="auto"/>
        </w:rPr>
        <w:t>SECTION</w:t>
        <w:tab/>
        <w:t>8.</w:t>
        <w:tab/>
        <w:t>CERTAIN NEGATIVE COVENANTS OF THE BORROWER.</w:t>
      </w:r>
      <w:r>
        <w:rPr>
          <w:sz w:val="20"/>
          <w:szCs w:val="20"/>
          <w:color w:val="auto"/>
        </w:rPr>
        <w:tab/>
      </w:r>
      <w:r>
        <w:rPr>
          <w:rFonts w:ascii="Courier New" w:cs="Courier New" w:eastAsia="Courier New" w:hAnsi="Courier New"/>
          <w:sz w:val="14"/>
          <w:szCs w:val="14"/>
          <w:color w:val="auto"/>
        </w:rPr>
        <w:t>The Borrower</w:t>
      </w: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agrees that, so long as any Obligation</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Letter</w:t>
            </w:r>
          </w:p>
        </w:tc>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Credit is outstanding or</w:t>
            </w:r>
          </w:p>
        </w:tc>
      </w:tr>
      <w:tr>
        <w:trPr>
          <w:trHeight w:val="168"/>
        </w:trPr>
        <w:tc>
          <w:tcPr>
            <w:tcW w:w="6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Banks have any obligation to make Loans or any Issuing Bank has any</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obligation to issue, extend or renew any Letters</w:t>
            </w:r>
          </w:p>
        </w:tc>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Credit hereunder, or the</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Banks have any obligation to reimburse</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any Issuing Bank for drawings honored</w:t>
            </w:r>
          </w:p>
        </w:tc>
      </w:tr>
      <w:tr>
        <w:trPr>
          <w:trHeight w:val="168"/>
        </w:trPr>
        <w:tc>
          <w:tcPr>
            <w:tcW w:w="6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under any Letter of Credit, it shall, and shall cause its Subsidiaries to,</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comply with the following covenants:</w:t>
            </w:r>
          </w:p>
        </w:tc>
        <w:tc>
          <w:tcPr>
            <w:tcW w:w="9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6"/>
        </w:trPr>
        <w:tc>
          <w:tcPr>
            <w:tcW w:w="43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SECTION   8.1.  RESTRICTIONS ON INDEBTEDNESS.</w:t>
            </w: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w w:val="96"/>
              </w:rPr>
              <w:t>Neither the Borrower nor any</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its Subsidiaries shall become or be</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 guarantor or surety of, or otherwise</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create, incur, assume, or be or remain</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liable, contingently or otherwise, with</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respect to any Indebtedness, or become</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or be responsible in any manner (whether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by agreement to purchase any obligations, stock,</w:t>
            </w:r>
          </w:p>
        </w:tc>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assets, goods or services, or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supply or advance any funds, assets, goods or</w:t>
            </w:r>
          </w:p>
        </w:tc>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or otherwise) with</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respect to any Indebtedness of any other Person,</w:t>
            </w:r>
          </w:p>
        </w:tc>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or incur any Indebtedness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than:</w:t>
            </w:r>
          </w:p>
        </w:tc>
        <w:tc>
          <w:tcPr>
            <w:tcW w:w="920" w:type="dxa"/>
            <w:vAlign w:val="bottom"/>
          </w:tcPr>
          <w:p>
            <w:pPr>
              <w:spacing w:after="0"/>
              <w:rPr>
                <w:sz w:val="14"/>
                <w:szCs w:val="14"/>
                <w:color w:val="auto"/>
              </w:rPr>
            </w:pPr>
          </w:p>
        </w:tc>
        <w:tc>
          <w:tcPr>
            <w:tcW w:w="2620" w:type="dxa"/>
            <w:vAlign w:val="bottom"/>
          </w:tcPr>
          <w:p>
            <w:pPr>
              <w:spacing w:after="0"/>
              <w:rPr>
                <w:sz w:val="14"/>
                <w:szCs w:val="14"/>
                <w:color w:val="auto"/>
              </w:rPr>
            </w:pPr>
          </w:p>
        </w:tc>
      </w:tr>
    </w:tbl>
    <w:p>
      <w:pPr>
        <w:spacing w:after="0" w:line="173" w:lineRule="exact"/>
        <w:rPr>
          <w:sz w:val="20"/>
          <w:szCs w:val="20"/>
          <w:color w:val="auto"/>
        </w:rPr>
      </w:pPr>
    </w:p>
    <w:p>
      <w:pPr>
        <w:ind w:left="360" w:right="3939" w:firstLine="437"/>
        <w:spacing w:after="0" w:line="234" w:lineRule="auto"/>
        <w:tabs>
          <w:tab w:leader="none" w:pos="114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 Documents;</w:t>
      </w:r>
    </w:p>
    <w:p>
      <w:pPr>
        <w:spacing w:after="0" w:line="173" w:lineRule="exact"/>
        <w:rPr>
          <w:rFonts w:ascii="Courier New" w:cs="Courier New" w:eastAsia="Courier New" w:hAnsi="Courier New"/>
          <w:sz w:val="15"/>
          <w:szCs w:val="15"/>
          <w:color w:val="auto"/>
        </w:rPr>
      </w:pPr>
    </w:p>
    <w:p>
      <w:pPr>
        <w:ind w:left="360" w:right="3399" w:firstLine="437"/>
        <w:spacing w:after="0" w:line="236" w:lineRule="auto"/>
        <w:tabs>
          <w:tab w:leader="none" w:pos="114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of the Borrower and its Subsidiaries listed on Schedule 8.1(b) hereto on the terms and conditions in effect as of the date hereof, including extensions, renewals and refinancing of such Indebtedness in amounts no greater than and on terms no more restrictive than exist on the Closing Date;</w:t>
      </w:r>
    </w:p>
    <w:p>
      <w:pPr>
        <w:spacing w:after="0" w:line="173" w:lineRule="exact"/>
        <w:rPr>
          <w:rFonts w:ascii="Courier New" w:cs="Courier New" w:eastAsia="Courier New" w:hAnsi="Courier New"/>
          <w:sz w:val="15"/>
          <w:szCs w:val="15"/>
          <w:color w:val="auto"/>
        </w:rPr>
      </w:pPr>
    </w:p>
    <w:p>
      <w:pPr>
        <w:ind w:left="360" w:right="3499" w:firstLine="437"/>
        <w:spacing w:after="0" w:line="258" w:lineRule="auto"/>
        <w:tabs>
          <w:tab w:leader="none" w:pos="114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incurred by the Borrower or any Subsidiary with respect to any suretyship or performance bond incurred in the ordinary course of its business (other than landfill closure bonds); and</w:t>
      </w:r>
    </w:p>
    <w:p>
      <w:pPr>
        <w:spacing w:after="0" w:line="161" w:lineRule="exact"/>
        <w:rPr>
          <w:rFonts w:ascii="Courier New" w:cs="Courier New" w:eastAsia="Courier New" w:hAnsi="Courier New"/>
          <w:sz w:val="14"/>
          <w:szCs w:val="14"/>
          <w:color w:val="auto"/>
        </w:rPr>
      </w:pPr>
    </w:p>
    <w:p>
      <w:pPr>
        <w:ind w:left="360" w:right="3499" w:firstLine="787"/>
        <w:spacing w:after="0" w:line="261" w:lineRule="auto"/>
        <w:tabs>
          <w:tab w:leader="none" w:pos="1584"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the Subsidiaries' obligations to governmental authorities in lieu of the posting of any landfill closure bonds;</w:t>
      </w:r>
    </w:p>
    <w:p>
      <w:pPr>
        <w:spacing w:after="0" w:line="159" w:lineRule="exact"/>
        <w:rPr>
          <w:rFonts w:ascii="Courier New" w:cs="Courier New" w:eastAsia="Courier New" w:hAnsi="Courier New"/>
          <w:sz w:val="14"/>
          <w:szCs w:val="14"/>
          <w:color w:val="auto"/>
        </w:rPr>
      </w:pPr>
    </w:p>
    <w:p>
      <w:pPr>
        <w:ind w:left="360" w:right="3319" w:firstLine="437"/>
        <w:spacing w:after="0" w:line="236" w:lineRule="auto"/>
        <w:tabs>
          <w:tab w:leader="none" w:pos="114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including commercial paper, which is pari passu or subordinated to the Obligations; provided that there does not exist a Default or Event of Default at the time of the incurrence of such Indebtedness and no Default or Event of Default would be created by incurrence of such Indebtedness;</w:t>
      </w:r>
    </w:p>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65</w:t>
      </w:r>
    </w:p>
    <w:p>
      <w:pPr>
        <w:ind w:left="3340"/>
        <w:spacing w:after="0" w:line="237" w:lineRule="auto"/>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left="360" w:right="3399" w:firstLine="437"/>
        <w:spacing w:after="0" w:line="255" w:lineRule="auto"/>
        <w:tabs>
          <w:tab w:leader="none" w:pos="11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of the Borrower's Subsidiaries, (ii) secured Indebtedness of the Borrower, (iii) Indebtedness with respect to landfill closure bonds of the Borrower's Subsidiaries, and (iv) Indebtedness with respect to Permitted Receivables Transactions; provided that the aggregate amount of all such Indebtedness in this Section 8.1(e) shall not exceed 7.5% of Consolidated Tangible Assets at any time;</w:t>
      </w:r>
    </w:p>
    <w:p>
      <w:pPr>
        <w:spacing w:after="0" w:line="166" w:lineRule="exact"/>
        <w:rPr>
          <w:rFonts w:ascii="Courier New" w:cs="Courier New" w:eastAsia="Courier New" w:hAnsi="Courier New"/>
          <w:sz w:val="14"/>
          <w:szCs w:val="14"/>
          <w:color w:val="auto"/>
        </w:rPr>
      </w:pPr>
    </w:p>
    <w:p>
      <w:pPr>
        <w:ind w:left="360" w:right="3399" w:firstLine="437"/>
        <w:spacing w:after="0" w:line="234" w:lineRule="auto"/>
        <w:tabs>
          <w:tab w:leader="none" w:pos="11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Sanifill with respect to the Sanifill Convertible Subordinated Debt;</w:t>
      </w:r>
    </w:p>
    <w:p>
      <w:pPr>
        <w:spacing w:after="0" w:line="173" w:lineRule="exact"/>
        <w:rPr>
          <w:rFonts w:ascii="Courier New" w:cs="Courier New" w:eastAsia="Courier New" w:hAnsi="Courier New"/>
          <w:sz w:val="15"/>
          <w:szCs w:val="15"/>
          <w:color w:val="auto"/>
        </w:rPr>
      </w:pPr>
    </w:p>
    <w:p>
      <w:pPr>
        <w:ind w:left="360" w:right="3319" w:firstLine="437"/>
        <w:spacing w:after="0" w:line="234" w:lineRule="auto"/>
        <w:tabs>
          <w:tab w:leader="none" w:pos="11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of the Canadian Subsidiaries of the Borrower in an aggregate amount outstanding not in excess of $50,000,000;</w:t>
      </w:r>
    </w:p>
    <w:p>
      <w:pPr>
        <w:spacing w:after="0" w:line="173" w:lineRule="exact"/>
        <w:rPr>
          <w:rFonts w:ascii="Courier New" w:cs="Courier New" w:eastAsia="Courier New" w:hAnsi="Courier New"/>
          <w:sz w:val="15"/>
          <w:szCs w:val="15"/>
          <w:color w:val="auto"/>
        </w:rPr>
      </w:pPr>
    </w:p>
    <w:p>
      <w:pPr>
        <w:ind w:left="360" w:right="3319" w:firstLine="437"/>
        <w:spacing w:after="0" w:line="234" w:lineRule="auto"/>
        <w:tabs>
          <w:tab w:leader="none" w:pos="11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United Joinder Date, Indebtedness of United with respect to the United Indenture;</w:t>
      </w:r>
    </w:p>
    <w:p>
      <w:pPr>
        <w:spacing w:after="0" w:line="173" w:lineRule="exact"/>
        <w:rPr>
          <w:rFonts w:ascii="Courier New" w:cs="Courier New" w:eastAsia="Courier New" w:hAnsi="Courier New"/>
          <w:sz w:val="15"/>
          <w:szCs w:val="15"/>
          <w:color w:val="auto"/>
        </w:rPr>
      </w:pPr>
    </w:p>
    <w:p>
      <w:pPr>
        <w:ind w:left="360" w:right="3319" w:firstLine="437"/>
        <w:spacing w:after="0" w:line="256" w:lineRule="auto"/>
        <w:tabs>
          <w:tab w:leader="none" w:pos="11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United Joinder Date, Indebtedness of United with respect to the United Senior Secured Notes, provided that such Indebtedness is discharged within 60 days after the United Joinder Date, or if not so discharged, the outstanding amount of such Indebtedness shall be deducted from the amount of Indebtedness permitted under Section 8.1(e); and</w:t>
      </w:r>
    </w:p>
    <w:p>
      <w:pPr>
        <w:spacing w:after="0" w:line="163" w:lineRule="exact"/>
        <w:rPr>
          <w:rFonts w:ascii="Courier New" w:cs="Courier New" w:eastAsia="Courier New" w:hAnsi="Courier New"/>
          <w:sz w:val="14"/>
          <w:szCs w:val="14"/>
          <w:color w:val="auto"/>
        </w:rPr>
      </w:pPr>
    </w:p>
    <w:p>
      <w:pPr>
        <w:ind w:left="360" w:right="3759" w:firstLine="437"/>
        <w:spacing w:after="0" w:line="235" w:lineRule="auto"/>
        <w:tabs>
          <w:tab w:leader="none" w:pos="11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Sanifill with respect to the Prudential Private Placement Debt, provided that such Indebtedness is discharged within 60 days after the Closing DATE.</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8.2.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ectPr>
          <w:pgSz w:w="11900" w:h="16838" w:orient="portrait"/>
          <w:cols w:equalWidth="0" w:num="1">
            <w:col w:w="10239"/>
          </w:cols>
          <w:pgMar w:left="220" w:top="28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66</w:t>
      </w:r>
    </w:p>
    <w:p>
      <w:pPr>
        <w:ind w:left="3060"/>
        <w:spacing w:after="0" w:line="237" w:lineRule="auto"/>
        <w:rPr>
          <w:sz w:val="20"/>
          <w:szCs w:val="20"/>
          <w:color w:val="auto"/>
        </w:rPr>
      </w:pPr>
      <w:r>
        <w:rPr>
          <w:rFonts w:ascii="Courier New" w:cs="Courier New" w:eastAsia="Courier New" w:hAnsi="Courier New"/>
          <w:sz w:val="15"/>
          <w:szCs w:val="15"/>
          <w:color w:val="auto"/>
        </w:rPr>
        <w:t>-60-</w:t>
      </w:r>
    </w:p>
    <w:p>
      <w:pPr>
        <w:spacing w:after="0" w:line="335" w:lineRule="exact"/>
        <w:rPr>
          <w:sz w:val="20"/>
          <w:szCs w:val="20"/>
          <w:color w:val="auto"/>
        </w:rPr>
      </w:pPr>
    </w:p>
    <w:p>
      <w:pPr>
        <w:ind w:left="860" w:hanging="343"/>
        <w:spacing w:after="0"/>
        <w:tabs>
          <w:tab w:leader="none" w:pos="8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Closing Date and listed on Schedule 8.2(a)</w:t>
      </w:r>
    </w:p>
    <w:p>
      <w:pPr>
        <w:ind w:left="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hereto;</w:t>
      </w:r>
    </w:p>
    <w:p>
      <w:pPr>
        <w:spacing w:after="0" w:line="173" w:lineRule="exact"/>
        <w:rPr>
          <w:rFonts w:ascii="Courier New" w:cs="Courier New" w:eastAsia="Courier New" w:hAnsi="Courier New"/>
          <w:sz w:val="15"/>
          <w:szCs w:val="15"/>
          <w:color w:val="auto"/>
        </w:rPr>
      </w:pPr>
    </w:p>
    <w:p>
      <w:pPr>
        <w:ind w:left="80" w:right="3319" w:firstLine="437"/>
        <w:spacing w:after="0" w:line="256" w:lineRule="auto"/>
        <w:tabs>
          <w:tab w:leader="none" w:pos="86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permitted by Section 8.1(c)(i) hereof; provided that the assets subject to such liens and security interests shall be limited to those contracts to which such guaranty, suretyship or indemnification obligations relate and the rights to payment thereunder;</w:t>
      </w:r>
    </w:p>
    <w:p>
      <w:pPr>
        <w:spacing w:after="0" w:line="164" w:lineRule="exact"/>
        <w:rPr>
          <w:rFonts w:ascii="Courier New" w:cs="Courier New" w:eastAsia="Courier New" w:hAnsi="Courier New"/>
          <w:sz w:val="14"/>
          <w:szCs w:val="14"/>
          <w:color w:val="auto"/>
        </w:rPr>
      </w:pPr>
    </w:p>
    <w:p>
      <w:pPr>
        <w:ind w:left="80" w:right="3399" w:firstLine="437"/>
        <w:spacing w:after="0" w:line="235"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 8.1(e) (provided that Liens created pursuant to a Permitted Receivables Transaction are only on the receivables so transferred and secure only the obligations with respect thereto) and Section 8.1(g);</w:t>
      </w:r>
    </w:p>
    <w:p>
      <w:pPr>
        <w:spacing w:after="0" w:line="175" w:lineRule="exact"/>
        <w:rPr>
          <w:rFonts w:ascii="Courier New" w:cs="Courier New" w:eastAsia="Courier New" w:hAnsi="Courier New"/>
          <w:sz w:val="15"/>
          <w:szCs w:val="15"/>
          <w:color w:val="auto"/>
        </w:rPr>
      </w:pPr>
    </w:p>
    <w:p>
      <w:pPr>
        <w:ind w:left="80" w:right="3939" w:firstLine="437"/>
        <w:spacing w:after="0" w:line="234"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arising under the United Senior Secured Notes;</w:t>
      </w:r>
    </w:p>
    <w:p>
      <w:pPr>
        <w:spacing w:after="0" w:line="173" w:lineRule="exact"/>
        <w:rPr>
          <w:rFonts w:ascii="Courier New" w:cs="Courier New" w:eastAsia="Courier New" w:hAnsi="Courier New"/>
          <w:sz w:val="15"/>
          <w:szCs w:val="15"/>
          <w:color w:val="auto"/>
        </w:rPr>
      </w:pPr>
    </w:p>
    <w:p>
      <w:pPr>
        <w:ind w:left="80" w:right="3319" w:firstLine="437"/>
        <w:spacing w:after="0" w:line="234"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3" w:lineRule="exact"/>
        <w:rPr>
          <w:rFonts w:ascii="Courier New" w:cs="Courier New" w:eastAsia="Courier New" w:hAnsi="Courier New"/>
          <w:sz w:val="15"/>
          <w:szCs w:val="15"/>
          <w:color w:val="auto"/>
        </w:rPr>
      </w:pPr>
    </w:p>
    <w:p>
      <w:pPr>
        <w:ind w:left="80" w:right="3399" w:firstLine="437"/>
        <w:spacing w:after="0" w:line="235"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3" w:lineRule="exact"/>
        <w:rPr>
          <w:rFonts w:ascii="Courier New" w:cs="Courier New" w:eastAsia="Courier New" w:hAnsi="Courier New"/>
          <w:sz w:val="15"/>
          <w:szCs w:val="15"/>
          <w:color w:val="auto"/>
        </w:rPr>
      </w:pPr>
    </w:p>
    <w:p>
      <w:pPr>
        <w:ind w:left="80" w:right="3319" w:firstLine="437"/>
        <w:spacing w:after="0" w:line="236"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175" w:lineRule="exact"/>
        <w:rPr>
          <w:rFonts w:ascii="Courier New" w:cs="Courier New" w:eastAsia="Courier New" w:hAnsi="Courier New"/>
          <w:sz w:val="15"/>
          <w:szCs w:val="15"/>
          <w:color w:val="auto"/>
        </w:rPr>
      </w:pPr>
    </w:p>
    <w:p>
      <w:pPr>
        <w:ind w:left="80" w:right="3319" w:firstLine="437"/>
        <w:spacing w:after="0" w:line="236"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79" w:lineRule="exact"/>
        <w:rPr>
          <w:rFonts w:ascii="Courier New" w:cs="Courier New" w:eastAsia="Courier New" w:hAnsi="Courier New"/>
          <w:sz w:val="15"/>
          <w:szCs w:val="15"/>
          <w:color w:val="auto"/>
        </w:rPr>
      </w:pPr>
    </w:p>
    <w:p>
      <w:pPr>
        <w:ind w:left="80" w:right="3399" w:firstLine="437"/>
        <w:spacing w:after="0" w:line="236" w:lineRule="auto"/>
        <w:tabs>
          <w:tab w:leader="none" w:pos="8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w:t>
      </w:r>
    </w:p>
    <w:p>
      <w:pPr>
        <w:sectPr>
          <w:pgSz w:w="11900" w:h="16838" w:orient="portrait"/>
          <w:cols w:equalWidth="0" w:num="1">
            <w:col w:w="9959"/>
          </w:cols>
          <w:pgMar w:left="50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67</w:t>
      </w:r>
    </w:p>
    <w:p>
      <w:pPr>
        <w:jc w:val="center"/>
        <w:ind w:right="3219"/>
        <w:spacing w:after="0" w:line="237" w:lineRule="auto"/>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75" w:lineRule="exact"/>
        <w:rPr>
          <w:sz w:val="20"/>
          <w:szCs w:val="20"/>
          <w:color w:val="auto"/>
        </w:rPr>
      </w:pPr>
    </w:p>
    <w:p>
      <w:pPr>
        <w:ind w:left="360" w:right="3319" w:firstLine="437"/>
        <w:spacing w:after="0" w:line="237" w:lineRule="auto"/>
        <w:rPr>
          <w:sz w:val="20"/>
          <w:szCs w:val="20"/>
          <w:color w:val="auto"/>
        </w:rPr>
      </w:pPr>
      <w:r>
        <w:rPr>
          <w:rFonts w:ascii="Courier New" w:cs="Courier New" w:eastAsia="Courier New" w:hAnsi="Courier New"/>
          <w:sz w:val="15"/>
          <w:szCs w:val="15"/>
          <w:color w:val="auto"/>
        </w:rPr>
        <w:t>The Borrower and the Guarantors covenant and agree that if any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Guarantors will make or cause to be made effective provision whereby the Obligations and their respective Guaranteed Obligations will be secured by such lien equally and ratably with any and all other Indebtedness thereby secured so long as such other Indebtedness shall be so secured; provided, that the covenants of the Borrower and the Guarantors contained in this sentence shall only be in effect for so long as the Borrower or any Guarantor shall be similarly obligated under any other Indebtedness; provided, further, that an Event of Default shall occur for so long as such other Indebtedness becomes secured notwithstanding any actions taken by the Borrower or any Guarantor to ratably secure the Obligations and the Guaranteed Obligations hereunder.</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 (C) wholly owned Subsidiaries) does not exceed 15% of Consolidated Tangible Assets; provided, that the ability of the Borrower and its Subsidiaries to incur any Indebtedness in connection with any Investment permitted by this Section 8.3 shall be governed by Section 8.1.</w:t>
      </w:r>
    </w:p>
    <w:p>
      <w:pPr>
        <w:spacing w:after="0" w:line="157" w:lineRule="exact"/>
        <w:rPr>
          <w:sz w:val="20"/>
          <w:szCs w:val="20"/>
          <w:color w:val="auto"/>
        </w:rPr>
      </w:pPr>
    </w:p>
    <w:p>
      <w:pPr>
        <w:ind w:left="360"/>
        <w:spacing w:after="0"/>
        <w:tabs>
          <w:tab w:leader="none" w:pos="1220" w:val="left"/>
          <w:tab w:leader="none" w:pos="1740" w:val="left"/>
        </w:tabs>
        <w:rPr>
          <w:sz w:val="20"/>
          <w:szCs w:val="20"/>
          <w:color w:val="auto"/>
        </w:rPr>
      </w:pPr>
      <w:r>
        <w:rPr>
          <w:rFonts w:ascii="Courier New" w:cs="Courier New" w:eastAsia="Courier New" w:hAnsi="Courier New"/>
          <w:sz w:val="15"/>
          <w:szCs w:val="15"/>
          <w:color w:val="auto"/>
        </w:rPr>
        <w:t>SECTION</w:t>
        <w:tab/>
        <w:t>8.4.</w:t>
      </w:r>
      <w:r>
        <w:rPr>
          <w:sz w:val="20"/>
          <w:szCs w:val="20"/>
          <w:color w:val="auto"/>
        </w:rPr>
        <w:tab/>
      </w:r>
      <w:r>
        <w:rPr>
          <w:rFonts w:ascii="Courier New" w:cs="Courier New" w:eastAsia="Courier New" w:hAnsi="Courier New"/>
          <w:sz w:val="14"/>
          <w:szCs w:val="14"/>
          <w:color w:val="auto"/>
        </w:rPr>
        <w:t>MERGERS, CONSOLIDATIONS, SALES.</w:t>
      </w:r>
    </w:p>
    <w:p>
      <w:pPr>
        <w:spacing w:after="0" w:line="173" w:lineRule="exact"/>
        <w:rPr>
          <w:sz w:val="20"/>
          <w:szCs w:val="20"/>
          <w:color w:val="auto"/>
        </w:rPr>
      </w:pPr>
    </w:p>
    <w:p>
      <w:pPr>
        <w:ind w:left="360" w:right="3319" w:firstLine="437"/>
        <w:spacing w:after="0" w:line="235" w:lineRule="auto"/>
        <w:tabs>
          <w:tab w:leader="none" w:pos="123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or a Subsidiary shall be the surviving entity (and</w:t>
      </w:r>
    </w:p>
    <w:p>
      <w:pPr>
        <w:sectPr>
          <w:pgSz w:w="11900" w:h="16838" w:orient="portrait"/>
          <w:cols w:equalWidth="0" w:num="1">
            <w:col w:w="10239"/>
          </w:cols>
          <w:pgMar w:left="220" w:top="28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68</w:t>
      </w:r>
    </w:p>
    <w:p>
      <w:pPr>
        <w:jc w:val="center"/>
        <w:ind w:right="3499"/>
        <w:spacing w:after="0" w:line="237" w:lineRule="auto"/>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left="80" w:right="3319"/>
        <w:spacing w:after="0" w:line="254" w:lineRule="auto"/>
        <w:rPr>
          <w:sz w:val="20"/>
          <w:szCs w:val="20"/>
          <w:color w:val="auto"/>
        </w:rPr>
      </w:pPr>
      <w:r>
        <w:rPr>
          <w:rFonts w:ascii="Courier New" w:cs="Courier New" w:eastAsia="Courier New" w:hAnsi="Courier New"/>
          <w:sz w:val="14"/>
          <w:szCs w:val="14"/>
          <w:color w:val="auto"/>
        </w:rPr>
        <w:t>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the collection, transfer, hauling, disposal or recycling of solid waste (excluding hazardous waste as that term is defined in RCRA) or thermal soil remediation; (iii) the business to be acquired operates predominantly (A) in North America or (B) outside North America, provided, that the aggregate amount of such acquisitions under this clause</w:t>
      </w:r>
    </w:p>
    <w:p>
      <w:pPr>
        <w:spacing w:after="0" w:line="6" w:lineRule="exact"/>
        <w:rPr>
          <w:sz w:val="20"/>
          <w:szCs w:val="20"/>
          <w:color w:val="auto"/>
        </w:rPr>
      </w:pPr>
    </w:p>
    <w:p>
      <w:pPr>
        <w:ind w:left="80" w:right="3319"/>
        <w:spacing w:after="0" w:line="255" w:lineRule="auto"/>
        <w:tabs>
          <w:tab w:leader="none" w:pos="43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exceed five percent (5%) of Consolidated Tangible Assets; and (iv) the board of directors and (if required by applicable law) the shareholders, or the equivalent thereof, of the business to be acquired has approved such acquisition. Notwithstanding the foregoing, the Borrower may effect the United Merger provided that (x) such transaction will not otherwise create a Default or Event of Default hereunder, and (y) the Banks shall have received as soon as is reasonably possible an environmental permit certificate from the CFO of the Borrower satisfactory to the Banks concerning principal operating permits of United's principal operating facilities to be acquired pursuant to the United Merger. Notwithstanding anything herein to the contrary, the ability of the Borrower and its Subsidiaries to incur any Indebtedness in connection with any transaction permitted pursuant to this Section 8.4 shall be governed by Section 8.1.</w:t>
      </w:r>
    </w:p>
    <w:p>
      <w:pPr>
        <w:spacing w:after="0" w:line="164" w:lineRule="exact"/>
        <w:rPr>
          <w:rFonts w:ascii="Courier New" w:cs="Courier New" w:eastAsia="Courier New" w:hAnsi="Courier New"/>
          <w:sz w:val="14"/>
          <w:szCs w:val="14"/>
          <w:color w:val="auto"/>
        </w:rPr>
      </w:pPr>
    </w:p>
    <w:p>
      <w:pPr>
        <w:ind w:left="80" w:right="3319" w:firstLine="437"/>
        <w:spacing w:after="0" w:line="255" w:lineRule="auto"/>
        <w:tabs>
          <w:tab w:leader="none" w:pos="955"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personal property among Subsidiaries of the Borrower which are wholly owned by the Borrower and (2) so long as no Default or Event of Default has occurred and is continuing, or would result therefrom, sales of assets in the ordinary course of business between the date hereof and the Maturity Date with an aggregate value not greater than ten percent (10%) of Consolidated Total Assets, as set forth in the most recent financial statements delivered to the Banks pursuant to Section 7.4 hereof) or sell or assign, with or without recourse, any receivables (except accounts</w:t>
      </w:r>
    </w:p>
    <w:p>
      <w:pPr>
        <w:sectPr>
          <w:pgSz w:w="11900" w:h="16838" w:orient="portrait"/>
          <w:cols w:equalWidth="0" w:num="1">
            <w:col w:w="9959"/>
          </w:cols>
          <w:pgMar w:left="50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69</w:t>
      </w:r>
    </w:p>
    <w:p>
      <w:pPr>
        <w:jc w:val="center"/>
        <w:ind w:right="3219"/>
        <w:spacing w:after="0" w:line="237" w:lineRule="auto"/>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receivable more than sixty (60) days past due sold or assigned in the ordinary course of collecting past due accounts, or pursuant to a Permitted Receivables Transaction).</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Closing Date pursuant to the terms thereof); provided that the Borrower and its Subsidiaries may pay cash dividends and redeem stock in an aggregate amount not to exceed (x) $25,000,000 plus (y) on a cumulative basis, 50% of positive Consolidated Net Income after December 31, 1995. Notwithstanding the above, any Subsidiary may make Distributions to the Borrower and the Borrower agrees that neither the Borrower nor any Material Subsidiary will enter into any agreement restricting Distributions from such Material Subsidiary to the Borrower, other than existing restrictions in the Prudential Private Placement Debt and the United Senior Secured Notes as in effect as of the Closing Date.</w:t>
      </w:r>
    </w:p>
    <w:p>
      <w:pPr>
        <w:spacing w:after="0" w:line="326" w:lineRule="exact"/>
        <w:rPr>
          <w:sz w:val="20"/>
          <w:szCs w:val="20"/>
          <w:color w:val="auto"/>
        </w:rPr>
      </w:pPr>
    </w:p>
    <w:p>
      <w:pPr>
        <w:ind w:left="360"/>
        <w:spacing w:after="0"/>
        <w:tabs>
          <w:tab w:leader="none" w:pos="1220" w:val="left"/>
          <w:tab w:leader="none" w:pos="1740" w:val="left"/>
          <w:tab w:leader="none" w:pos="3920" w:val="left"/>
        </w:tabs>
        <w:rPr>
          <w:sz w:val="20"/>
          <w:szCs w:val="20"/>
          <w:color w:val="auto"/>
        </w:rPr>
      </w:pPr>
      <w:r>
        <w:rPr>
          <w:rFonts w:ascii="Courier New" w:cs="Courier New" w:eastAsia="Courier New" w:hAnsi="Courier New"/>
          <w:sz w:val="15"/>
          <w:szCs w:val="15"/>
          <w:color w:val="auto"/>
        </w:rPr>
        <w:t>SECTION</w:t>
        <w:tab/>
        <w:t>8.6.</w:t>
        <w:tab/>
        <w:t>EMPLOYEE BENEFIT PLANS.</w:t>
      </w:r>
      <w:r>
        <w:rPr>
          <w:sz w:val="20"/>
          <w:szCs w:val="20"/>
          <w:color w:val="auto"/>
        </w:rPr>
        <w:tab/>
      </w:r>
      <w:r>
        <w:rPr>
          <w:rFonts w:ascii="Courier New" w:cs="Courier New" w:eastAsia="Courier New" w:hAnsi="Courier New"/>
          <w:sz w:val="14"/>
          <w:szCs w:val="14"/>
          <w:color w:val="auto"/>
        </w:rPr>
        <w:t>None of the Borrower, any of its</w:t>
      </w:r>
    </w:p>
    <w:p>
      <w:pPr>
        <w:spacing w:after="0" w:line="237" w:lineRule="auto"/>
        <w:rPr>
          <w:sz w:val="20"/>
          <w:szCs w:val="20"/>
          <w:color w:val="auto"/>
        </w:rPr>
      </w:pPr>
      <w:r>
        <w:rPr>
          <w:rFonts w:ascii="Courier New" w:cs="Courier New" w:eastAsia="Courier New" w:hAnsi="Courier New"/>
          <w:sz w:val="15"/>
          <w:szCs w:val="15"/>
          <w:color w:val="auto"/>
        </w:rPr>
        <w:t>Subsidiaries, or any ERISA Affiliate will:</w:t>
      </w:r>
    </w:p>
    <w:p>
      <w:pPr>
        <w:spacing w:after="0" w:line="173" w:lineRule="exact"/>
        <w:rPr>
          <w:sz w:val="20"/>
          <w:szCs w:val="20"/>
          <w:color w:val="auto"/>
        </w:rPr>
      </w:pPr>
    </w:p>
    <w:p>
      <w:pPr>
        <w:ind w:left="360" w:right="3399" w:firstLine="437"/>
        <w:spacing w:after="0" w:line="235" w:lineRule="auto"/>
        <w:tabs>
          <w:tab w:leader="none" w:pos="114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3" w:lineRule="exact"/>
        <w:rPr>
          <w:rFonts w:ascii="Courier New" w:cs="Courier New" w:eastAsia="Courier New" w:hAnsi="Courier New"/>
          <w:sz w:val="15"/>
          <w:szCs w:val="15"/>
          <w:color w:val="auto"/>
        </w:rPr>
      </w:pPr>
    </w:p>
    <w:p>
      <w:pPr>
        <w:ind w:left="360" w:right="3839" w:firstLine="437"/>
        <w:spacing w:after="0" w:line="258" w:lineRule="auto"/>
        <w:tabs>
          <w:tab w:leader="none" w:pos="11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61" w:lineRule="exact"/>
        <w:rPr>
          <w:rFonts w:ascii="Courier New" w:cs="Courier New" w:eastAsia="Courier New" w:hAnsi="Courier New"/>
          <w:sz w:val="14"/>
          <w:szCs w:val="14"/>
          <w:color w:val="auto"/>
        </w:rPr>
      </w:pPr>
    </w:p>
    <w:p>
      <w:pPr>
        <w:ind w:left="360" w:right="3579" w:firstLine="437"/>
        <w:spacing w:after="0" w:line="236" w:lineRule="auto"/>
        <w:tabs>
          <w:tab w:leader="none" w:pos="114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3" w:lineRule="exact"/>
        <w:rPr>
          <w:rFonts w:ascii="Courier New" w:cs="Courier New" w:eastAsia="Courier New" w:hAnsi="Courier New"/>
          <w:sz w:val="15"/>
          <w:szCs w:val="15"/>
          <w:color w:val="auto"/>
        </w:rPr>
      </w:pPr>
    </w:p>
    <w:p>
      <w:pPr>
        <w:ind w:left="360" w:right="3579" w:firstLine="437"/>
        <w:spacing w:after="0" w:line="256" w:lineRule="auto"/>
        <w:tabs>
          <w:tab w:leader="none" w:pos="11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63" w:lineRule="exact"/>
        <w:rPr>
          <w:rFonts w:ascii="Courier New" w:cs="Courier New" w:eastAsia="Courier New" w:hAnsi="Courier New"/>
          <w:sz w:val="14"/>
          <w:szCs w:val="14"/>
          <w:color w:val="auto"/>
        </w:rPr>
      </w:pPr>
    </w:p>
    <w:p>
      <w:pPr>
        <w:jc w:val="both"/>
        <w:ind w:left="360" w:right="3759" w:firstLine="437"/>
        <w:spacing w:after="0" w:line="235" w:lineRule="auto"/>
        <w:tabs>
          <w:tab w:leader="none" w:pos="114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 (d) above that would violate any provisions of Applicable Canadian Pension Legislation.</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70</w:t>
      </w:r>
    </w:p>
    <w:p>
      <w:pPr>
        <w:jc w:val="center"/>
        <w:ind w:right="3219"/>
        <w:spacing w:after="0" w:line="237" w:lineRule="auto"/>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9.  FINANCIAL COVENANTS OF THE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BORROWER.</w:t>
            </w:r>
          </w:p>
        </w:tc>
        <w:tc>
          <w:tcPr>
            <w:tcW w:w="2140" w:type="dxa"/>
            <w:vAlign w:val="bottom"/>
          </w:tcPr>
          <w:p>
            <w:pPr>
              <w:ind w:left="120"/>
              <w:spacing w:after="0"/>
              <w:rPr>
                <w:sz w:val="20"/>
                <w:szCs w:val="20"/>
                <w:color w:val="auto"/>
              </w:rPr>
            </w:pPr>
            <w:r>
              <w:rPr>
                <w:rFonts w:ascii="Courier New" w:cs="Courier New" w:eastAsia="Courier New" w:hAnsi="Courier New"/>
                <w:sz w:val="15"/>
                <w:szCs w:val="15"/>
                <w:color w:val="auto"/>
              </w:rPr>
              <w:t>The Borrower agrees</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that, so long as any Obligation or Letter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Credit is</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outstanding or the Banks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have any obligation to</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make Loans, or any</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Issuing Bank</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has any obligation to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issue, extend or renew</w:t>
            </w: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any Letter of Credit hereunder,</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the Banks have any</w:t>
            </w:r>
          </w:p>
        </w:tc>
      </w:tr>
    </w:tbl>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obligation to reimburse any Issuing Bank for drawings honored under any Letter of Credit, it shall, and shall cause its Subsidiaries to, comply with the following covenants:</w:t>
      </w:r>
    </w:p>
    <w:p>
      <w:pPr>
        <w:spacing w:after="0" w:line="174" w:lineRule="exact"/>
        <w:rPr>
          <w:sz w:val="20"/>
          <w:szCs w:val="20"/>
          <w:color w:val="auto"/>
        </w:rPr>
      </w:pPr>
    </w:p>
    <w:p>
      <w:pPr>
        <w:ind w:right="3839" w:firstLine="350"/>
        <w:spacing w:after="0" w:line="235" w:lineRule="auto"/>
        <w:rPr>
          <w:sz w:val="20"/>
          <w:szCs w:val="20"/>
          <w:color w:val="auto"/>
        </w:rPr>
      </w:pPr>
      <w:r>
        <w:rPr>
          <w:rFonts w:ascii="Courier New" w:cs="Courier New" w:eastAsia="Courier New" w:hAnsi="Courier New"/>
          <w:sz w:val="15"/>
          <w:szCs w:val="15"/>
          <w:color w:val="auto"/>
        </w:rPr>
        <w:t>SECTION 9.1. INTEREST COVERAGE RATIO. As of the end of any fiscal quarter of the Borrower, the ratio of (a) EBIT for the period of four consecutive fiscal quarters ending on that date to (b) Consolidated Total Interest Expense for such period shall not be less than 3.00:1.</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 DEBT TO TOTAL CAPITALIZATION.</w:t>
      </w:r>
    </w:p>
    <w:p>
      <w:pPr>
        <w:spacing w:after="0" w:line="178" w:lineRule="exact"/>
        <w:rPr>
          <w:sz w:val="20"/>
          <w:szCs w:val="20"/>
          <w:color w:val="auto"/>
        </w:rPr>
      </w:pPr>
    </w:p>
    <w:p>
      <w:pPr>
        <w:sectPr>
          <w:pgSz w:w="11900" w:h="16838" w:orient="portrait"/>
          <w:cols w:equalWidth="0" w:num="2">
            <w:col w:w="980" w:space="260"/>
            <w:col w:w="8999"/>
          </w:cols>
          <w:pgMar w:left="220" w:top="281" w:right="1440" w:bottom="1440" w:gutter="0" w:footer="0" w:header="0"/>
          <w:type w:val="continuous"/>
        </w:sectPr>
      </w:pPr>
    </w:p>
    <w:p>
      <w:pPr>
        <w:ind w:left="360" w:right="4279" w:firstLine="437"/>
        <w:spacing w:after="0" w:line="234" w:lineRule="auto"/>
        <w:tabs>
          <w:tab w:leader="none" w:pos="114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0.58:1 at any time; and</w:t>
      </w:r>
    </w:p>
    <w:p>
      <w:pPr>
        <w:spacing w:after="0" w:line="173" w:lineRule="exact"/>
        <w:rPr>
          <w:rFonts w:ascii="Courier New" w:cs="Courier New" w:eastAsia="Courier New" w:hAnsi="Courier New"/>
          <w:sz w:val="15"/>
          <w:szCs w:val="15"/>
          <w:color w:val="auto"/>
        </w:rPr>
      </w:pPr>
    </w:p>
    <w:p>
      <w:pPr>
        <w:ind w:left="360" w:right="3579" w:firstLine="437"/>
        <w:spacing w:after="0" w:line="235" w:lineRule="auto"/>
        <w:tabs>
          <w:tab w:leader="none" w:pos="114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0.55:1 at the end of any two consecutive fiscal quarters of the Borrower.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10.  CONDITIONS</w:t>
            </w:r>
          </w:p>
        </w:tc>
        <w:tc>
          <w:tcPr>
            <w:tcW w:w="4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PRECEDENT.</w:t>
            </w:r>
          </w:p>
        </w:tc>
      </w:tr>
      <w:tr>
        <w:trPr>
          <w:trHeight w:val="336"/>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10.1 CONDITIONS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EFFECTIVENESS.  The effectiveness of this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and</w:t>
            </w:r>
          </w:p>
        </w:tc>
        <w:tc>
          <w:tcPr>
            <w:tcW w:w="1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 obligations</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the Banks to make any Loans and of any Issuing</w:t>
            </w:r>
          </w:p>
        </w:tc>
      </w:tr>
    </w:tbl>
    <w:p>
      <w:pPr>
        <w:spacing w:after="0" w:line="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Bank to issue Letters of Credit and of the Banks to participate in Letters of Credit and otherwise be bound by the terms of this Agreement shall be subject to the satisfaction of each of the following conditions precedent:</w:t>
      </w:r>
    </w:p>
    <w:p>
      <w:pPr>
        <w:spacing w:after="0" w:line="167" w:lineRule="exact"/>
        <w:rPr>
          <w:sz w:val="20"/>
          <w:szCs w:val="20"/>
          <w:color w:val="auto"/>
        </w:rPr>
      </w:pPr>
    </w:p>
    <w:p>
      <w:pPr>
        <w:ind w:left="800"/>
        <w:spacing w:after="0"/>
        <w:tabs>
          <w:tab w:leader="none" w:pos="1660" w:val="left"/>
          <w:tab w:leader="none" w:pos="2440" w:val="left"/>
          <w:tab w:leader="none" w:pos="410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10.1.1.</w:t>
        <w:tab/>
        <w:t>CORPORATE ACTION.</w:t>
      </w:r>
      <w:r>
        <w:rPr>
          <w:sz w:val="20"/>
          <w:szCs w:val="20"/>
          <w:color w:val="auto"/>
        </w:rPr>
        <w:tab/>
      </w:r>
      <w:r>
        <w:rPr>
          <w:rFonts w:ascii="Courier New" w:cs="Courier New" w:eastAsia="Courier New" w:hAnsi="Courier New"/>
          <w:sz w:val="14"/>
          <w:szCs w:val="14"/>
          <w:color w:val="auto"/>
        </w:rPr>
        <w:t>All corporate action necessary</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for the valid execution, delivery and performance by the Borrower and Sanifill of the Loan Documents shall have been duly and effectively taken, and evidence thereof certified by authorized officers of the Borrower and Sanifill and satisfactory to the Banks shall have been provided to the Banks.</w:t>
      </w:r>
    </w:p>
    <w:p>
      <w:pPr>
        <w:sectPr>
          <w:pgSz w:w="11900" w:h="16838" w:orient="portrait"/>
          <w:cols w:equalWidth="0" w:num="1">
            <w:col w:w="10239"/>
          </w:cols>
          <w:pgMar w:left="220" w:top="281" w:right="1440"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71</w:t>
      </w:r>
    </w:p>
    <w:p>
      <w:pPr>
        <w:ind w:left="3340"/>
        <w:spacing w:after="0" w:line="237" w:lineRule="auto"/>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SECTION 10.1.2. LOAN DOCUMENTS, ETC. Each of the Loan Documents and other documents listed on the closing agenda shall have been duly and properly authorized, executed and delivered by the respective parties thereto</w:t>
      </w:r>
    </w:p>
    <w:tbl>
      <w:tblPr>
        <w:tblLayout w:type="fixed"/>
        <w:tblInd w:w="0" w:type="dxa"/>
        <w:tblCellMar>
          <w:top w:w="0" w:type="dxa"/>
          <w:left w:w="0" w:type="dxa"/>
          <w:bottom w:w="0" w:type="dxa"/>
          <w:right w:w="0" w:type="dxa"/>
        </w:tblCellMar>
      </w:tblPr>
      <w:tr>
        <w:trPr>
          <w:trHeight w:val="164"/>
        </w:trPr>
        <w:tc>
          <w:tcPr>
            <w:tcW w:w="3280" w:type="dxa"/>
            <w:vAlign w:val="bottom"/>
          </w:tcPr>
          <w:p>
            <w:pPr>
              <w:spacing w:after="0" w:line="165" w:lineRule="exact"/>
              <w:rPr>
                <w:sz w:val="20"/>
                <w:szCs w:val="20"/>
                <w:color w:val="auto"/>
              </w:rPr>
            </w:pPr>
            <w:r>
              <w:rPr>
                <w:rFonts w:ascii="Courier New" w:cs="Courier New" w:eastAsia="Courier New" w:hAnsi="Courier New"/>
                <w:sz w:val="15"/>
                <w:szCs w:val="15"/>
                <w:color w:val="auto"/>
                <w:w w:val="97"/>
              </w:rPr>
              <w:t>and shall be in full force and effect</w:t>
            </w:r>
          </w:p>
        </w:tc>
        <w:tc>
          <w:tcPr>
            <w:tcW w:w="264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w w:val="98"/>
              </w:rPr>
              <w:t>in a form satisfactory to the</w:t>
            </w:r>
          </w:p>
        </w:tc>
        <w:tc>
          <w:tcPr>
            <w:tcW w:w="9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Banks.</w:t>
            </w:r>
          </w:p>
        </w:tc>
      </w:tr>
      <w:tr>
        <w:trPr>
          <w:trHeight w:val="336"/>
        </w:trPr>
        <w:tc>
          <w:tcPr>
            <w:tcW w:w="3280" w:type="dxa"/>
            <w:vAlign w:val="bottom"/>
          </w:tcPr>
          <w:p>
            <w:pPr>
              <w:ind w:left="800"/>
              <w:spacing w:after="0"/>
              <w:rPr>
                <w:sz w:val="20"/>
                <w:szCs w:val="20"/>
                <w:color w:val="auto"/>
              </w:rPr>
            </w:pPr>
            <w:r>
              <w:rPr>
                <w:rFonts w:ascii="Courier New" w:cs="Courier New" w:eastAsia="Courier New" w:hAnsi="Courier New"/>
                <w:sz w:val="15"/>
                <w:szCs w:val="15"/>
                <w:color w:val="auto"/>
                <w:w w:val="97"/>
              </w:rPr>
              <w:t>SECTION   10.1.3.  CERTIFIED</w:t>
            </w:r>
          </w:p>
        </w:tc>
        <w:tc>
          <w:tcPr>
            <w:tcW w:w="2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COPIES OF CHARTER DOCUMENTS.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The Banks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shall have received from the Borrower</w:t>
            </w:r>
          </w:p>
        </w:tc>
        <w:tc>
          <w:tcPr>
            <w:tcW w:w="35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6"/>
              </w:rPr>
              <w:t>and Sanifill a copy, certified by a duly</w:t>
            </w:r>
          </w:p>
        </w:tc>
      </w:tr>
      <w:tr>
        <w:trPr>
          <w:trHeight w:val="168"/>
        </w:trPr>
        <w:tc>
          <w:tcPr>
            <w:tcW w:w="5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authorized officer of such Person to be true and complete on the</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Closing Date,</w:t>
            </w:r>
          </w:p>
        </w:tc>
      </w:tr>
      <w:tr>
        <w:trPr>
          <w:trHeight w:val="168"/>
        </w:trPr>
        <w:tc>
          <w:tcPr>
            <w:tcW w:w="5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of (a) its charter or other incorporation documents as in effect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 date</w:t>
            </w:r>
          </w:p>
        </w:tc>
      </w:tr>
      <w:tr>
        <w:trPr>
          <w:trHeight w:val="168"/>
        </w:trPr>
        <w:tc>
          <w:tcPr>
            <w:tcW w:w="5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of certification, and (b) its by-laws as in effect on such date.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10.1.4. INCUMBENCY CERTIFICATE. The Banks shall have received an incumbency certificate, dated as of the Closing Date, signed by duly authorized officers giving the name and bearing a specimen signature of each individual who shall be authorized: (a) to sign the Loan Documents on behalf of the Borrower and Sanifill; (b) to make Syndicated Loan Requests and Letter of Credit Requests; (c) to make Competitive Bid Quote Requests; and (d) to give notices and to take other action on the Borrower's behalf under the Loan Documents.</w:t>
      </w:r>
    </w:p>
    <w:p>
      <w:pPr>
        <w:spacing w:after="0" w:line="171" w:lineRule="exact"/>
        <w:rPr>
          <w:sz w:val="20"/>
          <w:szCs w:val="20"/>
          <w:color w:val="auto"/>
        </w:rPr>
      </w:pPr>
    </w:p>
    <w:p>
      <w:pPr>
        <w:ind w:left="800"/>
        <w:spacing w:after="0"/>
        <w:tabs>
          <w:tab w:leader="none" w:pos="1660" w:val="left"/>
          <w:tab w:leader="none" w:pos="480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10.1.5. CERTIFICATES OF INSURANCE.</w:t>
      </w:r>
      <w:r>
        <w:rPr>
          <w:sz w:val="20"/>
          <w:szCs w:val="20"/>
          <w:color w:val="auto"/>
        </w:rPr>
        <w:tab/>
      </w:r>
      <w:r>
        <w:rPr>
          <w:rFonts w:ascii="Courier New" w:cs="Courier New" w:eastAsia="Courier New" w:hAnsi="Courier New"/>
          <w:sz w:val="14"/>
          <w:szCs w:val="14"/>
          <w:color w:val="auto"/>
        </w:rPr>
        <w:t>The Banks shall have</w:t>
      </w:r>
    </w:p>
    <w:tbl>
      <w:tblPr>
        <w:tblLayout w:type="fixed"/>
        <w:tblInd w:w="0" w:type="dxa"/>
        <w:tblCellMar>
          <w:top w:w="0" w:type="dxa"/>
          <w:left w:w="0" w:type="dxa"/>
          <w:bottom w:w="0" w:type="dxa"/>
          <w:right w:w="0" w:type="dxa"/>
        </w:tblCellMar>
      </w:tblP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received (i) a certificate of</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insurance</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an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insurance broker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dated as of the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Closing Date,</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or within</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 days</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prior thereto, identifying</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insurers, types</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insurance,</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insurance</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limits,</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and policy terms, and otherwise</w:t>
            </w:r>
          </w:p>
        </w:tc>
      </w:tr>
    </w:tbl>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describing the insurance obtained in accordance with the provisions of the Loan Documents and (ii) copies of all policies evidencing such insurance (or certificates therefor signed by the insurer or an agent authorized to bind the insurer).</w:t>
      </w:r>
    </w:p>
    <w:p>
      <w:pPr>
        <w:spacing w:after="0" w:line="17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SECTION 10.1.6. OPINIONS OF COUNSEL AND PERMIT CERTIFICATE. The Banks shall have received (a) favorable legal opinions from outside counsel to</w:t>
      </w:r>
    </w:p>
    <w:p>
      <w:pPr>
        <w:spacing w:after="0" w:line="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Borrower and Sanifill addressed to the Banks, dated the Closing Date, in form and substance satisfactory to the Administrative Agent, and (b) an environmental permit certificate from the CFO of the Borrower satisfactory to the Banks concerning principal operating permits at the Borrower's and its Subsidiaries' principal operating facilities.</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10.1.7. EXISTING DEBT. The Administrative Agent shall have received a payoff letter, in form and substance satisfactory to the</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Administrative Agent, with respect to the Original Credit Agreement, such payoff letter indicating the amount of the loan obligations of the Borrower and its Subsidiaries as of the Closing Date.</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10.1.8. SATISFACTORY FINANCIAL CONDITION. No material adverse change, in the judgment of the Majority Banks, shall have occurred in the financial condition, results of operations, business, properties or prospects of the</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72</w:t>
      </w:r>
    </w:p>
    <w:p>
      <w:pPr>
        <w:ind w:left="3340"/>
        <w:spacing w:after="0" w:line="237" w:lineRule="auto"/>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Borrower and its Subsidiaries, taken as a whole, since the most recent financial statements and projections provided to the Banks.</w:t>
      </w:r>
    </w:p>
    <w:p>
      <w:pPr>
        <w:spacing w:after="0" w:line="173"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SECTION 10.1.9. PAYMENT OF CLOSING FEES. The Borrower shall have paid closing fees to the Administrative Agent for the account of the Banks in accordance with the letter by BOA dated July 10, 1997.</w:t>
      </w:r>
    </w:p>
    <w:p>
      <w:pPr>
        <w:spacing w:after="0" w:line="174"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SECTION 10.2. CONDITIONS TO INCREASE IN TOTAL COMMITMENT. The increase in the Total Commitment from $1,700,000,000 to $2,000,000,000 shall be subject to the satisfaction of each of the following conditions precedent: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10.2.1.</w:t>
            </w:r>
          </w:p>
        </w:tc>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UNITED MERGER.  The United Merger shall</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have been</w:t>
            </w: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successfully completed on terms no less favorable to the Borrower than the</w:t>
            </w: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terms set forth in the United Merger Agreement, and evidence thereof</w:t>
            </w:r>
          </w:p>
        </w:tc>
        <w:tc>
          <w:tcPr>
            <w:tcW w:w="880" w:type="dxa"/>
            <w:vAlign w:val="bottom"/>
          </w:tcPr>
          <w:p>
            <w:pPr>
              <w:spacing w:after="0"/>
              <w:rPr>
                <w:sz w:val="14"/>
                <w:szCs w:val="14"/>
                <w:color w:val="auto"/>
              </w:rPr>
            </w:pP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satisfactory to the Administrative Agent, including, without limitation, a</w:t>
            </w: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legal opinion as to the completion of the United Merger, shall have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been</w:t>
            </w: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furnished to the Administrative Agent.</w:t>
            </w: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CORPORATE ACTION.</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All corporate action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necessary</w:t>
            </w: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the valid execution, delivery and performance by United of the United</w:t>
            </w:r>
          </w:p>
        </w:tc>
      </w:tr>
      <w:tr>
        <w:trPr>
          <w:trHeight w:val="168"/>
        </w:trPr>
        <w:tc>
          <w:tcPr>
            <w:tcW w:w="6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Joinder shall have been duly and effectively taken, and evidence thereof</w:t>
            </w: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certified by authorized officers of United and satisfactory to the</w:t>
            </w:r>
          </w:p>
        </w:tc>
        <w:tc>
          <w:tcPr>
            <w:tcW w:w="880" w:type="dxa"/>
            <w:vAlign w:val="bottom"/>
          </w:tcPr>
          <w:p>
            <w:pPr>
              <w:spacing w:after="0"/>
              <w:rPr>
                <w:sz w:val="14"/>
                <w:szCs w:val="14"/>
                <w:color w:val="auto"/>
              </w:rPr>
            </w:pP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Administrative Agent shall have been provided to the Administrative</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Agent.</w:t>
            </w:r>
          </w:p>
        </w:tc>
      </w:tr>
      <w:tr>
        <w:trPr>
          <w:trHeight w:val="336"/>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10.2.3.</w:t>
            </w:r>
          </w:p>
        </w:tc>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THE UNITED JOINDER.</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 United Joinder</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shall have</w:t>
            </w: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been duly and properly authorized, executed and delivered by United</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shall</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be in full force and effect.</w:t>
            </w:r>
          </w:p>
        </w:tc>
        <w:tc>
          <w:tcPr>
            <w:tcW w:w="1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SECTION</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10.2.4.</w:t>
            </w:r>
          </w:p>
        </w:tc>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CERTIFIED COPIES OF CHARTER DOCUMENTS.</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The</w:t>
            </w:r>
          </w:p>
        </w:tc>
      </w:tr>
    </w:tbl>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Administrative Agent shall have received from United a copy, certified by a duly authorized officer of such Person to be true and complete on the United Joinder Date, of (a) its charter or other incorporation documents as in effect</w:t>
      </w:r>
    </w:p>
    <w:tbl>
      <w:tblPr>
        <w:tblLayout w:type="fixed"/>
        <w:tblInd w:w="0" w:type="dxa"/>
        <w:tblCellMar>
          <w:top w:w="0" w:type="dxa"/>
          <w:left w:w="0" w:type="dxa"/>
          <w:bottom w:w="0" w:type="dxa"/>
          <w:right w:w="0" w:type="dxa"/>
        </w:tblCellMar>
      </w:tblPr>
      <w:tr>
        <w:trPr>
          <w:trHeight w:val="164"/>
        </w:trPr>
        <w:tc>
          <w:tcPr>
            <w:tcW w:w="110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on such date</w:t>
            </w:r>
          </w:p>
        </w:tc>
        <w:tc>
          <w:tcPr>
            <w:tcW w:w="228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8"/>
              </w:rPr>
              <w:t>of certification, and (b)</w:t>
            </w:r>
          </w:p>
        </w:tc>
        <w:tc>
          <w:tcPr>
            <w:tcW w:w="354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its by-laws as in effect on such date.</w:t>
            </w:r>
          </w:p>
        </w:tc>
      </w:tr>
      <w:tr>
        <w:trPr>
          <w:trHeight w:val="336"/>
        </w:trPr>
        <w:tc>
          <w:tcPr>
            <w:tcW w:w="15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10.2.5.</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INCUMBENCY</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CERTIFICATE.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The Administrative Agent</w:t>
            </w:r>
          </w:p>
        </w:tc>
      </w:tr>
      <w:tr>
        <w:trPr>
          <w:trHeight w:val="168"/>
        </w:trPr>
        <w:tc>
          <w:tcPr>
            <w:tcW w:w="4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shall have received an incumbency certificate, dated</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 the United Joinder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Date, signed</w:t>
            </w:r>
          </w:p>
        </w:tc>
        <w:tc>
          <w:tcPr>
            <w:tcW w:w="5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by duly authorized officers giving the name and bearing a specimen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signature of</w:t>
            </w:r>
          </w:p>
        </w:tc>
        <w:tc>
          <w:tcPr>
            <w:tcW w:w="2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each individual who shall</w:t>
            </w:r>
          </w:p>
        </w:tc>
        <w:tc>
          <w:tcPr>
            <w:tcW w:w="3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be authorized to sign the United Joinder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 behalf of</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United.</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6"/>
        </w:trPr>
        <w:tc>
          <w:tcPr>
            <w:tcW w:w="15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OPINION OF</w:t>
            </w: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COUNSEL.  The Administrative Agent shall</w:t>
            </w:r>
          </w:p>
        </w:tc>
      </w:tr>
      <w:tr>
        <w:trPr>
          <w:trHeight w:val="168"/>
        </w:trPr>
        <w:tc>
          <w:tcPr>
            <w:tcW w:w="69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have received a favorable legal opinion from outside counsel to United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addressed to</w:t>
            </w:r>
          </w:p>
        </w:tc>
        <w:tc>
          <w:tcPr>
            <w:tcW w:w="5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the Administrative Agent and the Banks, dated the United Joinder</w:t>
            </w:r>
          </w:p>
        </w:tc>
      </w:tr>
    </w:tbl>
    <w:p>
      <w:pPr>
        <w:spacing w:after="0" w:line="237" w:lineRule="auto"/>
        <w:rPr>
          <w:sz w:val="20"/>
          <w:szCs w:val="20"/>
          <w:color w:val="auto"/>
        </w:rPr>
      </w:pPr>
      <w:r>
        <w:rPr>
          <w:rFonts w:ascii="Courier New" w:cs="Courier New" w:eastAsia="Courier New" w:hAnsi="Courier New"/>
          <w:sz w:val="15"/>
          <w:szCs w:val="15"/>
          <w:color w:val="auto"/>
        </w:rPr>
        <w:t>Date, in form and substance satisfactory to the Administrative Agent.</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73</w:t>
      </w:r>
    </w:p>
    <w:p>
      <w:pPr>
        <w:ind w:left="3340"/>
        <w:spacing w:after="0" w:line="237" w:lineRule="auto"/>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10.2.7. EXISTING UNITED DEBT. The Administrative Agent shall have received a payoff letter, in form and substance satisfactory to the Administrative Agent, with respect to the United Credit Agreement, together with necessary disbursement instructions sufficient to discharge all Indebtedness under the United Credit Agreement on the United Joinder Date.</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10.2.8. LIEN SEARCH RESULTS. The Administrative Agent shall have received the results of UCC lien searches with respect to United and its Subsidiaries indicating no liens or encumbrances other than Permitted Liens.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10.2.9. SATISFACTORY FINANCIAL CONDITION. No material adverse change, in the judgment of the Majority Banks, shall have occurred in the financial condition, results of operations, business, properties or prospects of the Borrower and its Subsidiaries, taken as a whole, or United and its Subsidiaries, taken as a whole, since the most recent financial statements and projections provided to the Banks.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10.2.10. NOTICE OF UNITED JOINDER DATE. Promptly upon receipt of the items set forth above, the Administrative Agent shall notify the Banks that all of the conditions of Section 10.2 have been satisfied, and upon such notice the Total Commitment shall be increased to $2,000,000,000. As soon as practical thereafter, the Administrative Agent shall distribute an original counterpart of the United Joinder to each Bank, together with copies of other items delivered pursuant to this Section 10.2.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11.  CONDITIONS TO</w:t>
            </w: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ALL LOANS.  The obligations of the Banks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make any Loan</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the obligation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any Issuing Bank to issue, extend,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renew</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any Letter of</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Credit at the time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subsequent to the Closing Date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w:t>
            </w:r>
          </w:p>
        </w:tc>
        <w:tc>
          <w:tcPr>
            <w:tcW w:w="48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subject to the following conditions precedent:</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11.1. REPRESENTATIONS TRUE. Each of the representations and warranties of the Borrower and the Guarantors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SECTION 11.2. PERFORMANCE; NO EVENT OF DEFAULT. The Borrower shall have performed and complied with all terms and conditions herein required to be</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74</w:t>
      </w:r>
    </w:p>
    <w:p>
      <w:pPr>
        <w:jc w:val="center"/>
        <w:ind w:right="3219"/>
        <w:spacing w:after="0" w:line="237" w:lineRule="auto"/>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performed or complied with by them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5" w:lineRule="exact"/>
        <w:rPr>
          <w:sz w:val="20"/>
          <w:szCs w:val="20"/>
          <w:color w:val="auto"/>
        </w:rPr>
      </w:pPr>
    </w:p>
    <w:p>
      <w:pPr>
        <w:jc w:val="both"/>
        <w:ind w:right="3319" w:firstLine="350"/>
        <w:spacing w:after="0" w:line="254" w:lineRule="auto"/>
        <w:rPr>
          <w:sz w:val="20"/>
          <w:szCs w:val="20"/>
          <w:color w:val="auto"/>
        </w:rPr>
      </w:pPr>
      <w:r>
        <w:rPr>
          <w:rFonts w:ascii="Courier New" w:cs="Courier New" w:eastAsia="Courier New" w:hAnsi="Courier New"/>
          <w:sz w:val="14"/>
          <w:szCs w:val="14"/>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w:t>
      </w:r>
    </w:p>
    <w:tbl>
      <w:tblPr>
        <w:tblLayout w:type="fixed"/>
        <w:tblInd w:w="0" w:type="dxa"/>
        <w:tblCellMar>
          <w:top w:w="0" w:type="dxa"/>
          <w:left w:w="0" w:type="dxa"/>
          <w:bottom w:w="0" w:type="dxa"/>
          <w:right w:w="0" w:type="dxa"/>
        </w:tblCellMar>
      </w:tblPr>
      <w:tr>
        <w:trPr>
          <w:trHeight w:val="165"/>
        </w:trPr>
        <w:tc>
          <w:tcPr>
            <w:tcW w:w="840" w:type="dxa"/>
            <w:vAlign w:val="bottom"/>
          </w:tcPr>
          <w:p>
            <w:pPr>
              <w:spacing w:after="0" w:line="165" w:lineRule="exact"/>
              <w:rPr>
                <w:sz w:val="20"/>
                <w:szCs w:val="20"/>
                <w:color w:val="auto"/>
              </w:rPr>
            </w:pPr>
            <w:r>
              <w:rPr>
                <w:rFonts w:ascii="Courier New" w:cs="Courier New" w:eastAsia="Courier New" w:hAnsi="Courier New"/>
                <w:sz w:val="15"/>
                <w:szCs w:val="15"/>
                <w:color w:val="auto"/>
              </w:rPr>
              <w:t>including</w:t>
            </w:r>
          </w:p>
        </w:tc>
        <w:tc>
          <w:tcPr>
            <w:tcW w:w="166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8"/>
              </w:rPr>
              <w:t>without limitation</w:t>
            </w:r>
          </w:p>
        </w:tc>
        <w:tc>
          <w:tcPr>
            <w:tcW w:w="44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a Syndicated Loan Request in the form attached</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hereto as</w:t>
            </w:r>
          </w:p>
        </w:tc>
        <w:tc>
          <w:tcPr>
            <w:tcW w:w="60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Exhibit D or a Letter of Credit Request in the form of Exhibit E and</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Banks</w:t>
            </w:r>
          </w:p>
        </w:tc>
        <w:tc>
          <w:tcPr>
            <w:tcW w:w="60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shall have received all information and such counterpart originals or</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certified</w:t>
            </w:r>
          </w:p>
        </w:tc>
        <w:tc>
          <w:tcPr>
            <w:tcW w:w="1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or other copies of</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 documents as the Banks may reasonably</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request.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336"/>
        </w:trPr>
        <w:tc>
          <w:tcPr>
            <w:tcW w:w="1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EVENTS OF</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w w:val="98"/>
              </w:rPr>
              <w:t>DEFAULT; ACCELERATION; TERMINATION OF COMMITMENT.</w:t>
            </w:r>
          </w:p>
        </w:tc>
      </w:tr>
      <w:tr>
        <w:trPr>
          <w:trHeight w:val="336"/>
        </w:trPr>
        <w:tc>
          <w:tcPr>
            <w:tcW w:w="1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12.1.</w:t>
            </w:r>
          </w:p>
        </w:tc>
        <w:tc>
          <w:tcPr>
            <w:tcW w:w="5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EVENTS OF DEFAULT AND ACCELERATION.  If any of the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following</w:t>
            </w:r>
          </w:p>
        </w:tc>
        <w:tc>
          <w:tcPr>
            <w:tcW w:w="1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events ("Events of</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Default" or, if the giving of notice or the lapse</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of time or both is required,</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then, prior to such notice and/or lapse of time,</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"Defaults") shall occur:</w:t>
            </w:r>
          </w:p>
        </w:tc>
        <w:tc>
          <w:tcPr>
            <w:tcW w:w="4420" w:type="dxa"/>
            <w:vAlign w:val="bottom"/>
          </w:tcPr>
          <w:p>
            <w:pPr>
              <w:spacing w:after="0"/>
              <w:rPr>
                <w:sz w:val="14"/>
                <w:szCs w:val="14"/>
                <w:color w:val="auto"/>
              </w:rPr>
            </w:pPr>
          </w:p>
        </w:tc>
      </w:tr>
    </w:tbl>
    <w:p>
      <w:pPr>
        <w:spacing w:after="0" w:line="173" w:lineRule="exact"/>
        <w:rPr>
          <w:sz w:val="20"/>
          <w:szCs w:val="20"/>
          <w:color w:val="auto"/>
        </w:rPr>
      </w:pPr>
    </w:p>
    <w:p>
      <w:pPr>
        <w:ind w:left="360" w:right="3319" w:firstLine="437"/>
        <w:spacing w:after="0" w:line="235" w:lineRule="auto"/>
        <w:tabs>
          <w:tab w:leader="none" w:pos="11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ectPr>
          <w:pgSz w:w="11900" w:h="16838" w:orient="portrait"/>
          <w:cols w:equalWidth="0" w:num="1">
            <w:col w:w="10239"/>
          </w:cols>
          <w:pgMar w:left="220" w:top="28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75</w:t>
      </w:r>
    </w:p>
    <w:p>
      <w:pPr>
        <w:ind w:left="3060"/>
        <w:spacing w:after="0" w:line="237" w:lineRule="auto"/>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left="80" w:right="3319" w:firstLine="437"/>
        <w:spacing w:after="0" w:line="236" w:lineRule="auto"/>
        <w:tabs>
          <w:tab w:leader="none" w:pos="8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3" w:lineRule="exact"/>
        <w:rPr>
          <w:rFonts w:ascii="Courier New" w:cs="Courier New" w:eastAsia="Courier New" w:hAnsi="Courier New"/>
          <w:sz w:val="15"/>
          <w:szCs w:val="15"/>
          <w:color w:val="auto"/>
        </w:rPr>
      </w:pPr>
    </w:p>
    <w:p>
      <w:pPr>
        <w:ind w:left="80" w:right="3679" w:firstLine="437"/>
        <w:spacing w:after="0" w:line="234" w:lineRule="auto"/>
        <w:tabs>
          <w:tab w:leader="none" w:pos="8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7, 8 and 9 hereof;</w:t>
      </w:r>
    </w:p>
    <w:p>
      <w:pPr>
        <w:spacing w:after="0" w:line="173" w:lineRule="exact"/>
        <w:rPr>
          <w:rFonts w:ascii="Courier New" w:cs="Courier New" w:eastAsia="Courier New" w:hAnsi="Courier New"/>
          <w:sz w:val="15"/>
          <w:szCs w:val="15"/>
          <w:color w:val="auto"/>
        </w:rPr>
      </w:pPr>
    </w:p>
    <w:p>
      <w:pPr>
        <w:ind w:left="80" w:right="3499" w:firstLine="437"/>
        <w:spacing w:after="0" w:line="236" w:lineRule="auto"/>
        <w:tabs>
          <w:tab w:leader="none" w:pos="8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4" w:lineRule="exact"/>
        <w:rPr>
          <w:rFonts w:ascii="Courier New" w:cs="Courier New" w:eastAsia="Courier New" w:hAnsi="Courier New"/>
          <w:sz w:val="15"/>
          <w:szCs w:val="15"/>
          <w:color w:val="auto"/>
        </w:rPr>
      </w:pPr>
    </w:p>
    <w:p>
      <w:pPr>
        <w:jc w:val="both"/>
        <w:ind w:left="80" w:right="3399" w:firstLine="437"/>
        <w:spacing w:after="0" w:line="235" w:lineRule="auto"/>
        <w:tabs>
          <w:tab w:leader="none" w:pos="8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5" w:lineRule="exact"/>
        <w:rPr>
          <w:rFonts w:ascii="Courier New" w:cs="Courier New" w:eastAsia="Courier New" w:hAnsi="Courier New"/>
          <w:sz w:val="15"/>
          <w:szCs w:val="15"/>
          <w:color w:val="auto"/>
        </w:rPr>
      </w:pPr>
    </w:p>
    <w:p>
      <w:pPr>
        <w:ind w:left="80" w:right="3319" w:firstLine="437"/>
        <w:spacing w:after="0" w:line="236" w:lineRule="auto"/>
        <w:tabs>
          <w:tab w:leader="none" w:pos="8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$25,000,000, or fail to observe or perform any material term, covenant or agreement contained in any one or more agreements by which it is bound, evidencing or securing any Indebtedness in an aggregate amount greater than $25,000,000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9" w:lineRule="exact"/>
        <w:rPr>
          <w:rFonts w:ascii="Courier New" w:cs="Courier New" w:eastAsia="Courier New" w:hAnsi="Courier New"/>
          <w:sz w:val="15"/>
          <w:szCs w:val="15"/>
          <w:color w:val="auto"/>
        </w:rPr>
      </w:pPr>
    </w:p>
    <w:p>
      <w:pPr>
        <w:ind w:left="80" w:right="3319" w:firstLine="437"/>
        <w:spacing w:after="0" w:line="255" w:lineRule="auto"/>
        <w:tabs>
          <w:tab w:leader="none" w:pos="86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any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Guarantors or any Material Subsidiary, or of any substantial part of the assets of the Borrower, the Guarantors or any Material Subsidiary or commences any case or other proceeding relating to the Borrower, the Guarantors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w:t>
      </w:r>
    </w:p>
    <w:p>
      <w:pPr>
        <w:sectPr>
          <w:pgSz w:w="11900" w:h="16838" w:orient="portrait"/>
          <w:cols w:equalWidth="0" w:num="1">
            <w:col w:w="9959"/>
          </w:cols>
          <w:pgMar w:left="500" w:top="281"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76</w:t>
      </w:r>
    </w:p>
    <w:p>
      <w:pPr>
        <w:jc w:val="center"/>
        <w:ind w:right="3499"/>
        <w:spacing w:after="0" w:line="237" w:lineRule="auto"/>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left="80" w:right="3499"/>
        <w:spacing w:after="0" w:line="235" w:lineRule="auto"/>
        <w:rPr>
          <w:sz w:val="20"/>
          <w:szCs w:val="20"/>
          <w:color w:val="auto"/>
        </w:rPr>
      </w:pPr>
      <w:r>
        <w:rPr>
          <w:rFonts w:ascii="Courier New" w:cs="Courier New" w:eastAsia="Courier New" w:hAnsi="Courier New"/>
          <w:sz w:val="15"/>
          <w:szCs w:val="15"/>
          <w:color w:val="auto"/>
        </w:rPr>
        <w:t>against the Borrower, the Guarantors or any Material Subsidiary or the Borrower, any Guarantor or any Material Subsidiary indicates its approval thereof, consent thereto or acquiescence therein;</w:t>
      </w:r>
    </w:p>
    <w:p>
      <w:pPr>
        <w:spacing w:after="0" w:line="174" w:lineRule="exact"/>
        <w:rPr>
          <w:sz w:val="20"/>
          <w:szCs w:val="20"/>
          <w:color w:val="auto"/>
        </w:rPr>
      </w:pPr>
    </w:p>
    <w:p>
      <w:pPr>
        <w:ind w:left="80" w:right="3319" w:firstLine="437"/>
        <w:spacing w:after="0" w:line="255" w:lineRule="auto"/>
        <w:tabs>
          <w:tab w:leader="none" w:pos="8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decree or order is entered appointing any such trustee, custodian, liquidator or receiver or adjudicating the Borrower or any Guarantor or any Material Subsidiary bankrupt or insolvent, or approving a petition in any such case or other proceeding, or a decree or order for relief is entered in respect of the Borrower or any Guarantor or any Material Subsidiary in an involuntary case under federal bankruptcy laws of any jurisdiction as now or hereafter constituted, and such decree or order remains in effect for more than 30 days, whether or not consecutive;</w:t>
      </w:r>
    </w:p>
    <w:p>
      <w:pPr>
        <w:spacing w:after="0" w:line="165" w:lineRule="exact"/>
        <w:rPr>
          <w:rFonts w:ascii="Courier New" w:cs="Courier New" w:eastAsia="Courier New" w:hAnsi="Courier New"/>
          <w:sz w:val="14"/>
          <w:szCs w:val="14"/>
          <w:color w:val="auto"/>
        </w:rPr>
      </w:pPr>
    </w:p>
    <w:p>
      <w:pPr>
        <w:ind w:left="80" w:right="3399" w:firstLine="437"/>
        <w:spacing w:after="0" w:line="236" w:lineRule="auto"/>
        <w:tabs>
          <w:tab w:leader="none" w:pos="86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$10,000,000 after taking into account any undisputed insurance coverage;</w:t>
      </w:r>
    </w:p>
    <w:p>
      <w:pPr>
        <w:spacing w:after="0" w:line="174" w:lineRule="exact"/>
        <w:rPr>
          <w:rFonts w:ascii="Courier New" w:cs="Courier New" w:eastAsia="Courier New" w:hAnsi="Courier New"/>
          <w:sz w:val="15"/>
          <w:szCs w:val="15"/>
          <w:color w:val="auto"/>
        </w:rPr>
      </w:pPr>
    </w:p>
    <w:p>
      <w:pPr>
        <w:ind w:left="80" w:right="3319" w:firstLine="437"/>
        <w:spacing w:after="0" w:line="255" w:lineRule="auto"/>
        <w:tabs>
          <w:tab w:leader="none" w:pos="8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$10,000,000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2" w:lineRule="exact"/>
        <w:rPr>
          <w:rFonts w:ascii="Courier New" w:cs="Courier New" w:eastAsia="Courier New" w:hAnsi="Courier New"/>
          <w:sz w:val="14"/>
          <w:szCs w:val="14"/>
          <w:color w:val="auto"/>
        </w:rPr>
      </w:pPr>
    </w:p>
    <w:p>
      <w:pPr>
        <w:ind w:left="80" w:right="3319" w:firstLine="437"/>
        <w:spacing w:after="0" w:line="255" w:lineRule="auto"/>
        <w:tabs>
          <w:tab w:leader="none" w:pos="8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any Guarantor, or any of their respective stockholders, or any court or any other governmental or regulatory authority or agency of competent jurisdiction shall make a determination</w:t>
      </w:r>
    </w:p>
    <w:p>
      <w:pPr>
        <w:sectPr>
          <w:pgSz w:w="11900" w:h="16838" w:orient="portrait"/>
          <w:cols w:equalWidth="0" w:num="1">
            <w:col w:w="9959"/>
          </w:cols>
          <w:pgMar w:left="50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77</w:t>
      </w:r>
    </w:p>
    <w:p>
      <w:pPr>
        <w:jc w:val="center"/>
        <w:ind w:right="3219"/>
        <w:spacing w:after="0" w:line="237" w:lineRule="auto"/>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that, or issue a judgment, order, decree or ruling to the effect that, any one or more of the Loan Documents is illegal, invalid or unenforceable in accordance with the terms thereof; or</w:t>
      </w:r>
    </w:p>
    <w:p>
      <w:pPr>
        <w:spacing w:after="0" w:line="174" w:lineRule="exact"/>
        <w:rPr>
          <w:sz w:val="20"/>
          <w:szCs w:val="20"/>
          <w:color w:val="auto"/>
        </w:rPr>
      </w:pPr>
    </w:p>
    <w:p>
      <w:pPr>
        <w:ind w:left="360" w:right="3319" w:firstLine="437"/>
        <w:spacing w:after="0" w:line="255" w:lineRule="auto"/>
        <w:tabs>
          <w:tab w:leader="none" w:pos="114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6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12.2. TERMINATION OF COMMITMENTS. If any Event of Default pursuant to Sections 12.1(g) or 12.1(h)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78</w:t>
      </w:r>
    </w:p>
    <w:p>
      <w:pPr>
        <w:ind w:left="3340"/>
        <w:spacing w:after="0" w:line="237" w:lineRule="auto"/>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right="3679" w:firstLine="350"/>
        <w:spacing w:after="0" w:line="254" w:lineRule="auto"/>
        <w:rPr>
          <w:sz w:val="20"/>
          <w:szCs w:val="20"/>
          <w:color w:val="auto"/>
        </w:rPr>
      </w:pPr>
      <w:r>
        <w:rPr>
          <w:rFonts w:ascii="Courier New" w:cs="Courier New" w:eastAsia="Courier New" w:hAnsi="Courier New"/>
          <w:sz w:val="14"/>
          <w:szCs w:val="14"/>
          <w:color w:val="auto"/>
        </w:rPr>
        <w:t>SECTION 12.3. REMEDIES. In case any one or more of the Events of Default shall have occurred and be continuing, and whether or not the Banks</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28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6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SECTION 13. SETOFF. Regardless of the adequacy of any collateral, during the continuance of an Event of Default, any deposits or other sums credited by or due from any Bank to the Borrower or any of them and any securities or other property of the Borrower or any of them in the possession</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13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14. EXPENSES. Whether or not the transactions contemplated herein shall be consummated, the Borrower hereby promises to reimburse the Administrative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79</w:t>
      </w:r>
    </w:p>
    <w:p>
      <w:pPr>
        <w:ind w:left="3340"/>
        <w:spacing w:after="0" w:line="237" w:lineRule="auto"/>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15.</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95"/>
              </w:rPr>
              <w:t>THE ADMINISTRATIVE AGENT.</w:t>
            </w:r>
          </w:p>
        </w:tc>
        <w:tc>
          <w:tcPr>
            <w:tcW w:w="2580" w:type="dxa"/>
            <w:vAlign w:val="bottom"/>
          </w:tcPr>
          <w:p>
            <w:pPr>
              <w:spacing w:after="0"/>
              <w:rPr>
                <w:sz w:val="14"/>
                <w:szCs w:val="14"/>
                <w:color w:val="auto"/>
              </w:rPr>
            </w:pP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15.1.</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APPOINTMENT, POWERS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w w:val="96"/>
              </w:rPr>
              <w:t>IMMUNITIES.  Each Bank hereby</w:t>
            </w:r>
          </w:p>
        </w:tc>
      </w:tr>
    </w:tbl>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w:t>
      </w:r>
    </w:p>
    <w:p>
      <w:pPr>
        <w:spacing w:after="0" w:line="18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15.2.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80</w:t>
      </w:r>
    </w:p>
    <w:p>
      <w:pPr>
        <w:ind w:left="3340"/>
        <w:spacing w:after="0" w:line="237" w:lineRule="auto"/>
        <w:rPr>
          <w:sz w:val="20"/>
          <w:szCs w:val="20"/>
          <w:color w:val="auto"/>
        </w:rPr>
      </w:pPr>
      <w:r>
        <w:rPr>
          <w:rFonts w:ascii="Courier New" w:cs="Courier New" w:eastAsia="Courier New" w:hAnsi="Courier New"/>
          <w:sz w:val="15"/>
          <w:szCs w:val="15"/>
          <w:color w:val="auto"/>
        </w:rPr>
        <w:t>-74-</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78"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IT BEING THE INTENT OF THE PARTIES HERETO THAT ALL SUCH INDEMNIFIED PARTIES SHALL BE INDEMNIFIED FOR THEIR ORDINARY SOLE OR CONTRIBUTORY NEGLIGENCE.</w:t>
      </w:r>
    </w:p>
    <w:p>
      <w:pPr>
        <w:spacing w:after="0" w:line="331"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81</w:t>
      </w:r>
    </w:p>
    <w:p>
      <w:pPr>
        <w:ind w:left="3340"/>
        <w:spacing w:after="0" w:line="237" w:lineRule="auto"/>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176"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SECTION 15.5. DOCUMENTS. The Administrative Agent will forward to each Bank, promptly after receipt thereof, a copy of each notice or other document furnished to the Administrative Agent for such Bank hereunder; provided, however, that, notwithstanding the foregoing, the Administrative Agent may</w:t>
      </w:r>
    </w:p>
    <w:tbl>
      <w:tblPr>
        <w:tblLayout w:type="fixed"/>
        <w:tblInd w:w="0" w:type="dxa"/>
        <w:tblCellMar>
          <w:top w:w="0" w:type="dxa"/>
          <w:left w:w="0" w:type="dxa"/>
          <w:bottom w:w="0" w:type="dxa"/>
          <w:right w:w="0" w:type="dxa"/>
        </w:tblCellMar>
      </w:tblPr>
      <w:tr>
        <w:trPr>
          <w:trHeight w:val="165"/>
        </w:trPr>
        <w:tc>
          <w:tcPr>
            <w:tcW w:w="180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8"/>
              </w:rPr>
              <w:t>furnish to the Banks</w:t>
            </w:r>
          </w:p>
        </w:tc>
        <w:tc>
          <w:tcPr>
            <w:tcW w:w="27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8"/>
              </w:rPr>
              <w:t>a monthly summary with respect</w:t>
            </w:r>
          </w:p>
        </w:tc>
        <w:tc>
          <w:tcPr>
            <w:tcW w:w="24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6"/>
              </w:rPr>
              <w:t>to Letters of Credit issued</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hereunder</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 lieu of</w:t>
            </w:r>
          </w:p>
        </w:tc>
        <w:tc>
          <w:tcPr>
            <w:tcW w:w="5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copies of the related Letter of Credit Applications.</w:t>
            </w:r>
          </w:p>
        </w:tc>
      </w:tr>
      <w:tr>
        <w:trPr>
          <w:trHeight w:val="336"/>
        </w:trPr>
        <w:tc>
          <w:tcPr>
            <w:tcW w:w="18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15.6.</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w w:val="98"/>
              </w:rPr>
              <w:t>NON-RELIANCE ON ADMINISTRATIVE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AGENT AND OTHER BANKS.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Each Bank</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represents</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that it has, independently and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without reliance on the</w:t>
            </w:r>
          </w:p>
        </w:tc>
      </w:tr>
    </w:tbl>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Administrative Agent, the Agents or any other Bank, and based on such documents and information as it has deemed appropriate, made its own appraisal of the financial condition and affairs of the Borrower and the Guarantors and the decision to enter into this Agreement and the other Loan Documents and agrees that it will, independently and without reliance upon the Administrative Agent, the Agent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Guarantors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Administrative Agent), such Bank shall be presumed to have approved the same.</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82</w:t>
      </w:r>
    </w:p>
    <w:p>
      <w:pPr>
        <w:ind w:left="3340"/>
        <w:spacing w:after="0" w:line="237" w:lineRule="auto"/>
        <w:rPr>
          <w:sz w:val="20"/>
          <w:szCs w:val="20"/>
          <w:color w:val="auto"/>
        </w:rPr>
      </w:pPr>
      <w:r>
        <w:rPr>
          <w:rFonts w:ascii="Courier New" w:cs="Courier New" w:eastAsia="Courier New" w:hAnsi="Courier New"/>
          <w:sz w:val="15"/>
          <w:szCs w:val="15"/>
          <w:color w:val="auto"/>
        </w:rPr>
        <w:t>-76-</w:t>
      </w:r>
    </w:p>
    <w:p>
      <w:pPr>
        <w:spacing w:after="0" w:line="342"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15.7.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15.7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34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15.8.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 (c) postpone any date fixed for any payment in respect</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83</w:t>
      </w:r>
    </w:p>
    <w:p>
      <w:pPr>
        <w:ind w:left="3340"/>
        <w:spacing w:after="0" w:line="237" w:lineRule="auto"/>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15.8; (f) change the Commitment Percentage of any Bank, except as permitted under Section 19 hereof, (g) change the Total Commitment Percentage of any Bank, or (h) release the Borrower or any Guarantor from its obligations hereunder (except as expressly set forth herein).</w:t>
      </w:r>
    </w:p>
    <w:p>
      <w:pPr>
        <w:spacing w:after="0" w:line="177"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16.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 shall be entitled to participate in such proceeding or litigation with counsel of their choice at their expense, provided that such counsel shall be reasonably satisfactory to the Banks or Administrative Agent. The covenants of this Section 16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338" w:lineRule="exact"/>
        <w:rPr>
          <w:sz w:val="20"/>
          <w:szCs w:val="20"/>
          <w:color w:val="auto"/>
        </w:rPr>
      </w:pPr>
    </w:p>
    <w:p>
      <w:pPr>
        <w:ind w:left="360"/>
        <w:spacing w:after="0"/>
        <w:tabs>
          <w:tab w:leader="none" w:pos="1220" w:val="left"/>
          <w:tab w:leader="none" w:pos="1660" w:val="left"/>
          <w:tab w:leader="none" w:pos="3400" w:val="left"/>
        </w:tabs>
        <w:rPr>
          <w:sz w:val="20"/>
          <w:szCs w:val="20"/>
          <w:color w:val="auto"/>
        </w:rPr>
      </w:pPr>
      <w:r>
        <w:rPr>
          <w:rFonts w:ascii="Courier New" w:cs="Courier New" w:eastAsia="Courier New" w:hAnsi="Courier New"/>
          <w:sz w:val="15"/>
          <w:szCs w:val="15"/>
          <w:color w:val="auto"/>
        </w:rPr>
        <w:t>SECTION</w:t>
        <w:tab/>
        <w:t>17.</w:t>
        <w:tab/>
        <w:t>WITHHOLDING TAXES.</w:t>
      </w:r>
      <w:r>
        <w:rPr>
          <w:sz w:val="20"/>
          <w:szCs w:val="20"/>
          <w:color w:val="auto"/>
        </w:rPr>
        <w:tab/>
      </w:r>
      <w:r>
        <w:rPr>
          <w:rFonts w:ascii="Courier New" w:cs="Courier New" w:eastAsia="Courier New" w:hAnsi="Courier New"/>
          <w:sz w:val="14"/>
          <w:szCs w:val="14"/>
          <w:color w:val="auto"/>
        </w:rPr>
        <w:t>The Borrower hereby agrees that:</w:t>
      </w:r>
    </w:p>
    <w:p>
      <w:pPr>
        <w:spacing w:after="0" w:line="173" w:lineRule="exact"/>
        <w:rPr>
          <w:sz w:val="20"/>
          <w:szCs w:val="20"/>
          <w:color w:val="auto"/>
        </w:rPr>
      </w:pPr>
    </w:p>
    <w:p>
      <w:pPr>
        <w:ind w:left="360" w:right="3319" w:firstLine="437"/>
        <w:spacing w:after="0" w:line="254" w:lineRule="auto"/>
        <w:tabs>
          <w:tab w:leader="none" w:pos="114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 (ii) franchise taxes imposed on it,</w:t>
      </w:r>
    </w:p>
    <w:p>
      <w:pPr>
        <w:ind w:left="880" w:hanging="520"/>
        <w:spacing w:after="0" w:line="237"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imposed by any jurisdiction as a direct</w:t>
      </w:r>
    </w:p>
    <w:p>
      <w:pPr>
        <w:sectPr>
          <w:pgSz w:w="11900" w:h="16838" w:orient="portrait"/>
          <w:cols w:equalWidth="0" w:num="1">
            <w:col w:w="10239"/>
          </w:cols>
          <w:pgMar w:left="220" w:top="28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84</w:t>
      </w:r>
    </w:p>
    <w:p>
      <w:pPr>
        <w:jc w:val="center"/>
        <w:ind w:right="3499"/>
        <w:spacing w:after="0" w:line="237" w:lineRule="auto"/>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left="80" w:right="3499"/>
        <w:spacing w:after="0" w:line="254" w:lineRule="auto"/>
        <w:rPr>
          <w:sz w:val="20"/>
          <w:szCs w:val="20"/>
          <w:color w:val="auto"/>
        </w:rPr>
      </w:pPr>
      <w:r>
        <w:rPr>
          <w:rFonts w:ascii="Courier New" w:cs="Courier New" w:eastAsia="Courier New" w:hAnsi="Courier New"/>
          <w:sz w:val="14"/>
          <w:szCs w:val="14"/>
          <w:color w:val="auto"/>
        </w:rPr>
        <w:t>consequence of it, or any of its affiliates, having a present or former connection with such jurisdiction, including, without limitation, being organized, existing or qualified to do business, doing business or maintaining a permanent establishment or office in such jurisdiction, and</w:t>
      </w:r>
    </w:p>
    <w:p>
      <w:pPr>
        <w:spacing w:after="0" w:line="1" w:lineRule="exact"/>
        <w:rPr>
          <w:sz w:val="20"/>
          <w:szCs w:val="20"/>
          <w:color w:val="auto"/>
        </w:rPr>
      </w:pPr>
    </w:p>
    <w:p>
      <w:pPr>
        <w:ind w:left="80" w:right="3319"/>
        <w:spacing w:after="0" w:line="254" w:lineRule="auto"/>
        <w:tabs>
          <w:tab w:leader="none" w:pos="51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346" w:lineRule="exact"/>
        <w:rPr>
          <w:rFonts w:ascii="Courier New" w:cs="Courier New" w:eastAsia="Courier New" w:hAnsi="Courier New"/>
          <w:sz w:val="14"/>
          <w:szCs w:val="14"/>
          <w:color w:val="auto"/>
        </w:rPr>
      </w:pPr>
    </w:p>
    <w:p>
      <w:pPr>
        <w:ind w:left="80" w:right="3399" w:firstLine="437"/>
        <w:spacing w:after="0" w:line="236" w:lineRule="auto"/>
        <w:tabs>
          <w:tab w:leader="none" w:pos="86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3" w:lineRule="exact"/>
        <w:rPr>
          <w:rFonts w:ascii="Courier New" w:cs="Courier New" w:eastAsia="Courier New" w:hAnsi="Courier New"/>
          <w:sz w:val="15"/>
          <w:szCs w:val="15"/>
          <w:color w:val="auto"/>
        </w:rPr>
      </w:pPr>
    </w:p>
    <w:p>
      <w:pPr>
        <w:jc w:val="center"/>
        <w:ind w:left="80" w:right="3679" w:firstLine="437"/>
        <w:spacing w:after="0" w:line="261" w:lineRule="auto"/>
        <w:tabs>
          <w:tab w:leader="none" w:pos="86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hereby indemnify and holds harmless the Administrative Agent and each Bank for the full amount of Indemnifiable</w:t>
      </w:r>
    </w:p>
    <w:p>
      <w:pPr>
        <w:sectPr>
          <w:pgSz w:w="11900" w:h="16838" w:orient="portrait"/>
          <w:cols w:equalWidth="0" w:num="1">
            <w:col w:w="9959"/>
          </w:cols>
          <w:pgMar w:left="50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85</w:t>
      </w:r>
    </w:p>
    <w:p>
      <w:pPr>
        <w:jc w:val="center"/>
        <w:ind w:right="3219"/>
        <w:spacing w:after="0" w:line="237" w:lineRule="auto"/>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left="360" w:right="3319"/>
        <w:spacing w:after="0" w:line="237" w:lineRule="auto"/>
        <w:rPr>
          <w:sz w:val="20"/>
          <w:szCs w:val="20"/>
          <w:color w:val="auto"/>
        </w:rPr>
      </w:pPr>
      <w:r>
        <w:rPr>
          <w:rFonts w:ascii="Courier New" w:cs="Courier New" w:eastAsia="Courier New" w:hAnsi="Courier New"/>
          <w:sz w:val="15"/>
          <w:szCs w:val="15"/>
          <w:color w:val="auto"/>
        </w:rPr>
        <w:t>Taxes or Other Taxes (including, without limitation, any Indemnifiable Taxes or Other Taxes imposed on amounts payable under this Section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73" w:lineRule="exact"/>
        <w:rPr>
          <w:sz w:val="20"/>
          <w:szCs w:val="20"/>
          <w:color w:val="auto"/>
        </w:rPr>
      </w:pPr>
    </w:p>
    <w:p>
      <w:pPr>
        <w:ind w:left="360" w:right="3319" w:firstLine="437"/>
        <w:spacing w:after="0" w:line="256" w:lineRule="auto"/>
        <w:tabs>
          <w:tab w:leader="none" w:pos="114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163" w:lineRule="exact"/>
        <w:rPr>
          <w:rFonts w:ascii="Courier New" w:cs="Courier New" w:eastAsia="Courier New" w:hAnsi="Courier New"/>
          <w:sz w:val="14"/>
          <w:szCs w:val="14"/>
          <w:color w:val="auto"/>
        </w:rPr>
      </w:pPr>
    </w:p>
    <w:p>
      <w:pPr>
        <w:ind w:left="360" w:right="3499" w:firstLine="437"/>
        <w:spacing w:after="0" w:line="236" w:lineRule="auto"/>
        <w:tabs>
          <w:tab w:leader="none" w:pos="114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3" w:lineRule="exact"/>
        <w:rPr>
          <w:rFonts w:ascii="Courier New" w:cs="Courier New" w:eastAsia="Courier New" w:hAnsi="Courier New"/>
          <w:sz w:val="15"/>
          <w:szCs w:val="15"/>
          <w:color w:val="auto"/>
        </w:rPr>
      </w:pPr>
    </w:p>
    <w:p>
      <w:pPr>
        <w:ind w:left="360" w:right="3499" w:firstLine="437"/>
        <w:spacing w:after="0" w:line="256" w:lineRule="auto"/>
        <w:tabs>
          <w:tab w:leader="none" w:pos="114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63" w:lineRule="exact"/>
        <w:rPr>
          <w:rFonts w:ascii="Courier New" w:cs="Courier New" w:eastAsia="Courier New" w:hAnsi="Courier New"/>
          <w:sz w:val="14"/>
          <w:szCs w:val="14"/>
          <w:color w:val="auto"/>
        </w:rPr>
      </w:pPr>
    </w:p>
    <w:p>
      <w:pPr>
        <w:ind w:left="360" w:right="3319" w:firstLine="437"/>
        <w:spacing w:after="0" w:line="258" w:lineRule="auto"/>
        <w:tabs>
          <w:tab w:leader="none" w:pos="114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parties hereunder, the agreements and obligations of the Borrower contained in this Section 17 shall survive the payment in full of the Obligations.</w:t>
      </w:r>
    </w:p>
    <w:p>
      <w:pPr>
        <w:spacing w:after="0" w:line="16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18. SURVIVAL OF COVENANTS, ETC. Unless otherwise stated herein, all covenants, agreements, representations and warranties made herein, in the other Loan Documents or in any documents or other papers delivered by or on behalf of the Borrower or any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86</w:t>
      </w:r>
    </w:p>
    <w:p>
      <w:pPr>
        <w:jc w:val="center"/>
        <w:ind w:right="3219"/>
        <w:spacing w:after="0" w:line="237" w:lineRule="auto"/>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77"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19.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to additional banks or other financial institutions with the prior written approval of the Administrative Agent and, so long as no Event of Default has occurred and is continuing, the 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$2,500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 (b) 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(c) the Administrative Agent shall distribute to the Borrower, the Banks and such bank or financial</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87</w:t>
      </w:r>
    </w:p>
    <w:p>
      <w:pPr>
        <w:jc w:val="center"/>
        <w:ind w:right="3219"/>
        <w:spacing w:after="0" w:line="237" w:lineRule="auto"/>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15.8 which require the approval of all Banks.</w:t>
      </w:r>
    </w:p>
    <w:p>
      <w:pPr>
        <w:spacing w:after="0" w:line="17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6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Anything contained in this Section 19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20.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SECTION 21.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5" w:lineRule="exact"/>
        <w:rPr>
          <w:sz w:val="20"/>
          <w:szCs w:val="20"/>
          <w:color w:val="auto"/>
        </w:rPr>
      </w:pPr>
    </w:p>
    <w:p>
      <w:pPr>
        <w:jc w:val="both"/>
        <w:ind w:left="360" w:right="3319" w:firstLine="437"/>
        <w:spacing w:after="0" w:line="235" w:lineRule="auto"/>
        <w:tabs>
          <w:tab w:leader="none" w:pos="114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Guarantors, at 1001 Fannin Street, First City Tower, Suite 4000, Houston, Texas 77002, Attention: Earl E. DeFrates, facsimile number (713) 209-9710; or</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88</w:t>
      </w:r>
    </w:p>
    <w:p>
      <w:pPr>
        <w:ind w:left="3340"/>
        <w:spacing w:after="0" w:line="237" w:lineRule="auto"/>
        <w:rPr>
          <w:sz w:val="20"/>
          <w:szCs w:val="20"/>
          <w:color w:val="auto"/>
        </w:rPr>
      </w:pPr>
      <w:r>
        <w:rPr>
          <w:rFonts w:ascii="Courier New" w:cs="Courier New" w:eastAsia="Courier New" w:hAnsi="Courier New"/>
          <w:sz w:val="15"/>
          <w:szCs w:val="15"/>
          <w:color w:val="auto"/>
        </w:rPr>
        <w:t>-82-</w:t>
      </w:r>
    </w:p>
    <w:p>
      <w:pPr>
        <w:spacing w:after="0" w:line="167" w:lineRule="exact"/>
        <w:rPr>
          <w:sz w:val="20"/>
          <w:szCs w:val="20"/>
          <w:color w:val="auto"/>
        </w:rPr>
      </w:pPr>
    </w:p>
    <w:p>
      <w:pPr>
        <w:ind w:left="1140" w:hanging="343"/>
        <w:spacing w:after="0"/>
        <w:tabs>
          <w:tab w:leader="none" w:pos="11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BOA, at Bank of America National Trust and Savings</w:t>
      </w:r>
    </w:p>
    <w:p>
      <w:pPr>
        <w:spacing w:after="0" w:line="4" w:lineRule="exact"/>
        <w:rPr>
          <w:rFonts w:ascii="Courier New" w:cs="Courier New" w:eastAsia="Courier New" w:hAnsi="Courier New"/>
          <w:sz w:val="15"/>
          <w:szCs w:val="15"/>
          <w:color w:val="auto"/>
        </w:rPr>
      </w:pPr>
    </w:p>
    <w:p>
      <w:pPr>
        <w:ind w:left="36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Association, 231 South LaSalle Street, Chicago, Illinois 60697, Attention: Robert P. Rospierski, Vice President, facsimile number (312) 828-1974; or</w:t>
      </w:r>
    </w:p>
    <w:p>
      <w:pPr>
        <w:spacing w:after="0" w:line="159" w:lineRule="exact"/>
        <w:rPr>
          <w:rFonts w:ascii="Courier New" w:cs="Courier New" w:eastAsia="Courier New" w:hAnsi="Courier New"/>
          <w:sz w:val="15"/>
          <w:szCs w:val="15"/>
          <w:color w:val="auto"/>
        </w:rPr>
      </w:pPr>
    </w:p>
    <w:p>
      <w:pPr>
        <w:jc w:val="both"/>
        <w:ind w:left="360" w:right="3319" w:firstLine="437"/>
        <w:spacing w:after="0" w:line="235" w:lineRule="auto"/>
        <w:tabs>
          <w:tab w:leader="none" w:pos="114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648-5336; or</w:t>
      </w:r>
    </w:p>
    <w:p>
      <w:pPr>
        <w:spacing w:after="0" w:line="173" w:lineRule="exact"/>
        <w:rPr>
          <w:rFonts w:ascii="Courier New" w:cs="Courier New" w:eastAsia="Courier New" w:hAnsi="Courier New"/>
          <w:sz w:val="15"/>
          <w:szCs w:val="15"/>
          <w:color w:val="auto"/>
        </w:rPr>
      </w:pPr>
    </w:p>
    <w:p>
      <w:pPr>
        <w:ind w:left="360" w:right="3399" w:firstLine="437"/>
        <w:spacing w:after="0" w:line="234" w:lineRule="auto"/>
        <w:tabs>
          <w:tab w:leader="none" w:pos="114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1 hereto;</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7"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22.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6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23. CONSENTS, ETC. Neither this Agreement nor any term hereof may be changed, waived, discharged or terminated, except as provided in this Section 23, subject to the provisions of 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89</w:t>
      </w:r>
    </w:p>
    <w:p>
      <w:pPr>
        <w:jc w:val="center"/>
        <w:ind w:right="3219"/>
        <w:spacing w:after="0" w:line="237" w:lineRule="auto"/>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24. WAIVER OF JURY TRIAL. TO THE EXTENT PERMITTED BY APPLICABLE LAW, EACH OF THE PARTIES HERETO HEREBY IRREVOCABLY WAIVES ANY AND ALL RIGHT TO A JURY TRIAL WITH RESPECT TO ANY ACTION OR CLAIM ARISING OUT OF ANY DISPUTE IN</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CONNECTION WITH THIS AGREEMENT, THE NOTES OR ANY OF THE OTHER LOAN DOCUMENTS, ANY RIGHTS OR OBLIGATIONS HEREUNDER OR THEREUNDER OR THE PERFORMANCE OF SUCH RIGHTS AND OBLIGATIONS. EXCEPT AS PROHIBITED BY LAW, THE BORROWER AND THE GUARANTORS HEREBY WAIVE ANY RIGHT ANY OF THEM MAY HAVE TO CLAIM OR RECOVER IN ANY LITIGATION REFERRED TO IN THE PRECEDING SENTENCE ANY SPECIAL, EXEMPLARY, PUNITIVE OR CONSEQUENTIAL DAMAGES OR ANY DAMAGES OTHER THAN, OR IN ADDITION TO, ACTUAL DAMAGES. THE BORROWER AND EACH OF THE GUARANTORS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6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25. GOVERNING LAW; SUBMISSION TO JURISDICTION. THIS AGREEMENT AND EACH OF THE OTHER LOAN DOCUMENTS ARE CONTRACTS UNDER THE LAWS OF THE STATE OF NEW YORK AND SHALL FOR ALL PURPOSES BE CONSTRUED IN ACCORDANCE WITH AND GOVERNED BY THE LAWS OF SAID STATE (EXCLUDING THE LAWS APPLICABLE TO CONFLICTS OR CHOICE OF LAW OTHER THAN GENERAL OBLIGATIONS LAW Section 5-1401). THE BORROWER AND THE GUARANTORS CONSENT TO THE JURISDICTION OF THE UNITED STATES DISTRICT COURT FOR THE SOUTHERN DISTRICT OF NEW YORK AND OF ANY NEW YORK STATE COURT SITTING IN THE CITY OF NEW YORK IN CONNECTION WITH ANY SUIT TO ENFORCE THE RIGHTS OF THE BANKS, THE ISSUING BANKS OR THE ADMINISTRATIVE AGENT UNDER THIS AGREEMENT OR ANY OF THE OTHER LOAN DOCUMENTS. THE BORROWER AND EACH OF THE GUARANTORS EACH IRREVOCABLY</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90</w:t>
      </w:r>
    </w:p>
    <w:p>
      <w:pPr>
        <w:jc w:val="center"/>
        <w:ind w:right="3219"/>
        <w:spacing w:after="0" w:line="237" w:lineRule="auto"/>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7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SECTION 26.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27.</w:t>
            </w:r>
          </w:p>
        </w:tc>
        <w:tc>
          <w:tcPr>
            <w:tcW w:w="5160" w:type="dxa"/>
            <w:vAlign w:val="bottom"/>
          </w:tcPr>
          <w:p>
            <w:pPr>
              <w:spacing w:after="0"/>
              <w:rPr>
                <w:sz w:val="20"/>
                <w:szCs w:val="20"/>
                <w:color w:val="auto"/>
              </w:rPr>
            </w:pPr>
            <w:r>
              <w:rPr>
                <w:rFonts w:ascii="Courier New" w:cs="Courier New" w:eastAsia="Courier New" w:hAnsi="Courier New"/>
                <w:sz w:val="15"/>
                <w:szCs w:val="15"/>
                <w:color w:val="auto"/>
              </w:rPr>
              <w:t>GUARANTY.</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w w:val="93"/>
              </w:rPr>
              <w:t>27.1.</w:t>
            </w:r>
          </w:p>
        </w:tc>
        <w:tc>
          <w:tcPr>
            <w:tcW w:w="5160" w:type="dxa"/>
            <w:vAlign w:val="bottom"/>
          </w:tcPr>
          <w:p>
            <w:pPr>
              <w:ind w:left="160"/>
              <w:spacing w:after="0"/>
              <w:rPr>
                <w:sz w:val="20"/>
                <w:szCs w:val="20"/>
                <w:color w:val="auto"/>
              </w:rPr>
            </w:pPr>
            <w:r>
              <w:rPr>
                <w:rFonts w:ascii="Courier New" w:cs="Courier New" w:eastAsia="Courier New" w:hAnsi="Courier New"/>
                <w:sz w:val="15"/>
                <w:szCs w:val="15"/>
                <w:color w:val="auto"/>
                <w:w w:val="97"/>
              </w:rPr>
              <w:t>GUARANTY.  For value received and hereby acknowledged and</w:t>
            </w:r>
          </w:p>
        </w:tc>
      </w:tr>
    </w:tbl>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an inducement to the Banks and the Issuing Banks to make the Loans available to the Borrower, and issue, extend or renew Letters of Credit for the account of the Borrower, the Guarantors each hereby unconditionally and irrevocably guarantee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8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27.2. GUARANTY ABSOLUTE. Each of the Guarantors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Guarantors under the guaranty granted under this Agreement with regard to the Guaranteed Obligations shall be absolute and unconditional irrespective of:</w:t>
      </w:r>
    </w:p>
    <w:p>
      <w:pPr>
        <w:spacing w:after="0" w:line="177" w:lineRule="exact"/>
        <w:rPr>
          <w:sz w:val="20"/>
          <w:szCs w:val="20"/>
          <w:color w:val="auto"/>
        </w:rPr>
      </w:pPr>
    </w:p>
    <w:p>
      <w:pPr>
        <w:ind w:left="360" w:right="3499" w:firstLine="437"/>
        <w:spacing w:after="0" w:line="256" w:lineRule="auto"/>
        <w:tabs>
          <w:tab w:leader="none" w:pos="11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91</w:t>
      </w:r>
    </w:p>
    <w:p>
      <w:pPr>
        <w:ind w:left="3340"/>
        <w:spacing w:after="0" w:line="237" w:lineRule="auto"/>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left="360" w:right="3319" w:firstLine="437"/>
        <w:spacing w:after="0" w:line="234" w:lineRule="auto"/>
        <w:tabs>
          <w:tab w:leader="none" w:pos="114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its Guaranteed Obligations;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2" w:lineRule="exact"/>
        <w:rPr>
          <w:rFonts w:ascii="Courier New" w:cs="Courier New" w:eastAsia="Courier New" w:hAnsi="Courier New"/>
          <w:sz w:val="15"/>
          <w:szCs w:val="15"/>
          <w:color w:val="auto"/>
        </w:rPr>
      </w:pPr>
    </w:p>
    <w:p>
      <w:pPr>
        <w:ind w:left="360" w:right="3399" w:firstLine="437"/>
        <w:spacing w:after="0" w:line="234" w:lineRule="auto"/>
        <w:tabs>
          <w:tab w:leader="none" w:pos="114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the other Guarantor; or</w:t>
      </w:r>
    </w:p>
    <w:p>
      <w:pPr>
        <w:spacing w:after="0" w:line="173" w:lineRule="exact"/>
        <w:rPr>
          <w:rFonts w:ascii="Courier New" w:cs="Courier New" w:eastAsia="Courier New" w:hAnsi="Courier New"/>
          <w:sz w:val="15"/>
          <w:szCs w:val="15"/>
          <w:color w:val="auto"/>
        </w:rPr>
      </w:pPr>
    </w:p>
    <w:p>
      <w:pPr>
        <w:ind w:left="360" w:right="3399" w:firstLine="437"/>
        <w:spacing w:after="0" w:line="235" w:lineRule="auto"/>
        <w:tabs>
          <w:tab w:leader="none" w:pos="114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any of the Borrower in respect of its Obligations under any Loan Document.</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5" w:lineRule="exact"/>
        <w:rPr>
          <w:sz w:val="20"/>
          <w:szCs w:val="20"/>
          <w:color w:val="auto"/>
        </w:rPr>
      </w:pPr>
    </w:p>
    <w:p>
      <w:pPr>
        <w:ind w:right="3679" w:firstLine="350"/>
        <w:spacing w:after="0" w:line="254" w:lineRule="auto"/>
        <w:rPr>
          <w:sz w:val="20"/>
          <w:szCs w:val="20"/>
          <w:color w:val="auto"/>
        </w:rPr>
      </w:pPr>
      <w:r>
        <w:rPr>
          <w:rFonts w:ascii="Courier New" w:cs="Courier New" w:eastAsia="Courier New" w:hAnsi="Courier New"/>
          <w:sz w:val="14"/>
          <w:szCs w:val="14"/>
          <w:color w:val="auto"/>
        </w:rPr>
        <w:t>SECTION 27.3. EFFECTIVENESS; ENFORCEMENT. The guaranty under this Agreement shall be effective and shall be deemed to be made with respect to each Loan and each Letter of Credit as of the time it is made, issued or</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Notwithstanding anything set forth in this Section 27 to the contrary, (x) Sanifill shall be released from its guaranty obligations upon the satisfaction (as determined in the Administrative Agent's judgment and evidenced by a release executed by the Administrative Agent) of the Prudential Private Placement Debt and the Sanifill Convertible Subordinated Debt, and (y) United shall be released from its guaranty obligations upon the satisfaction (as determined in the Administrative Agent's judgment and evidenced by a release executed by the Administrative Agent) of the United Indenture and the United Senior Secured Notes.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92</w:t>
      </w:r>
    </w:p>
    <w:p>
      <w:pPr>
        <w:jc w:val="center"/>
        <w:ind w:right="3219"/>
        <w:spacing w:after="0" w:line="237" w:lineRule="auto"/>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or the Banks first to exercise any rights against the Borrower, or to resort to any other source or means of obtaining payment of any of the said obligations or to elect any other remedy.</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27.4.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6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SECTION 27.5. EXPENSES. Each of the Guarantors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 based on overall income or profits, payable on or with respect to the transactions contemplated by the guaranty under this Agreement, each of the Guarantors hereby agreeing jointly and severally to indemnify each Bank with respect thereto.</w:t>
      </w:r>
    </w:p>
    <w:p>
      <w:pPr>
        <w:spacing w:after="0" w:line="325" w:lineRule="exact"/>
        <w:rPr>
          <w:sz w:val="20"/>
          <w:szCs w:val="20"/>
          <w:color w:val="auto"/>
        </w:rPr>
      </w:pPr>
    </w:p>
    <w:p>
      <w:pPr>
        <w:ind w:left="360"/>
        <w:spacing w:after="0"/>
        <w:tabs>
          <w:tab w:leader="none" w:pos="1220" w:val="left"/>
          <w:tab w:leader="none" w:pos="1820" w:val="left"/>
        </w:tabs>
        <w:rPr>
          <w:sz w:val="20"/>
          <w:szCs w:val="20"/>
          <w:color w:val="auto"/>
        </w:rPr>
      </w:pPr>
      <w:r>
        <w:rPr>
          <w:rFonts w:ascii="Courier New" w:cs="Courier New" w:eastAsia="Courier New" w:hAnsi="Courier New"/>
          <w:sz w:val="15"/>
          <w:szCs w:val="15"/>
          <w:color w:val="auto"/>
        </w:rPr>
        <w:t>SECTION</w:t>
        <w:tab/>
        <w:t>27.6.</w:t>
      </w:r>
      <w:r>
        <w:rPr>
          <w:sz w:val="20"/>
          <w:szCs w:val="20"/>
          <w:color w:val="auto"/>
        </w:rPr>
        <w:tab/>
      </w:r>
      <w:r>
        <w:rPr>
          <w:rFonts w:ascii="Courier New" w:cs="Courier New" w:eastAsia="Courier New" w:hAnsi="Courier New"/>
          <w:sz w:val="14"/>
          <w:szCs w:val="14"/>
          <w:color w:val="auto"/>
        </w:rPr>
        <w:t>CONCERNING JOINT AND SEVERAL LIABILITY OF THE GUARANTORS.</w:t>
      </w:r>
    </w:p>
    <w:p>
      <w:pPr>
        <w:spacing w:after="0" w:line="173" w:lineRule="exact"/>
        <w:rPr>
          <w:sz w:val="20"/>
          <w:szCs w:val="20"/>
          <w:color w:val="auto"/>
        </w:rPr>
      </w:pPr>
    </w:p>
    <w:p>
      <w:pPr>
        <w:ind w:left="360" w:right="3319" w:firstLine="437"/>
        <w:spacing w:after="0" w:line="255" w:lineRule="auto"/>
        <w:tabs>
          <w:tab w:leader="none" w:pos="114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Guarantors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27), it being the intention of the parties hereto that all such Guaranteed Obligations shall be the joint and several Guaranteed Obligations of such Guarantor and the Borrower without preferences or distinction among them.</w:t>
      </w:r>
    </w:p>
    <w:p>
      <w:pPr>
        <w:sectPr>
          <w:pgSz w:w="11900" w:h="16838" w:orient="portrait"/>
          <w:cols w:equalWidth="0" w:num="1">
            <w:col w:w="10239"/>
          </w:cols>
          <w:pgMar w:left="220" w:top="281"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93</w:t>
      </w:r>
    </w:p>
    <w:p>
      <w:pPr>
        <w:ind w:left="3060"/>
        <w:spacing w:after="0" w:line="237" w:lineRule="auto"/>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80" w:right="3499" w:firstLine="437"/>
        <w:spacing w:after="0" w:line="256" w:lineRule="auto"/>
        <w:tabs>
          <w:tab w:leader="none" w:pos="86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Borrower shall fail to make any payment with respect to any of its Guaranteed Obligations as and when due or to perform any of its Guaranteed Obligations in accordance with the terms thereof, then in each such event the applicable Guarantor will make such payment with respect to, or perform, such Guaranteed Obligation.</w:t>
      </w:r>
    </w:p>
    <w:p>
      <w:pPr>
        <w:spacing w:after="0" w:line="163" w:lineRule="exact"/>
        <w:rPr>
          <w:rFonts w:ascii="Courier New" w:cs="Courier New" w:eastAsia="Courier New" w:hAnsi="Courier New"/>
          <w:sz w:val="14"/>
          <w:szCs w:val="14"/>
          <w:color w:val="auto"/>
        </w:rPr>
      </w:pPr>
    </w:p>
    <w:p>
      <w:pPr>
        <w:ind w:left="80" w:right="3319" w:firstLine="437"/>
        <w:spacing w:after="0" w:line="236" w:lineRule="auto"/>
        <w:tabs>
          <w:tab w:leader="none" w:pos="86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27 constitute full recourse obligations of such Guarantor enforceable against such Guarantor to the full extent of its properties and assets, irrespective of the validity, regularity or enforceability of this Agreement or any other circumstance whatsoever.</w:t>
      </w:r>
    </w:p>
    <w:p>
      <w:pPr>
        <w:spacing w:after="0" w:line="173" w:lineRule="exact"/>
        <w:rPr>
          <w:rFonts w:ascii="Courier New" w:cs="Courier New" w:eastAsia="Courier New" w:hAnsi="Courier New"/>
          <w:sz w:val="15"/>
          <w:szCs w:val="15"/>
          <w:color w:val="auto"/>
        </w:rPr>
      </w:pPr>
    </w:p>
    <w:p>
      <w:pPr>
        <w:ind w:left="80" w:right="3319" w:firstLine="437"/>
        <w:spacing w:after="0" w:line="254" w:lineRule="auto"/>
        <w:tabs>
          <w:tab w:leader="none" w:pos="86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 Agreement, each of the Guarantors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Guarantors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any Guarantor. Without limiting the generality of the foregoing, each of the Guarantors assents to any other action or delay in acting or failure to act on the part of the Banks, the Issuing Banks or the Administrative Agent with respect to the failure by the Borrower or any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27, afford grounds for terminating, discharging or relieving the Guarantors, in whole or in part, from any of the Guaranteed Obligations under this</w:t>
      </w:r>
    </w:p>
    <w:p>
      <w:pPr>
        <w:sectPr>
          <w:pgSz w:w="11900" w:h="16838" w:orient="portrait"/>
          <w:cols w:equalWidth="0" w:num="1">
            <w:col w:w="9959"/>
          </w:cols>
          <w:pgMar w:left="500" w:top="281"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94</w:t>
      </w:r>
    </w:p>
    <w:p>
      <w:pPr>
        <w:jc w:val="center"/>
        <w:ind w:right="3499"/>
        <w:spacing w:after="0" w:line="237" w:lineRule="auto"/>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left="80" w:right="3319"/>
        <w:spacing w:after="0" w:line="255" w:lineRule="auto"/>
        <w:rPr>
          <w:sz w:val="20"/>
          <w:szCs w:val="20"/>
          <w:color w:val="auto"/>
        </w:rPr>
      </w:pPr>
      <w:r>
        <w:rPr>
          <w:rFonts w:ascii="Courier New" w:cs="Courier New" w:eastAsia="Courier New" w:hAnsi="Courier New"/>
          <w:sz w:val="14"/>
          <w:szCs w:val="14"/>
          <w:color w:val="auto"/>
        </w:rPr>
        <w:t>Section 27, it being the intention of the Guarantors that, so long as any of the Guaranteed Obligations hereunder remain unsatisfied, the Guaranteed Obligations of each of the Guarantors under this Section 27 shall not be discharged except by performance and then only to the extent of such performance. The Guaranteed Obligations of each of the Guarantors under this Section 27 shall not be diminished or rendered unenforceable by any winding up, reorganization, arrangement, liquidation, reconstruction or similar proceeding with respect to the Borrower or any of the Guarantors or the Banks, the Issuing Banks or the Administrative Agent. The joint and several liability of each of the Guarantors hereunder shall continue in full force and effect notwithstanding any absorption, merger, consolidation, amalgamation or any other change whatsoever in the name, membership, constitution or place of formation of the Borrower or the Guarantors, the Banks, the Issuing Banks or the Administrative Agent.</w:t>
      </w:r>
    </w:p>
    <w:p>
      <w:pPr>
        <w:spacing w:after="0" w:line="164" w:lineRule="exact"/>
        <w:rPr>
          <w:sz w:val="20"/>
          <w:szCs w:val="20"/>
          <w:color w:val="auto"/>
        </w:rPr>
      </w:pPr>
    </w:p>
    <w:p>
      <w:pPr>
        <w:ind w:left="80" w:right="3319" w:firstLine="437"/>
        <w:spacing w:after="0" w:line="237" w:lineRule="auto"/>
        <w:tabs>
          <w:tab w:leader="none" w:pos="86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be liable under the Guaranty under this Section 27 only for the maximum amount of such liabilities that can be incurred under applicable law without rendering this Agreement, as it relates to the guaranty under this Section 27, voidable under applicable law relating to fraudulent conveyance and fraudulent transfer, and not for any greater amount. Accordingly, if any obligation under any provision of the guaranty under this Section 27 shall be declared to be invalid or unenforceable in any respect or to any extent, it is the stated intention and agreement of the Guarantors, the Administrative Agent, the Issuing Banks and the Banks that any balance of the obligation created by such provision and all other obligations of the Guarantors under this Section 27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Guarantors, as the case may be.</w:t>
      </w:r>
    </w:p>
    <w:p>
      <w:pPr>
        <w:spacing w:after="0" w:line="174" w:lineRule="exact"/>
        <w:rPr>
          <w:rFonts w:ascii="Courier New" w:cs="Courier New" w:eastAsia="Courier New" w:hAnsi="Courier New"/>
          <w:sz w:val="15"/>
          <w:szCs w:val="15"/>
          <w:color w:val="auto"/>
        </w:rPr>
      </w:pPr>
    </w:p>
    <w:p>
      <w:pPr>
        <w:ind w:left="80" w:right="3399" w:firstLine="437"/>
        <w:spacing w:after="0" w:line="255" w:lineRule="auto"/>
        <w:tabs>
          <w:tab w:leader="none" w:pos="86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27 are made for the benefit of the Administrative Agent, the Issuing Banks and the Banks and their successors and assigns, and may be enforced in good faith by them from time to time against the Guarantors as often as occasion therefor may arise and without requirement on the part of the Administrative Agent, the Issuing Banks or the Banks first to marshal any of their claims or to exercise any of their rights against the Borrower or the Guarantors or to exhaust any remedies available to them against the Borrower or the Guarantors or to resort to any other source or means of obtaining payment of any of the obligations hereunder or to elect any other remedy. The provisions of this Section 27 shall remain in effect until all of the Guaranteed Obligations shall have been paid in full or otherwise fully satisfied and the Commitments have expired and all outstanding Letters of Credit have</w:t>
      </w:r>
    </w:p>
    <w:p>
      <w:pPr>
        <w:sectPr>
          <w:pgSz w:w="11900" w:h="16838" w:orient="portrait"/>
          <w:cols w:equalWidth="0" w:num="1">
            <w:col w:w="9959"/>
          </w:cols>
          <w:pgMar w:left="50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95</w:t>
      </w:r>
    </w:p>
    <w:p>
      <w:pPr>
        <w:ind w:left="3340"/>
        <w:spacing w:after="0" w:line="237" w:lineRule="auto"/>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ind w:left="360" w:right="3399"/>
        <w:spacing w:after="0" w:line="255" w:lineRule="auto"/>
        <w:rPr>
          <w:sz w:val="20"/>
          <w:szCs w:val="20"/>
          <w:color w:val="auto"/>
        </w:rPr>
      </w:pPr>
      <w:r>
        <w:rPr>
          <w:rFonts w:ascii="Courier New" w:cs="Courier New" w:eastAsia="Courier New" w:hAnsi="Courier New"/>
          <w:sz w:val="14"/>
          <w:szCs w:val="14"/>
          <w:color w:val="auto"/>
        </w:rPr>
        <w:t>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any of the Guarantors, or otherwise, the provisions of this Section 27 will forthwith be reinstated in effect, as though such payment had not been made.</w:t>
      </w:r>
    </w:p>
    <w:p>
      <w:pPr>
        <w:spacing w:after="0" w:line="16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27.7. WAIVER. Until the final payment and performance in full of all of the Obligations, neither of the Guarantors shall exercise and each of the Guarantors hereby waives any rights such Guarantor may have against the Borrower or the other Guarantor arising as a result of payment by such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such Guarantor will not claim any setoff, recoupment or counterclaim against the Borrower or the other Guarantor in respect of any liability of the Borrower to such Guarantor; and such Guarantor waives any benefit of and any right to participate in any collateral security which may be held by the Administrative Agent, the Issuing Banks or any Bank.</w:t>
      </w:r>
    </w:p>
    <w:p>
      <w:pPr>
        <w:spacing w:after="0" w:line="16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SECTION 27.8. SUBROGATION; SUBORDINATION. The payment of any amounts due with respect to any indebtedness of the Borrower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 or the other Guarantor to such Guarantor until all of the Obligations shall have been paid in full. If, notwithstanding the foregoing sentence, either of the Guarantors shall collect, enforce or receive any amounts in respect of such indebtedness while any Obligations are still outstanding, such amounts shall be collected, enforced and received by such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such Guarantor under the other provisions hereof.</w:t>
      </w:r>
    </w:p>
    <w:p>
      <w:pPr>
        <w:spacing w:after="0" w:line="169" w:lineRule="exact"/>
        <w:rPr>
          <w:sz w:val="20"/>
          <w:szCs w:val="20"/>
          <w:color w:val="auto"/>
        </w:rPr>
      </w:pPr>
    </w:p>
    <w:p>
      <w:pPr>
        <w:ind w:left="800" w:hanging="440"/>
        <w:spacing w:after="0"/>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 PASSU TREATMENT.</w:t>
      </w:r>
    </w:p>
    <w:p>
      <w:pPr>
        <w:spacing w:after="0" w:line="172" w:lineRule="exact"/>
        <w:rPr>
          <w:rFonts w:ascii="Courier New" w:cs="Courier New" w:eastAsia="Courier New" w:hAnsi="Courier New"/>
          <w:sz w:val="15"/>
          <w:szCs w:val="15"/>
          <w:color w:val="auto"/>
        </w:rPr>
      </w:pPr>
    </w:p>
    <w:p>
      <w:pPr>
        <w:ind w:left="360" w:right="3579" w:firstLine="437"/>
        <w:spacing w:after="0" w:line="258" w:lineRule="auto"/>
        <w:tabs>
          <w:tab w:leader="none" w:pos="1147"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herein, each payment or prepayment of principal and interest received after the occurrence of an Event of Default hereunder shall be distributed pari</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96</w:t>
      </w:r>
    </w:p>
    <w:p>
      <w:pPr>
        <w:ind w:left="3340"/>
        <w:spacing w:after="0" w:line="237" w:lineRule="auto"/>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ind w:left="360" w:right="3839"/>
        <w:spacing w:after="0" w:line="235" w:lineRule="auto"/>
        <w:rPr>
          <w:sz w:val="20"/>
          <w:szCs w:val="20"/>
          <w:color w:val="auto"/>
        </w:rPr>
      </w:pPr>
      <w:r>
        <w:rPr>
          <w:rFonts w:ascii="Courier New" w:cs="Courier New" w:eastAsia="Courier New" w:hAnsi="Courier New"/>
          <w:sz w:val="15"/>
          <w:szCs w:val="15"/>
          <w:color w:val="auto"/>
        </w:rPr>
        <w:t>passu among the Banks, in accordance with the aggregate outstanding principal amount of the Obligations owing to each Bank divided by the aggregate outstanding principal amount of all Obligations.</w:t>
      </w:r>
    </w:p>
    <w:p>
      <w:pPr>
        <w:spacing w:after="0" w:line="174" w:lineRule="exact"/>
        <w:rPr>
          <w:sz w:val="20"/>
          <w:szCs w:val="20"/>
          <w:color w:val="auto"/>
        </w:rPr>
      </w:pPr>
    </w:p>
    <w:p>
      <w:pPr>
        <w:ind w:left="360" w:right="3319" w:firstLine="437"/>
        <w:spacing w:after="0" w:line="254" w:lineRule="auto"/>
        <w:tabs>
          <w:tab w:leader="none" w:pos="114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28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SECTION   29.  FINAL AGREEMENT.  THIS AGREEMENT</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AND THE OTHER LOAN</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DOCUMENTS REPRESENT THE FINAL AGREEMENT BETWEEN THE</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PARTIES AND MAY NOT BE</w:t>
            </w:r>
          </w:p>
        </w:tc>
      </w:tr>
      <w:tr>
        <w:trPr>
          <w:trHeight w:val="168"/>
        </w:trPr>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CONTRADICTED BY EVIDENCE OF PRIOR, CONTEMPORANEOUS,</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SUBSEQUENT ORAL</w:t>
            </w:r>
          </w:p>
        </w:tc>
      </w:tr>
    </w:tbl>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AGREEMENTS OF THE PARTIES. THERE ARE NO UNWRITTEN ORAL AGREEMENTS BETWEEN THE PARTIES.</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97</w:t>
      </w:r>
    </w:p>
    <w:p>
      <w:pPr>
        <w:ind w:left="3340"/>
        <w:spacing w:after="0" w:line="237" w:lineRule="auto"/>
        <w:rPr>
          <w:sz w:val="20"/>
          <w:szCs w:val="20"/>
          <w:color w:val="auto"/>
        </w:rPr>
      </w:pPr>
      <w:r>
        <w:rPr>
          <w:rFonts w:ascii="Courier New" w:cs="Courier New" w:eastAsia="Courier New" w:hAnsi="Courier New"/>
          <w:sz w:val="15"/>
          <w:szCs w:val="15"/>
          <w:color w:val="auto"/>
        </w:rPr>
        <w:t>-91-</w:t>
      </w:r>
    </w:p>
    <w:p>
      <w:pPr>
        <w:spacing w:after="0" w:line="342"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IN WITNESS WHEREOF, the undersigned have duly executed this Agreement under seal as of the date first set forth above.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BORROWER AND GUARANTORS: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EARL E. DEFRATES</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Earl E. DeFrates</w:t>
      </w:r>
    </w:p>
    <w:p>
      <w:pPr>
        <w:ind w:left="3680"/>
        <w:spacing w:after="0" w:line="237" w:lineRule="auto"/>
        <w:rPr>
          <w:sz w:val="20"/>
          <w:szCs w:val="20"/>
          <w:color w:val="auto"/>
        </w:rPr>
      </w:pPr>
      <w:r>
        <w:rPr>
          <w:rFonts w:ascii="Courier New" w:cs="Courier New" w:eastAsia="Courier New" w:hAnsi="Courier New"/>
          <w:sz w:val="15"/>
          <w:szCs w:val="15"/>
          <w:color w:val="auto"/>
        </w:rPr>
        <w:t>Executive Vice President and CFO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SANIFILL, INC.</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EARL E DEFRATES</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Earl E. DeFrates</w:t>
      </w:r>
    </w:p>
    <w:p>
      <w:pPr>
        <w:ind w:left="3680"/>
        <w:spacing w:after="0" w:line="237" w:lineRule="auto"/>
        <w:rPr>
          <w:sz w:val="20"/>
          <w:szCs w:val="20"/>
          <w:color w:val="auto"/>
        </w:rPr>
      </w:pPr>
      <w:r>
        <w:rPr>
          <w:rFonts w:ascii="Courier New" w:cs="Courier New" w:eastAsia="Courier New" w:hAnsi="Courier New"/>
          <w:sz w:val="15"/>
          <w:szCs w:val="15"/>
          <w:color w:val="auto"/>
        </w:rPr>
        <w:t>Executive Vice President and CFO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BANKS AND AGENTS: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MORGAN GUARANTY TRUST COMPANY OF NEW</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YORK, individually and as Administrative</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Agent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CHRISTOPHER C. KUNHARDT</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tabs>
          <w:tab w:leader="none" w:pos="4280" w:val="left"/>
        </w:tabs>
        <w:rPr>
          <w:sz w:val="20"/>
          <w:szCs w:val="20"/>
          <w:color w:val="auto"/>
        </w:rPr>
      </w:pPr>
      <w:r>
        <w:rPr>
          <w:rFonts w:ascii="Courier New" w:cs="Courier New" w:eastAsia="Courier New" w:hAnsi="Courier New"/>
          <w:sz w:val="15"/>
          <w:szCs w:val="15"/>
          <w:color w:val="auto"/>
        </w:rPr>
        <w:t>Name:</w:t>
        <w:tab/>
        <w:t>Christopher C. Kunhardt</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BANK OF AMERICA NATIONAL TRUST AND</w:t>
      </w:r>
    </w:p>
    <w:p>
      <w:pPr>
        <w:ind w:left="3340"/>
        <w:spacing w:after="0" w:line="237" w:lineRule="auto"/>
        <w:rPr>
          <w:sz w:val="20"/>
          <w:szCs w:val="20"/>
          <w:color w:val="auto"/>
        </w:rPr>
      </w:pPr>
      <w:r>
        <w:rPr>
          <w:rFonts w:ascii="Courier New" w:cs="Courier New" w:eastAsia="Courier New" w:hAnsi="Courier New"/>
          <w:sz w:val="15"/>
          <w:szCs w:val="15"/>
          <w:color w:val="auto"/>
        </w:rPr>
        <w:t>SAVINGS ASSOCIATION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ROBERT P. ROSPIERSKI</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tabs>
          <w:tab w:leader="none" w:pos="4280" w:val="left"/>
        </w:tabs>
        <w:rPr>
          <w:sz w:val="20"/>
          <w:szCs w:val="20"/>
          <w:color w:val="auto"/>
        </w:rPr>
      </w:pPr>
      <w:r>
        <w:rPr>
          <w:rFonts w:ascii="Courier New" w:cs="Courier New" w:eastAsia="Courier New" w:hAnsi="Courier New"/>
          <w:sz w:val="15"/>
          <w:szCs w:val="15"/>
          <w:color w:val="auto"/>
        </w:rPr>
        <w:t>Name:</w:t>
        <w:tab/>
        <w:t>Robert P. Rospierski</w:t>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39"/>
          </w:cols>
          <w:pgMar w:left="220" w:top="281"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98</w:t>
      </w:r>
    </w:p>
    <w:p>
      <w:pPr>
        <w:ind w:left="3060"/>
        <w:spacing w:after="0" w:line="237" w:lineRule="auto"/>
        <w:rPr>
          <w:sz w:val="20"/>
          <w:szCs w:val="20"/>
          <w:color w:val="auto"/>
        </w:rPr>
      </w:pPr>
      <w:r>
        <w:rPr>
          <w:rFonts w:ascii="Courier New" w:cs="Courier New" w:eastAsia="Courier New" w:hAnsi="Courier New"/>
          <w:sz w:val="15"/>
          <w:szCs w:val="15"/>
          <w:color w:val="auto"/>
        </w:rPr>
        <w:t>-92-</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ABN AMRO BANK, N.A.</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LAURIE C. TUZO</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tab/>
        <w:t>Laurie C. Tuzo</w:t>
      </w:r>
    </w:p>
    <w:p>
      <w:pPr>
        <w:ind w:left="34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LILA JORDAN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tab/>
        <w:t>Lila Jordan</w:t>
      </w:r>
    </w:p>
    <w:p>
      <w:pPr>
        <w:ind w:left="34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BANCA COMMERCIALE ITALIANA, LOS ANGELES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FOREIGN BRANCH</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RICHARD E. IWANICKI</w:t>
      </w:r>
    </w:p>
    <w:p>
      <w:pPr>
        <w:ind w:left="3400"/>
        <w:spacing w:after="0" w:line="237" w:lineRule="auto"/>
        <w:rPr>
          <w:sz w:val="20"/>
          <w:szCs w:val="20"/>
          <w:color w:val="auto"/>
        </w:rPr>
      </w:pPr>
      <w:r>
        <w:rPr>
          <w:rFonts w:ascii="Courier New" w:cs="Courier New" w:eastAsia="Courier New" w:hAnsi="Courier New"/>
          <w:sz w:val="15"/>
          <w:szCs w:val="15"/>
          <w:color w:val="auto"/>
        </w:rPr>
        <w:t>---------------------------------</w:t>
      </w:r>
    </w:p>
    <w:p>
      <w:pPr>
        <w:ind w:left="3400"/>
        <w:spacing w:after="0" w:line="238" w:lineRule="auto"/>
        <w:tabs>
          <w:tab w:leader="none" w:pos="4000" w:val="left"/>
        </w:tabs>
        <w:rPr>
          <w:sz w:val="20"/>
          <w:szCs w:val="20"/>
          <w:color w:val="auto"/>
        </w:rPr>
      </w:pPr>
      <w:r>
        <w:rPr>
          <w:rFonts w:ascii="Courier New" w:cs="Courier New" w:eastAsia="Courier New" w:hAnsi="Courier New"/>
          <w:sz w:val="15"/>
          <w:szCs w:val="15"/>
          <w:color w:val="auto"/>
        </w:rPr>
        <w:t>Name:</w:t>
        <w:tab/>
        <w:t>Richard E. Iwanicki</w:t>
      </w:r>
    </w:p>
    <w:p>
      <w:pPr>
        <w:ind w:left="34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E. BOMBIERI</w:t>
      </w:r>
    </w:p>
    <w:p>
      <w:pPr>
        <w:ind w:left="3400"/>
        <w:spacing w:after="0" w:line="237" w:lineRule="auto"/>
        <w:rPr>
          <w:sz w:val="20"/>
          <w:szCs w:val="20"/>
          <w:color w:val="auto"/>
        </w:rPr>
      </w:pPr>
      <w:r>
        <w:rPr>
          <w:rFonts w:ascii="Courier New" w:cs="Courier New" w:eastAsia="Courier New" w:hAnsi="Courier New"/>
          <w:sz w:val="15"/>
          <w:szCs w:val="15"/>
          <w:color w:val="auto"/>
        </w:rPr>
        <w:t>---------------------------------</w:t>
      </w:r>
    </w:p>
    <w:p>
      <w:pPr>
        <w:ind w:left="3400"/>
        <w:spacing w:after="0" w:line="238" w:lineRule="auto"/>
        <w:tabs>
          <w:tab w:leader="none" w:pos="4000" w:val="left"/>
        </w:tabs>
        <w:rPr>
          <w:sz w:val="20"/>
          <w:szCs w:val="20"/>
          <w:color w:val="auto"/>
        </w:rPr>
      </w:pPr>
      <w:r>
        <w:rPr>
          <w:rFonts w:ascii="Courier New" w:cs="Courier New" w:eastAsia="Courier New" w:hAnsi="Courier New"/>
          <w:sz w:val="15"/>
          <w:szCs w:val="15"/>
          <w:color w:val="auto"/>
        </w:rPr>
        <w:t>Name:</w:t>
        <w:tab/>
        <w:t>E. Bombieri</w:t>
      </w:r>
    </w:p>
    <w:p>
      <w:pPr>
        <w:ind w:left="3400"/>
        <w:spacing w:after="0" w:line="237" w:lineRule="auto"/>
        <w:rPr>
          <w:sz w:val="20"/>
          <w:szCs w:val="20"/>
          <w:color w:val="auto"/>
        </w:rPr>
      </w:pPr>
      <w:r>
        <w:rPr>
          <w:rFonts w:ascii="Courier New" w:cs="Courier New" w:eastAsia="Courier New" w:hAnsi="Courier New"/>
          <w:sz w:val="15"/>
          <w:szCs w:val="15"/>
          <w:color w:val="auto"/>
        </w:rPr>
        <w:t>Title: Vice President &amp; Manager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BANK AUSTRIA</w:t>
      </w:r>
    </w:p>
    <w:p>
      <w:pPr>
        <w:ind w:left="3060"/>
        <w:spacing w:after="0" w:line="237" w:lineRule="auto"/>
        <w:rPr>
          <w:sz w:val="20"/>
          <w:szCs w:val="20"/>
          <w:color w:val="auto"/>
        </w:rPr>
      </w:pPr>
      <w:r>
        <w:rPr>
          <w:rFonts w:ascii="Courier New" w:cs="Courier New" w:eastAsia="Courier New" w:hAnsi="Courier New"/>
          <w:sz w:val="15"/>
          <w:szCs w:val="15"/>
          <w:color w:val="auto"/>
        </w:rPr>
        <w:t>AKTIENGESELLSCHAFT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JOSEPH A. STEINER</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tab/>
        <w:t>Joseph A. Steiner</w:t>
      </w:r>
    </w:p>
    <w:p>
      <w:pPr>
        <w:ind w:left="3400"/>
        <w:spacing w:after="0" w:line="237" w:lineRule="auto"/>
        <w:rPr>
          <w:sz w:val="20"/>
          <w:szCs w:val="20"/>
          <w:color w:val="auto"/>
        </w:rPr>
      </w:pPr>
      <w:r>
        <w:rPr>
          <w:rFonts w:ascii="Courier New" w:cs="Courier New" w:eastAsia="Courier New" w:hAnsi="Courier New"/>
          <w:sz w:val="15"/>
          <w:szCs w:val="15"/>
          <w:color w:val="auto"/>
        </w:rPr>
        <w:t>Title: Senior Vice President</w:t>
      </w:r>
    </w:p>
    <w:p>
      <w:pPr>
        <w:ind w:left="4100"/>
        <w:spacing w:after="0" w:line="238" w:lineRule="auto"/>
        <w:rPr>
          <w:sz w:val="20"/>
          <w:szCs w:val="20"/>
          <w:color w:val="auto"/>
        </w:rPr>
      </w:pPr>
      <w:r>
        <w:rPr>
          <w:rFonts w:ascii="Courier New" w:cs="Courier New" w:eastAsia="Courier New" w:hAnsi="Courier New"/>
          <w:sz w:val="15"/>
          <w:szCs w:val="15"/>
          <w:color w:val="auto"/>
        </w:rPr>
        <w:t>BANK AUSTRIA</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JEANINE BALL</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00" w:val="left"/>
        </w:tabs>
        <w:rPr>
          <w:sz w:val="20"/>
          <w:szCs w:val="20"/>
          <w:color w:val="auto"/>
        </w:rPr>
      </w:pPr>
      <w:r>
        <w:rPr>
          <w:rFonts w:ascii="Courier New" w:cs="Courier New" w:eastAsia="Courier New" w:hAnsi="Courier New"/>
          <w:sz w:val="15"/>
          <w:szCs w:val="15"/>
          <w:color w:val="auto"/>
        </w:rPr>
        <w:t>Name:</w:t>
        <w:tab/>
        <w:t>Jeanine Ball</w:t>
      </w:r>
    </w:p>
    <w:p>
      <w:pPr>
        <w:ind w:left="340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ind w:left="4100"/>
        <w:spacing w:after="0" w:line="238" w:lineRule="auto"/>
        <w:rPr>
          <w:sz w:val="20"/>
          <w:szCs w:val="20"/>
          <w:color w:val="auto"/>
        </w:rPr>
      </w:pPr>
      <w:r>
        <w:rPr>
          <w:rFonts w:ascii="Courier New" w:cs="Courier New" w:eastAsia="Courier New" w:hAnsi="Courier New"/>
          <w:sz w:val="15"/>
          <w:szCs w:val="15"/>
          <w:color w:val="auto"/>
        </w:rPr>
        <w:t>BANK AUSTRIA</w:t>
      </w:r>
    </w:p>
    <w:p>
      <w:pPr>
        <w:sectPr>
          <w:pgSz w:w="11900" w:h="16838" w:orient="portrait"/>
          <w:cols w:equalWidth="0" w:num="1">
            <w:col w:w="9959"/>
          </w:cols>
          <w:pgMar w:left="500" w:top="281"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99</w:t>
      </w:r>
    </w:p>
    <w:p>
      <w:pPr>
        <w:ind w:left="3060"/>
        <w:spacing w:after="0" w:line="237" w:lineRule="auto"/>
        <w:rPr>
          <w:sz w:val="20"/>
          <w:szCs w:val="20"/>
          <w:color w:val="auto"/>
        </w:rPr>
      </w:pPr>
      <w:r>
        <w:rPr>
          <w:rFonts w:ascii="Courier New" w:cs="Courier New" w:eastAsia="Courier New" w:hAnsi="Courier New"/>
          <w:sz w:val="15"/>
          <w:szCs w:val="15"/>
          <w:color w:val="auto"/>
        </w:rPr>
        <w:t>-93-</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BANKBOSTON, N.A.</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ARTHUR J. OBERHEIM</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Arthur J. Oberheim</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BANK OF MONTREAL</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ANGELO A. BARONE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Angelo A. Barone</w:t>
      </w:r>
    </w:p>
    <w:p>
      <w:pPr>
        <w:ind w:left="332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BANQUE NATIONALE DE PARIS</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JOHN L. STACY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L. Stacy</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WELLS FARGO BANK (TEXAS),</w:t>
      </w:r>
    </w:p>
    <w:p>
      <w:pPr>
        <w:ind w:left="3060"/>
        <w:spacing w:after="0" w:line="237" w:lineRule="auto"/>
        <w:rPr>
          <w:sz w:val="20"/>
          <w:szCs w:val="20"/>
          <w:color w:val="auto"/>
        </w:rPr>
      </w:pPr>
      <w:r>
        <w:rPr>
          <w:rFonts w:ascii="Courier New" w:cs="Courier New" w:eastAsia="Courier New" w:hAnsi="Courier New"/>
          <w:sz w:val="15"/>
          <w:szCs w:val="15"/>
          <w:color w:val="auto"/>
        </w:rPr>
        <w:t>NATIONAL ASSOCIATION</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CHRISTOPHER A. KING</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Christopher A. King</w:t>
      </w:r>
    </w:p>
    <w:p>
      <w:pPr>
        <w:ind w:left="332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F.C.H. ASHBY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F.C.H. Ashby</w:t>
      </w:r>
    </w:p>
    <w:p>
      <w:pPr>
        <w:ind w:left="3320"/>
        <w:spacing w:after="0" w:line="237" w:lineRule="auto"/>
        <w:rPr>
          <w:sz w:val="20"/>
          <w:szCs w:val="20"/>
          <w:color w:val="auto"/>
        </w:rPr>
      </w:pPr>
      <w:r>
        <w:rPr>
          <w:rFonts w:ascii="Courier New" w:cs="Courier New" w:eastAsia="Courier New" w:hAnsi="Courier New"/>
          <w:sz w:val="15"/>
          <w:szCs w:val="15"/>
          <w:color w:val="auto"/>
        </w:rPr>
        <w:t>Title: Senior Manager Loan Operations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BANK OF TOKYO-MITSUBISHI, LTD.</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J. MEARNS</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 Mearns</w:t>
      </w:r>
    </w:p>
    <w:p>
      <w:pPr>
        <w:ind w:left="3320"/>
        <w:spacing w:after="0" w:line="237" w:lineRule="auto"/>
        <w:rPr>
          <w:sz w:val="20"/>
          <w:szCs w:val="20"/>
          <w:color w:val="auto"/>
        </w:rPr>
      </w:pPr>
      <w:r>
        <w:rPr>
          <w:rFonts w:ascii="Courier New" w:cs="Courier New" w:eastAsia="Courier New" w:hAnsi="Courier New"/>
          <w:sz w:val="15"/>
          <w:szCs w:val="15"/>
          <w:color w:val="auto"/>
        </w:rPr>
        <w:t>Title: VP &amp; Manager</w:t>
      </w:r>
    </w:p>
    <w:p>
      <w:pPr>
        <w:sectPr>
          <w:pgSz w:w="11900" w:h="16838" w:orient="portrait"/>
          <w:cols w:equalWidth="0" w:num="1">
            <w:col w:w="9959"/>
          </w:cols>
          <w:pgMar w:left="500" w:top="28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100</w:t>
      </w:r>
    </w:p>
    <w:p>
      <w:pPr>
        <w:ind w:left="3060"/>
        <w:spacing w:after="0" w:line="237" w:lineRule="auto"/>
        <w:rPr>
          <w:sz w:val="20"/>
          <w:szCs w:val="20"/>
          <w:color w:val="auto"/>
        </w:rPr>
      </w:pPr>
      <w:r>
        <w:rPr>
          <w:rFonts w:ascii="Courier New" w:cs="Courier New" w:eastAsia="Courier New" w:hAnsi="Courier New"/>
          <w:sz w:val="15"/>
          <w:szCs w:val="15"/>
          <w:color w:val="auto"/>
        </w:rPr>
        <w:t>-94-</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BANK ONE, TEXAS</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SCOTT RHEA</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Scott Rhea</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BANQUE PARIBAS</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GLENN E. MEALEY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Glenn E. Mealey</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TIMOTHY A. DONNNON</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Timothy A. Donnon</w:t>
      </w:r>
    </w:p>
    <w:p>
      <w:pPr>
        <w:ind w:left="3320"/>
        <w:spacing w:after="0" w:line="237" w:lineRule="auto"/>
        <w:rPr>
          <w:sz w:val="20"/>
          <w:szCs w:val="20"/>
          <w:color w:val="auto"/>
        </w:rPr>
      </w:pPr>
      <w:r>
        <w:rPr>
          <w:rFonts w:ascii="Courier New" w:cs="Courier New" w:eastAsia="Courier New" w:hAnsi="Courier New"/>
          <w:sz w:val="15"/>
          <w:szCs w:val="15"/>
          <w:color w:val="auto"/>
        </w:rPr>
        <w:t>Title: Regional General Manager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COMERICA BANK</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REGINALD M. GOLDSMITH III</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Reginald M. Goldsmith III</w:t>
      </w:r>
    </w:p>
    <w:p>
      <w:pPr>
        <w:ind w:left="3320"/>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CIBC INC.</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TIMOTHY E. DOYLE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Timothy E. Doyle</w:t>
      </w:r>
    </w:p>
    <w:p>
      <w:pPr>
        <w:ind w:left="3320"/>
        <w:spacing w:after="0" w:line="237" w:lineRule="auto"/>
        <w:rPr>
          <w:sz w:val="20"/>
          <w:szCs w:val="20"/>
          <w:color w:val="auto"/>
        </w:rPr>
      </w:pPr>
      <w:r>
        <w:rPr>
          <w:rFonts w:ascii="Courier New" w:cs="Courier New" w:eastAsia="Courier New" w:hAnsi="Courier New"/>
          <w:sz w:val="15"/>
          <w:szCs w:val="15"/>
          <w:color w:val="auto"/>
        </w:rPr>
        <w:t>Title: Managing Director,</w:t>
      </w:r>
    </w:p>
    <w:p>
      <w:pPr>
        <w:ind w:left="3920"/>
        <w:spacing w:after="0" w:line="238" w:lineRule="auto"/>
        <w:rPr>
          <w:sz w:val="20"/>
          <w:szCs w:val="20"/>
          <w:color w:val="auto"/>
        </w:rPr>
      </w:pPr>
      <w:r>
        <w:rPr>
          <w:rFonts w:ascii="Courier New" w:cs="Courier New" w:eastAsia="Courier New" w:hAnsi="Courier New"/>
          <w:sz w:val="15"/>
          <w:szCs w:val="15"/>
          <w:color w:val="auto"/>
        </w:rPr>
        <w:t>CIBC Wood Gundy</w:t>
      </w:r>
    </w:p>
    <w:p>
      <w:pPr>
        <w:ind w:left="3920"/>
        <w:spacing w:after="0" w:line="237" w:lineRule="auto"/>
        <w:rPr>
          <w:sz w:val="20"/>
          <w:szCs w:val="20"/>
          <w:color w:val="auto"/>
        </w:rPr>
      </w:pPr>
      <w:r>
        <w:rPr>
          <w:rFonts w:ascii="Courier New" w:cs="Courier New" w:eastAsia="Courier New" w:hAnsi="Courier New"/>
          <w:sz w:val="15"/>
          <w:szCs w:val="15"/>
          <w:color w:val="auto"/>
        </w:rPr>
        <w:t>Securities Corp. as Agent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ALAIN PAPIASSE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Alain Papiasse</w:t>
      </w:r>
    </w:p>
    <w:p>
      <w:pPr>
        <w:ind w:left="332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sectPr>
          <w:pgSz w:w="11900" w:h="16838" w:orient="portrait"/>
          <w:cols w:equalWidth="0" w:num="1">
            <w:col w:w="9959"/>
          </w:cols>
          <w:pgMar w:left="500" w:top="281"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101</w:t>
      </w:r>
    </w:p>
    <w:p>
      <w:pPr>
        <w:ind w:left="3060"/>
        <w:spacing w:after="0" w:line="237" w:lineRule="auto"/>
        <w:rPr>
          <w:sz w:val="20"/>
          <w:szCs w:val="20"/>
          <w:color w:val="auto"/>
        </w:rPr>
      </w:pPr>
      <w:r>
        <w:rPr>
          <w:rFonts w:ascii="Courier New" w:cs="Courier New" w:eastAsia="Courier New" w:hAnsi="Courier New"/>
          <w:sz w:val="15"/>
          <w:szCs w:val="15"/>
          <w:color w:val="auto"/>
        </w:rPr>
        <w:t>-95-</w:t>
      </w: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DAI-ICHI KANGYO BANK, LTD.</w:t>
      </w: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/s/ MASAYOSHI KOMAKI</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Masayoshi Komaki</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DEUTSCHE BANK AG, NEW YORK AND/OR CAYMAN</w:t>
      </w:r>
    </w:p>
    <w:p>
      <w:pPr>
        <w:ind w:left="2700"/>
        <w:spacing w:after="0" w:line="237" w:lineRule="auto"/>
        <w:rPr>
          <w:sz w:val="20"/>
          <w:szCs w:val="20"/>
          <w:color w:val="auto"/>
        </w:rPr>
      </w:pPr>
      <w:r>
        <w:rPr>
          <w:rFonts w:ascii="Courier New" w:cs="Courier New" w:eastAsia="Courier New" w:hAnsi="Courier New"/>
          <w:sz w:val="15"/>
          <w:szCs w:val="15"/>
          <w:color w:val="auto"/>
        </w:rPr>
        <w:t>ISLANDS BRANCHES</w:t>
      </w: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/s/ JOHN AUGSBURGER</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John Augsburger</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/s/ ROBERT WOOD</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Robert Wood</w:t>
      </w:r>
    </w:p>
    <w:p>
      <w:pPr>
        <w:ind w:left="306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DG BANK</w:t>
      </w:r>
    </w:p>
    <w:p>
      <w:pPr>
        <w:spacing w:after="0" w:line="200" w:lineRule="exact"/>
        <w:rPr>
          <w:sz w:val="20"/>
          <w:szCs w:val="20"/>
          <w:color w:val="auto"/>
        </w:rPr>
      </w:pPr>
    </w:p>
    <w:p>
      <w:pPr>
        <w:spacing w:after="0" w:line="303" w:lineRule="exact"/>
        <w:rPr>
          <w:sz w:val="20"/>
          <w:szCs w:val="20"/>
          <w:color w:val="auto"/>
        </w:rPr>
      </w:pPr>
    </w:p>
    <w:p>
      <w:pPr>
        <w:ind w:left="2700"/>
        <w:spacing w:after="0"/>
        <w:tabs>
          <w:tab w:leader="none" w:pos="4960" w:val="left"/>
        </w:tabs>
        <w:rPr>
          <w:sz w:val="20"/>
          <w:szCs w:val="20"/>
          <w:color w:val="auto"/>
        </w:rPr>
      </w:pPr>
      <w:r>
        <w:rPr>
          <w:rFonts w:ascii="Courier New" w:cs="Courier New" w:eastAsia="Courier New" w:hAnsi="Courier New"/>
          <w:sz w:val="15"/>
          <w:szCs w:val="15"/>
          <w:color w:val="auto"/>
        </w:rPr>
        <w:t>By: /s/ MARK K. CONNOLLY</w:t>
      </w:r>
      <w:r>
        <w:rPr>
          <w:sz w:val="20"/>
          <w:szCs w:val="20"/>
          <w:color w:val="auto"/>
        </w:rPr>
        <w:tab/>
      </w:r>
      <w:r>
        <w:rPr>
          <w:rFonts w:ascii="Courier New" w:cs="Courier New" w:eastAsia="Courier New" w:hAnsi="Courier New"/>
          <w:sz w:val="14"/>
          <w:szCs w:val="14"/>
          <w:color w:val="auto"/>
        </w:rPr>
        <w:t>TREVOR H. BROOKES</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tabs>
          <w:tab w:leader="none" w:pos="5140" w:val="left"/>
        </w:tabs>
        <w:rPr>
          <w:sz w:val="20"/>
          <w:szCs w:val="20"/>
          <w:color w:val="auto"/>
        </w:rPr>
      </w:pPr>
      <w:r>
        <w:rPr>
          <w:rFonts w:ascii="Courier New" w:cs="Courier New" w:eastAsia="Courier New" w:hAnsi="Courier New"/>
          <w:sz w:val="15"/>
          <w:szCs w:val="15"/>
          <w:color w:val="auto"/>
        </w:rPr>
        <w:t>Name: Mark K. Connolly</w:t>
      </w:r>
      <w:r>
        <w:rPr>
          <w:sz w:val="20"/>
          <w:szCs w:val="20"/>
          <w:color w:val="auto"/>
        </w:rPr>
        <w:tab/>
      </w:r>
      <w:r>
        <w:rPr>
          <w:rFonts w:ascii="Courier New" w:cs="Courier New" w:eastAsia="Courier New" w:hAnsi="Courier New"/>
          <w:sz w:val="14"/>
          <w:szCs w:val="14"/>
          <w:color w:val="auto"/>
        </w:rPr>
        <w:t>Trevor H. Brookes</w:t>
      </w:r>
    </w:p>
    <w:p>
      <w:pPr>
        <w:ind w:left="3060"/>
        <w:spacing w:after="0"/>
        <w:tabs>
          <w:tab w:leader="none" w:pos="514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4"/>
          <w:szCs w:val="14"/>
          <w:color w:val="auto"/>
        </w:rPr>
        <w:t>Assistant Vice</w:t>
      </w:r>
    </w:p>
    <w:p>
      <w:pPr>
        <w:ind w:left="516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33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FIRST NATIONAL BANK OF MARYLAND</w:t>
      </w: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/s/ ANDREW W. FISH</w:t>
      </w:r>
    </w:p>
    <w:p>
      <w:pPr>
        <w:ind w:left="3060"/>
        <w:spacing w:after="0" w:line="237" w:lineRule="auto"/>
        <w:rPr>
          <w:sz w:val="20"/>
          <w:szCs w:val="20"/>
          <w:color w:val="auto"/>
        </w:rPr>
      </w:pPr>
      <w:r>
        <w:rPr>
          <w:rFonts w:ascii="Courier New" w:cs="Courier New" w:eastAsia="Courier New" w:hAnsi="Courier New"/>
          <w:sz w:val="15"/>
          <w:szCs w:val="15"/>
          <w:color w:val="auto"/>
        </w:rPr>
        <w:t>-----------------------------------</w:t>
      </w:r>
    </w:p>
    <w:p>
      <w:pPr>
        <w:ind w:left="3060"/>
        <w:spacing w:after="0" w:line="238" w:lineRule="auto"/>
        <w:tabs>
          <w:tab w:leader="none" w:pos="3640" w:val="left"/>
        </w:tabs>
        <w:rPr>
          <w:sz w:val="20"/>
          <w:szCs w:val="20"/>
          <w:color w:val="auto"/>
        </w:rPr>
      </w:pPr>
      <w:r>
        <w:rPr>
          <w:rFonts w:ascii="Courier New" w:cs="Courier New" w:eastAsia="Courier New" w:hAnsi="Courier New"/>
          <w:sz w:val="15"/>
          <w:szCs w:val="15"/>
          <w:color w:val="auto"/>
        </w:rPr>
        <w:t>Name:</w:t>
        <w:tab/>
        <w:t>Andrew W. Fish</w:t>
      </w:r>
    </w:p>
    <w:p>
      <w:pPr>
        <w:ind w:left="306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102</w:t>
      </w:r>
    </w:p>
    <w:p>
      <w:pPr>
        <w:ind w:left="3060"/>
        <w:spacing w:after="0" w:line="237" w:lineRule="auto"/>
        <w:rPr>
          <w:sz w:val="20"/>
          <w:szCs w:val="20"/>
          <w:color w:val="auto"/>
        </w:rPr>
      </w:pPr>
      <w:r>
        <w:rPr>
          <w:rFonts w:ascii="Courier New" w:cs="Courier New" w:eastAsia="Courier New" w:hAnsi="Courier New"/>
          <w:sz w:val="15"/>
          <w:szCs w:val="15"/>
          <w:color w:val="auto"/>
        </w:rPr>
        <w:t>-96-</w:t>
      </w:r>
    </w:p>
    <w:p>
      <w:pPr>
        <w:spacing w:after="0" w:line="16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FLEET BANK, N.A.</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CHRISTOPHER MAYROSE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Christopher Mayrose</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FUJI BANK, LIMITED, HOUSTON AGENCY</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P.C. LAUINGER III</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Philip C. Lauinger III</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 &amp; Manager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HIBERNIA NATIONAL BANK</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TROY J. VILLAFARRA</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Troy J. Villafarra</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INDUSTRIAL BANK OF JAPAN</w:t>
      </w:r>
    </w:p>
    <w:p>
      <w:pPr>
        <w:ind w:left="3060"/>
        <w:spacing w:after="0" w:line="237" w:lineRule="auto"/>
        <w:rPr>
          <w:sz w:val="20"/>
          <w:szCs w:val="20"/>
          <w:color w:val="auto"/>
        </w:rPr>
      </w:pPr>
      <w:r>
        <w:rPr>
          <w:rFonts w:ascii="Courier New" w:cs="Courier New" w:eastAsia="Courier New" w:hAnsi="Courier New"/>
          <w:sz w:val="15"/>
          <w:szCs w:val="15"/>
          <w:color w:val="auto"/>
        </w:rPr>
        <w:t>TRUST COMPANY</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KAZUTHOSHI KUWAHARA</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Kazuthoshi Kuwahara</w:t>
      </w:r>
    </w:p>
    <w:p>
      <w:pPr>
        <w:ind w:left="3320"/>
        <w:spacing w:after="0" w:line="237" w:lineRule="auto"/>
        <w:rPr>
          <w:sz w:val="20"/>
          <w:szCs w:val="20"/>
          <w:color w:val="auto"/>
        </w:rPr>
      </w:pPr>
      <w:r>
        <w:rPr>
          <w:rFonts w:ascii="Courier New" w:cs="Courier New" w:eastAsia="Courier New" w:hAnsi="Courier New"/>
          <w:sz w:val="15"/>
          <w:szCs w:val="15"/>
          <w:color w:val="auto"/>
        </w:rPr>
        <w:t>Title: Executive Vice President</w:t>
      </w:r>
    </w:p>
    <w:p>
      <w:pPr>
        <w:ind w:left="3920"/>
        <w:spacing w:after="0" w:line="238" w:lineRule="auto"/>
        <w:rPr>
          <w:sz w:val="20"/>
          <w:szCs w:val="20"/>
          <w:color w:val="auto"/>
        </w:rPr>
      </w:pPr>
      <w:r>
        <w:rPr>
          <w:rFonts w:ascii="Courier New" w:cs="Courier New" w:eastAsia="Courier New" w:hAnsi="Courier New"/>
          <w:sz w:val="15"/>
          <w:szCs w:val="15"/>
          <w:color w:val="auto"/>
        </w:rPr>
        <w:t>THE INDUSTRIAL BANK OF JAPAN,</w:t>
      </w:r>
    </w:p>
    <w:p>
      <w:pPr>
        <w:ind w:left="3920"/>
        <w:spacing w:after="0" w:line="237" w:lineRule="auto"/>
        <w:rPr>
          <w:sz w:val="20"/>
          <w:szCs w:val="20"/>
          <w:color w:val="auto"/>
        </w:rPr>
      </w:pPr>
      <w:r>
        <w:rPr>
          <w:rFonts w:ascii="Courier New" w:cs="Courier New" w:eastAsia="Courier New" w:hAnsi="Courier New"/>
          <w:sz w:val="15"/>
          <w:szCs w:val="15"/>
          <w:color w:val="auto"/>
        </w:rPr>
        <w:t>LIMITED, HOUSTON OFFICE</w:t>
      </w:r>
    </w:p>
    <w:p>
      <w:pPr>
        <w:ind w:left="3920"/>
        <w:spacing w:after="0" w:line="238" w:lineRule="auto"/>
        <w:rPr>
          <w:sz w:val="20"/>
          <w:szCs w:val="20"/>
          <w:color w:val="auto"/>
        </w:rPr>
      </w:pPr>
      <w:r>
        <w:rPr>
          <w:rFonts w:ascii="Courier New" w:cs="Courier New" w:eastAsia="Courier New" w:hAnsi="Courier New"/>
          <w:sz w:val="15"/>
          <w:szCs w:val="15"/>
          <w:color w:val="auto"/>
        </w:rPr>
        <w:t>(AUTHORIZED REPRESENTATIVE)</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KREDIETBANK, N.V.</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ROBERT SNAUFFER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Snauffer</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103</w:t>
      </w:r>
    </w:p>
    <w:p>
      <w:pPr>
        <w:ind w:left="3060"/>
        <w:spacing w:after="0" w:line="237" w:lineRule="auto"/>
        <w:rPr>
          <w:sz w:val="20"/>
          <w:szCs w:val="20"/>
          <w:color w:val="auto"/>
        </w:rPr>
      </w:pPr>
      <w:r>
        <w:rPr>
          <w:rFonts w:ascii="Courier New" w:cs="Courier New" w:eastAsia="Courier New" w:hAnsi="Courier New"/>
          <w:sz w:val="15"/>
          <w:szCs w:val="15"/>
          <w:color w:val="auto"/>
        </w:rPr>
        <w:t>-97-</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MITSUBISHI TRUST AND BANKING</w:t>
      </w:r>
    </w:p>
    <w:p>
      <w:pPr>
        <w:ind w:left="30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MASAAKI YAMAGISHI</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Masaaki Yamagishi</w:t>
      </w:r>
    </w:p>
    <w:p>
      <w:pPr>
        <w:ind w:left="3320"/>
        <w:spacing w:after="0" w:line="237" w:lineRule="auto"/>
        <w:rPr>
          <w:sz w:val="20"/>
          <w:szCs w:val="20"/>
          <w:color w:val="auto"/>
        </w:rPr>
      </w:pPr>
      <w:r>
        <w:rPr>
          <w:rFonts w:ascii="Courier New" w:cs="Courier New" w:eastAsia="Courier New" w:hAnsi="Courier New"/>
          <w:sz w:val="15"/>
          <w:szCs w:val="15"/>
          <w:color w:val="auto"/>
        </w:rPr>
        <w:t>Title: Chief Manager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PNC BANK, NATIONAL ASSOCIATION</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PHILIP K. LIEBSCHER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Philip K. Liebscher</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ROYAL BANK OF CANADA</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GORDON MACARTHUR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Gordon MacArthur</w:t>
      </w:r>
    </w:p>
    <w:p>
      <w:pPr>
        <w:ind w:left="332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SANWA BANK LIMITED</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TORU SAKAMURO</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Toru Sakamuro</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SUMITOMO BANK, LIMITED</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HARUMITSU SEKI</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Harumitsu Seki</w:t>
      </w:r>
    </w:p>
    <w:p>
      <w:pPr>
        <w:ind w:left="3320"/>
        <w:spacing w:after="0" w:line="237" w:lineRule="auto"/>
        <w:rPr>
          <w:sz w:val="20"/>
          <w:szCs w:val="20"/>
          <w:color w:val="auto"/>
        </w:rPr>
      </w:pPr>
      <w:r>
        <w:rPr>
          <w:rFonts w:ascii="Courier New" w:cs="Courier New" w:eastAsia="Courier New" w:hAnsi="Courier New"/>
          <w:sz w:val="15"/>
          <w:szCs w:val="15"/>
          <w:color w:val="auto"/>
        </w:rPr>
        <w:t>Title: General Manager</w:t>
      </w:r>
    </w:p>
    <w:p>
      <w:pPr>
        <w:sectPr>
          <w:pgSz w:w="11900" w:h="16838" w:orient="portrait"/>
          <w:cols w:equalWidth="0" w:num="1">
            <w:col w:w="9959"/>
          </w:cols>
          <w:pgMar w:left="500" w:top="28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104</w:t>
      </w:r>
    </w:p>
    <w:p>
      <w:pPr>
        <w:ind w:left="3060"/>
        <w:spacing w:after="0" w:line="237" w:lineRule="auto"/>
        <w:rPr>
          <w:sz w:val="20"/>
          <w:szCs w:val="20"/>
          <w:color w:val="auto"/>
        </w:rPr>
      </w:pPr>
      <w:r>
        <w:rPr>
          <w:rFonts w:ascii="Courier New" w:cs="Courier New" w:eastAsia="Courier New" w:hAnsi="Courier New"/>
          <w:sz w:val="15"/>
          <w:szCs w:val="15"/>
          <w:color w:val="auto"/>
        </w:rPr>
        <w:t>-98-</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SUNTRUST BANK, ATLANTA</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TRISHA E. HARDY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Trisha E. Hardy</w:t>
      </w:r>
    </w:p>
    <w:p>
      <w:pPr>
        <w:ind w:left="3320"/>
        <w:spacing w:after="0" w:line="237" w:lineRule="auto"/>
        <w:rPr>
          <w:sz w:val="20"/>
          <w:szCs w:val="20"/>
          <w:color w:val="auto"/>
        </w:rPr>
      </w:pPr>
      <w:r>
        <w:rPr>
          <w:rFonts w:ascii="Courier New" w:cs="Courier New" w:eastAsia="Courier New" w:hAnsi="Courier New"/>
          <w:sz w:val="15"/>
          <w:szCs w:val="15"/>
          <w:color w:val="auto"/>
        </w:rPr>
        <w:t>Title: Corporate Banking Officer</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JOHN A. FIELDS, JR.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A. Fields, Jr.</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MICHAEL ONDRUCH</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Ondruch</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TORONTO DOMINION (TEXAS), INC.</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NEVA NESBITT</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Neva Nesbitt</w:t>
      </w:r>
    </w:p>
    <w:p>
      <w:pPr>
        <w:ind w:left="332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WACHOVIA BANK, N.A.</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DAVID K. ALEXANDER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K. Alexander</w:t>
      </w:r>
    </w:p>
    <w:p>
      <w:pPr>
        <w:ind w:left="332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WESTDEUTSCHE LANDESBANK GIROZENTRALE, NEW</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YORK BRANCH</w:t>
      </w:r>
    </w:p>
    <w:p>
      <w:pPr>
        <w:spacing w:after="0" w:line="200" w:lineRule="exact"/>
        <w:rPr>
          <w:sz w:val="20"/>
          <w:szCs w:val="20"/>
          <w:color w:val="auto"/>
        </w:rPr>
      </w:pPr>
    </w:p>
    <w:p>
      <w:pPr>
        <w:spacing w:after="0" w:line="303" w:lineRule="exact"/>
        <w:rPr>
          <w:sz w:val="20"/>
          <w:szCs w:val="20"/>
          <w:color w:val="auto"/>
        </w:rPr>
      </w:pPr>
    </w:p>
    <w:p>
      <w:pPr>
        <w:ind w:left="3060"/>
        <w:spacing w:after="0"/>
        <w:tabs>
          <w:tab w:leader="none" w:pos="5480" w:val="left"/>
        </w:tabs>
        <w:rPr>
          <w:sz w:val="20"/>
          <w:szCs w:val="20"/>
          <w:color w:val="auto"/>
        </w:rPr>
      </w:pPr>
      <w:r>
        <w:rPr>
          <w:rFonts w:ascii="Courier New" w:cs="Courier New" w:eastAsia="Courier New" w:hAnsi="Courier New"/>
          <w:sz w:val="15"/>
          <w:szCs w:val="15"/>
          <w:color w:val="auto"/>
        </w:rPr>
        <w:t>By: /s/ RICHARD R. NEWMAN</w:t>
      </w:r>
      <w:r>
        <w:rPr>
          <w:sz w:val="20"/>
          <w:szCs w:val="20"/>
          <w:color w:val="auto"/>
        </w:rPr>
        <w:tab/>
      </w:r>
      <w:r>
        <w:rPr>
          <w:rFonts w:ascii="Courier New" w:cs="Courier New" w:eastAsia="Courier New" w:hAnsi="Courier New"/>
          <w:sz w:val="14"/>
          <w:szCs w:val="14"/>
          <w:color w:val="auto"/>
        </w:rPr>
        <w:t>JAMES VENEAU</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tabs>
          <w:tab w:leader="none" w:pos="3900" w:val="left"/>
          <w:tab w:leader="none" w:pos="5560" w:val="left"/>
        </w:tabs>
        <w:rPr>
          <w:sz w:val="20"/>
          <w:szCs w:val="20"/>
          <w:color w:val="auto"/>
        </w:rPr>
      </w:pPr>
      <w:r>
        <w:rPr>
          <w:rFonts w:ascii="Courier New" w:cs="Courier New" w:eastAsia="Courier New" w:hAnsi="Courier New"/>
          <w:sz w:val="15"/>
          <w:szCs w:val="15"/>
          <w:color w:val="auto"/>
        </w:rPr>
        <w:t>Name:</w:t>
        <w:tab/>
        <w:t>Richard R. Newman</w:t>
      </w:r>
      <w:r>
        <w:rPr>
          <w:sz w:val="20"/>
          <w:szCs w:val="20"/>
          <w:color w:val="auto"/>
        </w:rPr>
        <w:tab/>
      </w:r>
      <w:r>
        <w:rPr>
          <w:rFonts w:ascii="Courier New" w:cs="Courier New" w:eastAsia="Courier New" w:hAnsi="Courier New"/>
          <w:sz w:val="14"/>
          <w:szCs w:val="14"/>
          <w:color w:val="auto"/>
        </w:rPr>
        <w:t>James Veneau</w:t>
      </w:r>
    </w:p>
    <w:p>
      <w:pPr>
        <w:ind w:left="3320"/>
        <w:spacing w:after="0"/>
        <w:tabs>
          <w:tab w:leader="none" w:pos="5560" w:val="left"/>
        </w:tabs>
        <w:rPr>
          <w:sz w:val="20"/>
          <w:szCs w:val="20"/>
          <w:color w:val="auto"/>
        </w:rPr>
      </w:pPr>
      <w:r>
        <w:rPr>
          <w:rFonts w:ascii="Courier New" w:cs="Courier New" w:eastAsia="Courier New" w:hAnsi="Courier New"/>
          <w:sz w:val="15"/>
          <w:szCs w:val="15"/>
          <w:color w:val="auto"/>
        </w:rPr>
        <w:t>Title: Vice President</w:t>
      </w:r>
      <w:r>
        <w:rPr>
          <w:sz w:val="20"/>
          <w:szCs w:val="20"/>
          <w:color w:val="auto"/>
        </w:rPr>
        <w:tab/>
      </w:r>
      <w:r>
        <w:rPr>
          <w:rFonts w:ascii="Courier New" w:cs="Courier New" w:eastAsia="Courier New" w:hAnsi="Courier New"/>
          <w:sz w:val="14"/>
          <w:szCs w:val="14"/>
          <w:color w:val="auto"/>
        </w:rPr>
        <w:t>Analyst</w:t>
      </w:r>
    </w:p>
    <w:p>
      <w:pPr>
        <w:sectPr>
          <w:pgSz w:w="11900" w:h="16838" w:orient="portrait"/>
          <w:cols w:equalWidth="0" w:num="1">
            <w:col w:w="9959"/>
          </w:cols>
          <w:pgMar w:left="500" w:top="28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105</w:t>
      </w:r>
    </w:p>
    <w:p>
      <w:pPr>
        <w:ind w:left="3060"/>
        <w:spacing w:after="0" w:line="237" w:lineRule="auto"/>
        <w:rPr>
          <w:sz w:val="20"/>
          <w:szCs w:val="20"/>
          <w:color w:val="auto"/>
        </w:rPr>
      </w:pPr>
      <w:r>
        <w:rPr>
          <w:rFonts w:ascii="Courier New" w:cs="Courier New" w:eastAsia="Courier New" w:hAnsi="Courier New"/>
          <w:sz w:val="15"/>
          <w:szCs w:val="15"/>
          <w:color w:val="auto"/>
        </w:rPr>
        <w:t>-99-</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BANK OF NEW YORK</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ALAN F. LYSTER, JR.</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Alan F. Lyster, Jr.</w:t>
      </w:r>
    </w:p>
    <w:p>
      <w:pPr>
        <w:ind w:left="3320"/>
        <w:spacing w:after="0" w:line="237" w:lineRule="auto"/>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9959"/>
          </w:cols>
          <w:pgMar w:left="50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10.2</w:t>
      </w:r>
    </w:p>
    <w:p>
      <w:pPr>
        <w:spacing w:after="0" w:line="3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UNITED WASTE SYSTEMS, INC.</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BANKERS TRUST COMPANY</w:t>
      </w:r>
    </w:p>
    <w:p>
      <w:pPr>
        <w:ind w:left="298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FIRST SUPPLEMENTAL INDENTURE</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Dated as of August 26, 1997</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Supplementing and Amending Indenture Dated as of June 5,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THIS FIRST SUPPLEMENTAL INDENTURE, dated as of August 26, 1997 (the "Supplemental Indenture"), is by and among United Waste Systems, Inc., a corporation duly organized and existing under the laws of the State of Delaware (herein called "United" or the "Company"), having its principal executive office at Four Greenwich Office Park, Greenwich, Connecticut 06830. USA Waste Services, Inc., a corporation duly organized and existing under the laws of the State of Delaware (herein called "USA Waste"), having its principal executive office at First City Tower, 1001 Fannin Street, Suite 4000, Houston, Texas 77002, and Bankers Trust company, a New York banking association, as Trustee (herein called the "Trustee").</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RECITALS OF UNITED AND USA WASTE</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United has executed and delivered to the Trustee its Indenture, dated as of June 5, 1996 (herein called the "Indenture"), to provide for the issuance of $150,000,000 aggregate principal amount of its 4-1/2% Convertible Subordinated Notes Due June 1, 2001 (the "Securities").</w:t>
      </w:r>
    </w:p>
    <w:p>
      <w:pPr>
        <w:spacing w:after="0" w:line="175" w:lineRule="exact"/>
        <w:rPr>
          <w:sz w:val="20"/>
          <w:szCs w:val="20"/>
          <w:color w:val="auto"/>
        </w:rPr>
      </w:pPr>
    </w:p>
    <w:p>
      <w:pPr>
        <w:jc w:val="both"/>
        <w:ind w:right="3399" w:firstLine="700"/>
        <w:spacing w:after="0" w:line="258" w:lineRule="auto"/>
        <w:rPr>
          <w:sz w:val="20"/>
          <w:szCs w:val="20"/>
          <w:color w:val="auto"/>
        </w:rPr>
      </w:pPr>
      <w:r>
        <w:rPr>
          <w:rFonts w:ascii="Courier New" w:cs="Courier New" w:eastAsia="Courier New" w:hAnsi="Courier New"/>
          <w:sz w:val="14"/>
          <w:szCs w:val="14"/>
          <w:color w:val="auto"/>
        </w:rPr>
        <w:t>Pursuant to the Indenture, United has issued Securities in an original principal amount of $150,000,000, all of which are currently outstanding. No other securities have been issued pursuant to the Indenture.</w:t>
      </w:r>
    </w:p>
    <w:p>
      <w:pPr>
        <w:spacing w:after="0" w:line="161"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Effective as of August 26, 1997 (the "Merger Date"), Riviera Acquisition Corporation, a Delaware corporation and a wholly-owned subsidiary of USA Waste, was merged with and into United pursuant to the provisions of the General Corporation Law of the State of Delaware (the "Merger"), as a result of which United became a wholly-owned subsidiary of USA Waste.</w:t>
      </w:r>
    </w:p>
    <w:p>
      <w:pPr>
        <w:spacing w:after="0" w:line="16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Each share of common stock of United which was issued and outstanding immediately prior to the Merger was, by virtue of the Merger and without any action on the part of the holder thereof, converted into 1.075 shares of the common stock, par value $0.01 per share, of USA Waste (the "USA Waste Shares").</w:t>
      </w:r>
    </w:p>
    <w:p>
      <w:pPr>
        <w:spacing w:after="0" w:line="164" w:lineRule="exact"/>
        <w:rPr>
          <w:sz w:val="20"/>
          <w:szCs w:val="20"/>
          <w:color w:val="auto"/>
        </w:rPr>
      </w:pPr>
    </w:p>
    <w:p>
      <w:pPr>
        <w:ind w:right="3759" w:firstLine="700"/>
        <w:spacing w:after="0" w:line="236" w:lineRule="auto"/>
        <w:rPr>
          <w:sz w:val="20"/>
          <w:szCs w:val="20"/>
          <w:color w:val="auto"/>
        </w:rPr>
      </w:pPr>
      <w:r>
        <w:rPr>
          <w:rFonts w:ascii="Courier New" w:cs="Courier New" w:eastAsia="Courier New" w:hAnsi="Courier New"/>
          <w:sz w:val="15"/>
          <w:szCs w:val="15"/>
          <w:color w:val="auto"/>
        </w:rPr>
        <w:t>In connection with the Merger, United and USA Waste, pursuant to appropriate resolutions of their respective Boards of Directors, have duly determined to make, execute and deliver to the Trustee this Supplemental Indenture in order to reflect the results of the Merger as required by the Indenture.</w:t>
      </w:r>
    </w:p>
    <w:p>
      <w:pPr>
        <w:spacing w:after="0" w:line="174"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Pursuant to Section 12.11 of the Indenture, United, as the survivor in the Merger, is required to execute and deliver to the Trustee an indenture supplemental to the Indenture in connection with the Merger.</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Indenture provides that, without the consent of any Holders, United and the Trustee may enter into a supplemental indenture to make provision with respect to the conversion rights of Holders pursuant to the requirements of Article Twelve of the Indenture, and United has determined that this Supplemental Indenture may therefore be entered into without the consent of any Holder in accordance with Section 8.1(5) of the Indenture.</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United and USA Waste have duly authorized the execution and delivery of this Supplemental Indenture and all things necessary have been done to make this Supplemental Indenture a valid agreement of United and USA Waste, in accordance with its terms.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NOW, THEREFORE, THIS SUPPLEMENTAL INDENTURE WITNESSETH:</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For and in consideration of the premises, it is mutually agreed, for the equal and proportionate benefit of the respective Holders from time to time of the Securities, as follows: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ONE</w:t>
      </w:r>
    </w:p>
    <w:p>
      <w:pPr>
        <w:ind w:left="290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Indenture Terms.</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Capitalized terms used but not defined in this Supplemental Indenture have the respective meanings assigned to them in the Indenture.</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ARTICLE TWO</w:t>
      </w:r>
    </w:p>
    <w:p>
      <w:pPr>
        <w:jc w:val="center"/>
        <w:ind w:right="3499"/>
        <w:spacing w:after="0" w:line="237" w:lineRule="auto"/>
        <w:rPr>
          <w:sz w:val="20"/>
          <w:szCs w:val="20"/>
          <w:color w:val="auto"/>
        </w:rPr>
      </w:pPr>
      <w:r>
        <w:rPr>
          <w:rFonts w:ascii="Courier New" w:cs="Courier New" w:eastAsia="Courier New" w:hAnsi="Courier New"/>
          <w:sz w:val="15"/>
          <w:szCs w:val="15"/>
          <w:color w:val="auto"/>
        </w:rPr>
        <w:t>CONCERNING THE SECURITIES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Conversion Privilege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Holder of each Security Outstanding on the date hereof shall have the right from and after the date hereof, during the period such Security shall be convertible as specified in Section 12.1 of the Indenture, to convert such Security only into the number of USA Waste Shares, and cash in lieu of fractional USA Waste Shares, receivable upon the effectiveness of the Merger by a holder of the number of shares of Common Stock of the Company into which such Security might have been converted immediately prior to the Merger, subject to adjustment as provided in Section 202 below.</w:t>
      </w:r>
    </w:p>
    <w:p>
      <w:pPr>
        <w:spacing w:after="0" w:line="17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Conversion Price.</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The price at which USA Waste Shares shall be delivered upon conversion of Securities (herein called the "Conversion Price") shall be the price specified in Section 12.1 of the Indenture, as adjusted in accordance with Article Twelve of the Indenture prior to the Merger. For events subsequent to the effective date of this Supplemental Indenture, the Conversion Price shall be adjusted in a manner as nearly equivalent as may be practical to the adjustments provided for in Article Twelve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4</w:t>
      </w:r>
    </w:p>
    <w:p>
      <w:pPr>
        <w:ind w:left="2800"/>
        <w:spacing w:after="0" w:line="237" w:lineRule="auto"/>
        <w:rPr>
          <w:sz w:val="20"/>
          <w:szCs w:val="20"/>
          <w:color w:val="auto"/>
        </w:rPr>
      </w:pPr>
      <w:r>
        <w:rPr>
          <w:rFonts w:ascii="Courier New" w:cs="Courier New" w:eastAsia="Courier New" w:hAnsi="Courier New"/>
          <w:sz w:val="15"/>
          <w:szCs w:val="15"/>
          <w:color w:val="auto"/>
        </w:rPr>
        <w:t>ARTICLE THREE</w:t>
      </w:r>
    </w:p>
    <w:p>
      <w:pPr>
        <w:ind w:left="2460"/>
        <w:spacing w:after="0" w:line="238" w:lineRule="auto"/>
        <w:rPr>
          <w:sz w:val="20"/>
          <w:szCs w:val="20"/>
          <w:color w:val="auto"/>
        </w:rPr>
      </w:pPr>
      <w:r>
        <w:rPr>
          <w:rFonts w:ascii="Courier New" w:cs="Courier New" w:eastAsia="Courier New" w:hAnsi="Courier New"/>
          <w:sz w:val="15"/>
          <w:szCs w:val="15"/>
          <w:color w:val="auto"/>
        </w:rPr>
        <w:t>CONCERNING THE TRUSTEE</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Terms and Conditions.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Trustee accepts this Supplemental Indenture and agrees to perform the duties of the Trustee upon the terms and conditions herein and in the Indenture set forth.</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No Responsibility.</w:t>
      </w:r>
    </w:p>
    <w:p>
      <w:pPr>
        <w:spacing w:after="0" w:line="173"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The Trustee shall not be responsible in any manner whatsoever for or in respect of (i) the validity or sufficiency of this Supplemental Indenture, the authorization or permissibility of this Supplemental Indenture pursuant to the terms of the Indenture or the due execution thereof by United or USA Waste or</w:t>
      </w:r>
    </w:p>
    <w:p>
      <w:pPr>
        <w:spacing w:after="0" w:line="1" w:lineRule="exact"/>
        <w:rPr>
          <w:sz w:val="20"/>
          <w:szCs w:val="20"/>
          <w:color w:val="auto"/>
        </w:rPr>
      </w:pPr>
    </w:p>
    <w:p>
      <w:pPr>
        <w:ind w:right="3319" w:firstLine="10"/>
        <w:spacing w:after="0" w:line="236" w:lineRule="auto"/>
        <w:tabs>
          <w:tab w:leader="none" w:pos="43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recitals herein contained, all such recitals being made by United and USA Waste. The Trustee shall not be responsible in any manner to determine the correctness of provisions contained in this Supplemental Indenture relating either to the kind or amount of securities receivable by Holders of Securities upon the conversion of their Securities after the Merger or to any adjustment provided herein.</w:t>
      </w:r>
    </w:p>
    <w:p>
      <w:pPr>
        <w:spacing w:after="0" w:line="16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FOUR</w:t>
      </w:r>
    </w:p>
    <w:p>
      <w:pPr>
        <w:jc w:val="center"/>
        <w:ind w:right="3499"/>
        <w:spacing w:after="0" w:line="237" w:lineRule="auto"/>
        <w:rPr>
          <w:sz w:val="20"/>
          <w:szCs w:val="20"/>
          <w:color w:val="auto"/>
        </w:rPr>
      </w:pPr>
      <w:r>
        <w:rPr>
          <w:rFonts w:ascii="Courier New" w:cs="Courier New" w:eastAsia="Courier New" w:hAnsi="Courier New"/>
          <w:sz w:val="15"/>
          <w:szCs w:val="15"/>
          <w:color w:val="auto"/>
        </w:rPr>
        <w:t>EFFECT OF EXECUTION AND DELIVERY HEREOF</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From and after the execution and delivery of this Supplemental Indenture, (i) the Indenture shall be deemed to be amended and modified as provided herein, (ii) this Supplemental Indenture shall form a part of the Indenture, (iii) except as modified and amended by this Supplemental Indenture, the Indenture shall continue in full force and effect, (iv) the Securities shall continue to be governed by the Indenture, as modified and amended by this Supplemental Indenture, and (v) every Holder of Securities heretofore and hereafter authenticated and delivered under the Indenture shall be bound by this Supplemental Indenture.</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FIVE</w:t>
      </w:r>
    </w:p>
    <w:p>
      <w:pPr>
        <w:jc w:val="center"/>
        <w:ind w:right="3399"/>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Headings Descriptive.</w:t>
      </w:r>
    </w:p>
    <w:p>
      <w:pPr>
        <w:spacing w:after="0" w:line="173" w:lineRule="exact"/>
        <w:rPr>
          <w:sz w:val="20"/>
          <w:szCs w:val="20"/>
          <w:color w:val="auto"/>
        </w:rPr>
      </w:pPr>
    </w:p>
    <w:p>
      <w:pPr>
        <w:jc w:val="both"/>
        <w:ind w:right="3319" w:firstLine="700"/>
        <w:spacing w:after="0" w:line="258" w:lineRule="auto"/>
        <w:rPr>
          <w:sz w:val="20"/>
          <w:szCs w:val="20"/>
          <w:color w:val="auto"/>
        </w:rPr>
      </w:pPr>
      <w:r>
        <w:rPr>
          <w:rFonts w:ascii="Courier New" w:cs="Courier New" w:eastAsia="Courier New" w:hAnsi="Courier New"/>
          <w:sz w:val="14"/>
          <w:szCs w:val="14"/>
          <w:color w:val="auto"/>
        </w:rPr>
        <w:t>The headings of the several Articles and Sections of this Supplemental Indenture are inserted for convenience only and shall not in any way affect the meaning or construction of any provision of this Supplemental Indenture.</w:t>
      </w:r>
    </w:p>
    <w:p>
      <w:pPr>
        <w:spacing w:after="0" w:line="1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Rights and Obligations of the Trustee.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All of the provisions of the Indenture with respect to the rights, privileges, immunities, powers and duties of the Trustee shall be applicable in respect of this Supplemental Indenture as fully and with the same effect as if set forth herein in full.</w:t>
      </w:r>
    </w:p>
    <w:p>
      <w:pPr>
        <w:spacing w:after="0" w:line="1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Successors and Assigns.</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This Supplemental Indenture shall be binding upon and inure to the benefit of and be enforceable by the respective successors and assigns of the parties hereto and the Holders of any Securities then Outstanding.</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Counterparts.</w:t>
      </w:r>
    </w:p>
    <w:p>
      <w:pPr>
        <w:spacing w:after="0" w:line="173" w:lineRule="exact"/>
        <w:rPr>
          <w:sz w:val="20"/>
          <w:szCs w:val="20"/>
          <w:color w:val="auto"/>
        </w:rPr>
      </w:pPr>
    </w:p>
    <w:p>
      <w:pPr>
        <w:jc w:val="both"/>
        <w:ind w:right="3579" w:firstLine="700"/>
        <w:spacing w:after="0" w:line="235" w:lineRule="auto"/>
        <w:rPr>
          <w:sz w:val="20"/>
          <w:szCs w:val="20"/>
          <w:color w:val="auto"/>
        </w:rPr>
      </w:pPr>
      <w:r>
        <w:rPr>
          <w:rFonts w:ascii="Courier New" w:cs="Courier New" w:eastAsia="Courier New" w:hAnsi="Courier New"/>
          <w:sz w:val="15"/>
          <w:szCs w:val="15"/>
          <w:color w:val="auto"/>
        </w:rPr>
        <w:t>This Supplemental Indenture may be executed in several counterparts, each of which shall be an original and all of which shall constitute but one and the same instrument.</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839" w:firstLine="700"/>
        <w:spacing w:after="0" w:line="234" w:lineRule="auto"/>
        <w:rPr>
          <w:sz w:val="20"/>
          <w:szCs w:val="20"/>
          <w:color w:val="auto"/>
        </w:rPr>
      </w:pPr>
      <w:r>
        <w:rPr>
          <w:rFonts w:ascii="Courier New" w:cs="Courier New" w:eastAsia="Courier New" w:hAnsi="Courier New"/>
          <w:sz w:val="15"/>
          <w:szCs w:val="15"/>
          <w:color w:val="auto"/>
        </w:rPr>
        <w:t>This Supplemental Indenture shall be governed by and construed in accordance with the laws of the State of New York.</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99" w:firstLine="700"/>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Supplemental Indenture to be duly executed, and their respective corporate seals to be hereunto affixed and attested, all as of the day and year first above written.</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UNITED WASTE SYSTEMS, INC.</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 w:leader="none" w:pos="43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BRADLEY S. JACOBS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tabs>
          <w:tab w:leader="none" w:pos="4360" w:val="left"/>
        </w:tabs>
        <w:rPr>
          <w:sz w:val="20"/>
          <w:szCs w:val="20"/>
          <w:color w:val="auto"/>
        </w:rPr>
      </w:pPr>
      <w:r>
        <w:rPr>
          <w:rFonts w:ascii="Courier New" w:cs="Courier New" w:eastAsia="Courier New" w:hAnsi="Courier New"/>
          <w:sz w:val="15"/>
          <w:szCs w:val="15"/>
          <w:color w:val="auto"/>
        </w:rPr>
        <w:t>Name:</w:t>
        <w:tab/>
        <w:t>Bradley S. Jacobs</w:t>
      </w:r>
    </w:p>
    <w:p>
      <w:pPr>
        <w:ind w:left="3780"/>
        <w:spacing w:after="0" w:line="237" w:lineRule="auto"/>
        <w:rPr>
          <w:sz w:val="20"/>
          <w:szCs w:val="20"/>
          <w:color w:val="auto"/>
        </w:rPr>
      </w:pPr>
      <w:r>
        <w:rPr>
          <w:rFonts w:ascii="Courier New" w:cs="Courier New" w:eastAsia="Courier New" w:hAnsi="Courier New"/>
          <w:sz w:val="15"/>
          <w:szCs w:val="15"/>
          <w:color w:val="auto"/>
        </w:rPr>
        <w:t>Title: Chairman of the Board and</w:t>
      </w:r>
    </w:p>
    <w:p>
      <w:pPr>
        <w:ind w:left="438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tabs>
          <w:tab w:leader="none" w:pos="420" w:val="left"/>
          <w:tab w:leader="none" w:pos="8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JOHN N. MILNE</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tabs>
          <w:tab w:leader="none" w:pos="860" w:val="left"/>
        </w:tabs>
        <w:rPr>
          <w:sz w:val="20"/>
          <w:szCs w:val="20"/>
          <w:color w:val="auto"/>
        </w:rPr>
      </w:pPr>
      <w:r>
        <w:rPr>
          <w:rFonts w:ascii="Courier New" w:cs="Courier New" w:eastAsia="Courier New" w:hAnsi="Courier New"/>
          <w:sz w:val="15"/>
          <w:szCs w:val="15"/>
          <w:color w:val="auto"/>
        </w:rPr>
        <w:t>NAME:</w:t>
        <w:tab/>
        <w:t>John N. Milne</w:t>
      </w:r>
    </w:p>
    <w:p>
      <w:pPr>
        <w:ind w:left="28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 w:leader="none" w:pos="43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EARL E. DEFRATES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tabs>
          <w:tab w:leader="none" w:pos="4360" w:val="left"/>
        </w:tabs>
        <w:rPr>
          <w:sz w:val="20"/>
          <w:szCs w:val="20"/>
          <w:color w:val="auto"/>
        </w:rPr>
      </w:pPr>
      <w:r>
        <w:rPr>
          <w:rFonts w:ascii="Courier New" w:cs="Courier New" w:eastAsia="Courier New" w:hAnsi="Courier New"/>
          <w:sz w:val="15"/>
          <w:szCs w:val="15"/>
          <w:color w:val="auto"/>
        </w:rPr>
        <w:t>Name:</w:t>
        <w:tab/>
        <w:t>Earl E. DeFrates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Chief Financial Officer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03" w:lineRule="exact"/>
        <w:rPr>
          <w:sz w:val="20"/>
          <w:szCs w:val="20"/>
          <w:color w:val="auto"/>
        </w:rPr>
      </w:pPr>
    </w:p>
    <w:p>
      <w:pPr>
        <w:spacing w:after="0"/>
        <w:tabs>
          <w:tab w:leader="none" w:pos="420" w:val="left"/>
          <w:tab w:leader="none" w:pos="8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GREGORY T. SANGALIS</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tabs>
          <w:tab w:leader="none" w:pos="860" w:val="left"/>
        </w:tabs>
        <w:rPr>
          <w:sz w:val="20"/>
          <w:szCs w:val="20"/>
          <w:color w:val="auto"/>
        </w:rPr>
      </w:pPr>
      <w:r>
        <w:rPr>
          <w:rFonts w:ascii="Courier New" w:cs="Courier New" w:eastAsia="Courier New" w:hAnsi="Courier New"/>
          <w:sz w:val="15"/>
          <w:szCs w:val="15"/>
          <w:color w:val="auto"/>
        </w:rPr>
        <w:t>Name:</w:t>
        <w:tab/>
        <w:t>Gregory T. Sangalis</w:t>
      </w:r>
    </w:p>
    <w:p>
      <w:pPr>
        <w:ind w:left="280"/>
        <w:spacing w:after="0" w:line="237" w:lineRule="auto"/>
        <w:rPr>
          <w:sz w:val="20"/>
          <w:szCs w:val="20"/>
          <w:color w:val="auto"/>
        </w:rPr>
      </w:pPr>
      <w:r>
        <w:rPr>
          <w:rFonts w:ascii="Courier New" w:cs="Courier New" w:eastAsia="Courier New" w:hAnsi="Courier New"/>
          <w:sz w:val="15"/>
          <w:szCs w:val="15"/>
          <w:color w:val="auto"/>
        </w:rPr>
        <w:t>Title: Vice President, General</w:t>
      </w:r>
    </w:p>
    <w:p>
      <w:pPr>
        <w:ind w:left="880"/>
        <w:spacing w:after="0" w:line="238" w:lineRule="auto"/>
        <w:rPr>
          <w:sz w:val="20"/>
          <w:szCs w:val="20"/>
          <w:color w:val="auto"/>
        </w:rPr>
      </w:pPr>
      <w:r>
        <w:rPr>
          <w:rFonts w:ascii="Courier New" w:cs="Courier New" w:eastAsia="Courier New" w:hAnsi="Courier New"/>
          <w:sz w:val="15"/>
          <w:szCs w:val="15"/>
          <w:color w:val="auto"/>
        </w:rPr>
        <w:t>Counsel and Secretary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BANKERS TRUST COMPANY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SUSAN JOHNSON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Susan Johnson</w:t>
      </w:r>
    </w:p>
    <w:p>
      <w:pPr>
        <w:ind w:left="3780"/>
        <w:spacing w:after="0" w:line="237"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STATE OF TEXAS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HARRIS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1400" w:space="700"/>
            <w:col w:w="8139"/>
          </w:cols>
          <w:pgMar w:left="220" w:top="281" w:right="1440" w:bottom="1440" w:gutter="0" w:footer="0" w:header="0"/>
        </w:sect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On the 26th day of August, 1997, before me personally came Bradley S. Jacobs, to me known, who, being by me duly sworn, did depose and say that he is Chairman of the Board and Chief Executive Officer of United Waste Systems,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DEBORAH S. BRIGGS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[NOTARY SEAL]</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line="509" w:lineRule="auto"/>
        <w:rPr>
          <w:sz w:val="20"/>
          <w:szCs w:val="20"/>
          <w:color w:val="auto"/>
        </w:rPr>
      </w:pPr>
      <w:r>
        <w:rPr>
          <w:rFonts w:ascii="Courier New" w:cs="Courier New" w:eastAsia="Courier New" w:hAnsi="Courier New"/>
          <w:sz w:val="14"/>
          <w:szCs w:val="14"/>
          <w:color w:val="auto"/>
        </w:rPr>
        <w:t>STATE OF TEXAS COUNTY OF HARRIS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1400" w:space="700"/>
            <w:col w:w="8139"/>
          </w:cols>
          <w:pgMar w:left="220" w:top="281" w:right="1440" w:bottom="1440" w:gutter="0" w:footer="0" w:header="0"/>
          <w:type w:val="continuous"/>
        </w:sect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On the 26th day of August, 1997, before me personally came Earl E. DeFrates, to me known, who, being by me duly sworn, did depose and say that he is Executive Vice President and Chief Financial Officer of USA Waste Services,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DEBORAH S. BRIGGS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[NOTARY SEAL]</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line="509"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1580" w:space="520"/>
            <w:col w:w="8139"/>
          </w:cols>
          <w:pgMar w:left="220" w:top="281" w:right="1440" w:bottom="1440" w:gutter="0" w:footer="0" w:header="0"/>
          <w:type w:val="continuous"/>
        </w:sect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On the 26th day of August, 1997, before me personally came Susan Johnson, to me known, who, being by me duly sworn, did depose and say that she is Assistant Vice President of Bankers Trust Company, Inc., one of the corporations described in and which executed the foregoing instrument; that she knows the seal of said corporation; that the seal affixed to said instrument is such corporate seal; that it was so affixed by authority of the Board of Directors of said corporation; and that she signed her name thereto by like authority.</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MARGARET BEREZA</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[NOTARY SEAL]</w:t>
      </w:r>
    </w:p>
    <w:p>
      <w:pPr>
        <w:sectPr>
          <w:pgSz w:w="11900" w:h="16838" w:orient="portrait"/>
          <w:cols w:equalWidth="0" w:num="1">
            <w:col w:w="10239"/>
          </w:cols>
          <w:pgMar w:left="220" w:top="281" w:right="1440" w:bottom="1440" w:gutter="0" w:footer="0" w:header="0"/>
          <w:type w:val="continuous"/>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S-3, No. 333-00097, No. 333-08573, No. 333-17421, No. 333-32471, No.</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333-33889) of USA Waste Services, Inc. and the related Prospectuses, and in the Registration Statements (Form S-4, No. 333-31979, No. 333-32805) of USA</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Waste Services, Inc., and the related Prospectuses, and in the Registration Statements (Form S-8, No. 33-43619, No. 33-59807, No. 33-61621, No. 33-61625, No. 33-61627, No. 33-72436, No. 33-84988, No. 33-84990, No. 333-02181, No.</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333-08161, No. 333-14115, No. 333-14613, No. 333-34819) of USA Waste Services, Inc., and the related Prospectuses of our report, dated February 21, 1997, except for Note 13, as to which the date is March 25, 1997, with respect to the consolidated financial statements of United Waste Systems, Inc. for the year ended December 31, 1996, in this Current Report on Form 8-K, dated August 26, 1997.</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MetroPark, New Jersey</w:t>
      </w:r>
    </w:p>
    <w:p>
      <w:pPr>
        <w:spacing w:after="0" w:line="237" w:lineRule="auto"/>
        <w:rPr>
          <w:sz w:val="20"/>
          <w:szCs w:val="20"/>
          <w:color w:val="auto"/>
        </w:rPr>
      </w:pPr>
      <w:r>
        <w:rPr>
          <w:rFonts w:ascii="Courier New" w:cs="Courier New" w:eastAsia="Courier New" w:hAnsi="Courier New"/>
          <w:sz w:val="15"/>
          <w:szCs w:val="15"/>
          <w:color w:val="auto"/>
        </w:rPr>
        <w:t>August 29, 1997</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lowerLetter"/>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o"/>
      <w:numFmt w:val="bullet"/>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lowerRoman"/>
      <w:start w:val="2"/>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lowerLetter"/>
      <w:start w:val="2"/>
    </w:lvl>
  </w:abstractNum>
  <w:abstractNum w:abstractNumId="8">
    <w:nsid w:val="79A1DEAA"/>
    <w:multiLevelType w:val="hybridMultilevel"/>
    <w:lvl w:ilvl="0">
      <w:lvlJc w:val="left"/>
      <w:lvlText w:val="o"/>
      <w:numFmt w:val="bullet"/>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2"/>
    </w:lvl>
  </w:abstractNum>
  <w:abstractNum w:abstractNumId="11">
    <w:nsid w:val="70C6A529"/>
    <w:multiLevelType w:val="hybridMultilevel"/>
    <w:lvl w:ilvl="0">
      <w:lvlJc w:val="left"/>
      <w:lvlText w:val="(%1)"/>
      <w:numFmt w:val="lowerLetter"/>
      <w:start w:val="1"/>
    </w:lvl>
  </w:abstractNum>
  <w:abstractNum w:abstractNumId="12">
    <w:nsid w:val="520EEDD1"/>
    <w:multiLevelType w:val="hybridMultilevel"/>
    <w:lvl w:ilvl="0">
      <w:lvlJc w:val="left"/>
      <w:lvlText w:val="(%1)"/>
      <w:numFmt w:val="lowerLetter"/>
      <w:start w:val="4"/>
    </w:lvl>
  </w:abstractNum>
  <w:abstractNum w:abstractNumId="13">
    <w:nsid w:val="374A3FE6"/>
    <w:multiLevelType w:val="hybridMultilevel"/>
    <w:lvl w:ilvl="0">
      <w:lvlJc w:val="left"/>
      <w:lvlText w:val="(%1)"/>
      <w:numFmt w:val="lowerLetter"/>
      <w:start w:val="3"/>
    </w:lvl>
  </w:abstractNum>
  <w:abstractNum w:abstractNumId="14">
    <w:nsid w:val="4F4EF005"/>
    <w:multiLevelType w:val="hybridMultilevel"/>
    <w:lvl w:ilvl="0">
      <w:lvlJc w:val="left"/>
      <w:lvlText w:val="(%1)"/>
      <w:numFmt w:val="decimal"/>
      <w:start w:val="3"/>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1)"/>
      <w:numFmt w:val="upperLetter"/>
      <w:start w:val="3"/>
    </w:lvl>
  </w:abstractNum>
  <w:abstractNum w:abstractNumId="17">
    <w:nsid w:val="275AC794"/>
    <w:multiLevelType w:val="hybridMultilevel"/>
    <w:lvl w:ilvl="0">
      <w:lvlJc w:val="left"/>
      <w:lvlText w:val="(%1)"/>
      <w:numFmt w:val="lowerLetter"/>
      <w:start w:val="5"/>
    </w:lvl>
  </w:abstractNum>
  <w:abstractNum w:abstractNumId="18">
    <w:nsid w:val="39386575"/>
    <w:multiLevelType w:val="hybridMultilevel"/>
    <w:lvl w:ilvl="0">
      <w:lvlJc w:val="left"/>
      <w:lvlText w:val="(%1)"/>
      <w:numFmt w:val="lowerRoman"/>
      <w:start w:val="2"/>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lowerLetter"/>
      <w:start w:val="1"/>
    </w:lvl>
  </w:abstractNum>
  <w:abstractNum w:abstractNumId="21">
    <w:nsid w:val="235BA861"/>
    <w:multiLevelType w:val="hybridMultilevel"/>
    <w:lvl w:ilvl="0">
      <w:lvlJc w:val="left"/>
      <w:lvlText w:val="(%1)"/>
      <w:numFmt w:val="lowerLetter"/>
      <w:start w:val="1"/>
    </w:lvl>
  </w:abstractNum>
  <w:abstractNum w:abstractNumId="22">
    <w:nsid w:val="47398C89"/>
    <w:multiLevelType w:val="hybridMultilevel"/>
    <w:lvl w:ilvl="0">
      <w:lvlJc w:val="left"/>
      <w:lvlText w:val="(%1)"/>
      <w:numFmt w:val="lowerLetter"/>
      <w:start w:val="2"/>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lowerLetter"/>
      <w:start w:val="1"/>
    </w:lvl>
    <w:lvl w:ilvl="1">
      <w:lvlJc w:val="left"/>
      <w:lvlText w:val="(%2)"/>
      <w:numFmt w:val="lowerLetter"/>
      <w:start w:val="1"/>
    </w:lvl>
  </w:abstractNum>
  <w:abstractNum w:abstractNumId="28">
    <w:nsid w:val="3F6AB60F"/>
    <w:multiLevelType w:val="hybridMultilevel"/>
    <w:lvl w:ilvl="0">
      <w:lvlJc w:val="left"/>
      <w:lvlText w:val="(%1)"/>
      <w:numFmt w:val="lowerLetter"/>
      <w:start w:val="2"/>
    </w:lvl>
    <w:lvl w:ilvl="1">
      <w:lvlJc w:val="left"/>
      <w:lvlText w:val="(%2)"/>
      <w:numFmt w:val="lowerLetter"/>
      <w:start w:val="2"/>
    </w:lvl>
  </w:abstractNum>
  <w:abstractNum w:abstractNumId="29">
    <w:nsid w:val="61574095"/>
    <w:multiLevelType w:val="hybridMultilevel"/>
    <w:lvl w:ilvl="0">
      <w:lvlJc w:val="left"/>
      <w:lvlText w:val="(%1)"/>
      <w:numFmt w:val="lowerLetter"/>
      <w:start w:val="3"/>
    </w:lvl>
  </w:abstractNum>
  <w:abstractNum w:abstractNumId="30">
    <w:nsid w:val="7E0C57B1"/>
    <w:multiLevelType w:val="hybridMultilevel"/>
    <w:lvl w:ilvl="0">
      <w:lvlJc w:val="left"/>
      <w:lvlText w:val="%1"/>
      <w:numFmt w:val="lowerLetter"/>
      <w:start w:val="1"/>
    </w:lvl>
    <w:lvl w:ilvl="1">
      <w:lvlJc w:val="left"/>
      <w:lvlText w:val="(%2)"/>
      <w:numFmt w:val="lowerLetter"/>
      <w:start w:val="1"/>
    </w:lvl>
  </w:abstractNum>
  <w:abstractNum w:abstractNumId="31">
    <w:nsid w:val="77AE35EB"/>
    <w:multiLevelType w:val="hybridMultilevel"/>
    <w:lvl w:ilvl="0">
      <w:lvlJc w:val="left"/>
      <w:lvlText w:val="(%1)"/>
      <w:numFmt w:val="lowerLetter"/>
      <w:start w:val="35"/>
    </w:lvl>
    <w:lvl w:ilvl="1">
      <w:lvlJc w:val="left"/>
      <w:lvlText w:val="(%2)"/>
      <w:numFmt w:val="lowerLetter"/>
      <w:start w:val="2"/>
    </w:lvl>
  </w:abstractNum>
  <w:abstractNum w:abstractNumId="32">
    <w:nsid w:val="579BE4F1"/>
    <w:multiLevelType w:val="hybridMultilevel"/>
    <w:lvl w:ilvl="0">
      <w:lvlJc w:val="left"/>
      <w:lvlText w:val="(%1)"/>
      <w:numFmt w:val="lowerLetter"/>
      <w:start w:val="3"/>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decimal"/>
      <w:start w:val="1"/>
    </w:lvl>
    <w:lvl w:ilvl="1">
      <w:lvlJc w:val="left"/>
      <w:lvlText w:val="(%2)"/>
      <w:numFmt w:val="lowerLetter"/>
      <w:start w:val="3"/>
    </w:lvl>
  </w:abstractNum>
  <w:abstractNum w:abstractNumId="35">
    <w:nsid w:val="2F305DEF"/>
    <w:multiLevelType w:val="hybridMultilevel"/>
    <w:lvl w:ilvl="0">
      <w:lvlJc w:val="left"/>
      <w:lvlText w:val="(%1)"/>
      <w:numFmt w:val="decimal"/>
      <w:start w:val="1"/>
    </w:lvl>
    <w:lvl w:ilvl="1">
      <w:lvlJc w:val="left"/>
      <w:lvlText w:val="%2"/>
      <w:numFmt w:val="lowerLetter"/>
      <w:start w:val="1"/>
    </w:lvl>
  </w:abstractNum>
  <w:abstractNum w:abstractNumId="36">
    <w:nsid w:val="25A70BF7"/>
    <w:multiLevelType w:val="hybridMultilevel"/>
    <w:lvl w:ilvl="0">
      <w:lvlJc w:val="left"/>
      <w:lvlText w:val="(%1)"/>
      <w:numFmt w:val="lowerLetter"/>
      <w:start w:val="4"/>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decimal"/>
      <w:start w:val="18"/>
    </w:lvl>
    <w:lvl w:ilvl="1">
      <w:lvlJc w:val="left"/>
      <w:lvlText w:val="(%2)"/>
      <w:numFmt w:val="lowerLetter"/>
      <w:start w:val="2"/>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2"/>
    </w:lvl>
  </w:abstractNum>
  <w:abstractNum w:abstractNumId="41">
    <w:nsid w:val="5DB70AE5"/>
    <w:multiLevelType w:val="hybridMultilevel"/>
    <w:lvl w:ilvl="0">
      <w:lvlJc w:val="left"/>
      <w:lvlText w:val="%1"/>
      <w:numFmt w:val="lowerLetter"/>
      <w:start w:val="1"/>
    </w:lvl>
    <w:lvl w:ilvl="1">
      <w:lvlJc w:val="left"/>
      <w:lvlText w:val="(%2)"/>
      <w:numFmt w:val="lowerLetter"/>
      <w:start w:val="1"/>
    </w:lvl>
  </w:abstractNum>
  <w:abstractNum w:abstractNumId="42">
    <w:nsid w:val="100F8FCA"/>
    <w:multiLevelType w:val="hybridMultilevel"/>
    <w:lvl w:ilvl="0">
      <w:lvlJc w:val="left"/>
      <w:lvlText w:val="(%1)"/>
      <w:numFmt w:val="lowerLetter"/>
      <w:start w:val="2"/>
    </w:lvl>
    <w:lvl w:ilvl="1">
      <w:lvlJc w:val="left"/>
      <w:lvlText w:val="%2"/>
      <w:numFmt w:val="lowerLetter"/>
      <w:start w:val="1"/>
    </w:lvl>
  </w:abstractNum>
  <w:abstractNum w:abstractNumId="43">
    <w:nsid w:val="6590700B"/>
    <w:multiLevelType w:val="hybridMultilevel"/>
    <w:lvl w:ilvl="0">
      <w:lvlJc w:val="left"/>
      <w:lvlText w:val="(%1)"/>
      <w:numFmt w:val="lowerLetter"/>
      <w:start w:val="2"/>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Roman"/>
      <w:start w:val="1"/>
    </w:lvl>
  </w:abstractNum>
  <w:abstractNum w:abstractNumId="46">
    <w:nsid w:val="98A3148"/>
    <w:multiLevelType w:val="hybridMultilevel"/>
    <w:lvl w:ilvl="0">
      <w:lvlJc w:val="left"/>
      <w:lvlText w:val="(%1)"/>
      <w:numFmt w:val="lowerLetter"/>
      <w:start w:val="2"/>
    </w:lvl>
  </w:abstractNum>
  <w:abstractNum w:abstractNumId="47">
    <w:nsid w:val="799D0247"/>
    <w:multiLevelType w:val="hybridMultilevel"/>
    <w:lvl w:ilvl="0">
      <w:lvlJc w:val="left"/>
      <w:lvlText w:val="(%1)"/>
      <w:numFmt w:val="lowerLetter"/>
      <w:start w:val="1"/>
    </w:lvl>
    <w:lvl w:ilvl="1">
      <w:lvlJc w:val="left"/>
      <w:lvlText w:val="(%2)"/>
      <w:numFmt w:val="lowerRoman"/>
      <w:start w:val="1"/>
    </w:lvl>
  </w:abstractNum>
  <w:abstractNum w:abstractNumId="48">
    <w:nsid w:val="6B94764"/>
    <w:multiLevelType w:val="hybridMultilevel"/>
    <w:lvl w:ilvl="0">
      <w:lvlJc w:val="left"/>
      <w:lvlText w:val="(%1)"/>
      <w:numFmt w:val="lowerLetter"/>
      <w:start w:val="24"/>
    </w:lvl>
    <w:lvl w:ilvl="1">
      <w:lvlJc w:val="left"/>
      <w:lvlText w:val="(%2)"/>
      <w:numFmt w:val="lowerRoman"/>
      <w:start w:val="3"/>
    </w:lvl>
  </w:abstractNum>
  <w:abstractNum w:abstractNumId="49">
    <w:nsid w:val="42C296BD"/>
    <w:multiLevelType w:val="hybridMultilevel"/>
    <w:lvl w:ilvl="0">
      <w:lvlJc w:val="left"/>
      <w:lvlText w:val="(%1)"/>
      <w:numFmt w:val="lowerRoman"/>
      <w:start w:val="5"/>
    </w:lvl>
  </w:abstractNum>
  <w:abstractNum w:abstractNumId="50">
    <w:nsid w:val="168E121F"/>
    <w:multiLevelType w:val="hybridMultilevel"/>
    <w:lvl w:ilvl="0">
      <w:lvlJc w:val="left"/>
      <w:lvlText w:val="(%1)"/>
      <w:numFmt w:val="lowerLetter"/>
      <w:start w:val="3"/>
    </w:lvl>
    <w:lvl w:ilvl="1">
      <w:lvlJc w:val="left"/>
      <w:lvlText w:val="(%2)"/>
      <w:numFmt w:val="lowerRoman"/>
      <w:start w:val="1"/>
    </w:lvl>
  </w:abstractNum>
  <w:abstractNum w:abstractNumId="51">
    <w:nsid w:val="1EBA5D23"/>
    <w:multiLevelType w:val="hybridMultilevel"/>
    <w:lvl w:ilvl="0">
      <w:lvlJc w:val="left"/>
      <w:lvlText w:val="(%1)"/>
      <w:numFmt w:val="upperLetter"/>
      <w:start w:val="3"/>
    </w:lvl>
  </w:abstractNum>
  <w:abstractNum w:abstractNumId="52">
    <w:nsid w:val="661E3F1E"/>
    <w:multiLevelType w:val="hybridMultilevel"/>
    <w:lvl w:ilvl="0">
      <w:lvlJc w:val="left"/>
      <w:lvlText w:val="(%1)"/>
      <w:numFmt w:val="lowerRoman"/>
      <w:start w:val="1"/>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decimal"/>
      <w:start w:val="2"/>
    </w:lvl>
    <w:lvl w:ilvl="1">
      <w:lvlJc w:val="left"/>
      <w:lvlText w:val="(%2)"/>
      <w:numFmt w:val="lowerLetter"/>
      <w:start w:val="2"/>
    </w:lvl>
  </w:abstractNum>
  <w:abstractNum w:abstractNumId="55">
    <w:nsid w:val="7BD3EE7B"/>
    <w:multiLevelType w:val="hybridMultilevel"/>
    <w:lvl w:ilvl="0">
      <w:lvlJc w:val="left"/>
      <w:lvlText w:val="(%1)"/>
      <w:numFmt w:val="lowerLetter"/>
      <w:start w:val="3"/>
    </w:lvl>
  </w:abstractNum>
  <w:abstractNum w:abstractNumId="56">
    <w:nsid w:val="51D9C564"/>
    <w:multiLevelType w:val="hybridMultilevel"/>
    <w:lvl w:ilvl="0">
      <w:lvlJc w:val="left"/>
      <w:lvlText w:val="(%1)"/>
      <w:numFmt w:val="lowerLetter"/>
      <w:start w:val="1"/>
    </w:lvl>
    <w:lvl w:ilvl="1">
      <w:lvlJc w:val="left"/>
      <w:lvlText w:val="(%2)"/>
      <w:numFmt w:val="lowerRoman"/>
      <w:start w:val="1"/>
    </w:lvl>
  </w:abstractNum>
  <w:abstractNum w:abstractNumId="57">
    <w:nsid w:val="613EFDC5"/>
    <w:multiLevelType w:val="hybridMultilevel"/>
    <w:lvl w:ilvl="0">
      <w:lvlJc w:val="left"/>
      <w:lvlText w:val="(%1)"/>
      <w:numFmt w:val="lowerRoman"/>
      <w:start w:val="3"/>
    </w:lvl>
  </w:abstractNum>
  <w:abstractNum w:abstractNumId="58">
    <w:nsid w:val="BF72B14"/>
    <w:multiLevelType w:val="hybridMultilevel"/>
    <w:lvl w:ilvl="0">
      <w:lvlJc w:val="left"/>
      <w:lvlText w:val="%1"/>
      <w:numFmt w:val="lowerLetter"/>
      <w:start w:val="1"/>
    </w:lvl>
    <w:lvl w:ilvl="1">
      <w:lvlJc w:val="left"/>
      <w:lvlText w:val="(%2)"/>
      <w:numFmt w:val="lowerLetter"/>
      <w:start w:val="1"/>
    </w:lvl>
  </w:abstractNum>
  <w:abstractNum w:abstractNumId="59">
    <w:nsid w:val="11447B73"/>
    <w:multiLevelType w:val="hybridMultilevel"/>
    <w:lvl w:ilvl="0">
      <w:lvlJc w:val="left"/>
      <w:lvlText w:val="(%1)"/>
      <w:numFmt w:val="lowerLetter"/>
      <w:start w:val="35"/>
    </w:lvl>
    <w:lvl w:ilvl="1">
      <w:lvlJc w:val="left"/>
      <w:lvlText w:val="(%2)"/>
      <w:numFmt w:val="lowerLetter"/>
      <w:start w:val="3"/>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2"/>
    </w:lvl>
  </w:abstractNum>
  <w:abstractNum w:abstractNumId="63">
    <w:nsid w:val="1A32234B"/>
    <w:multiLevelType w:val="hybridMultilevel"/>
    <w:lvl w:ilvl="0">
      <w:lvlJc w:val="left"/>
      <w:lvlText w:val="(%1)"/>
      <w:numFmt w:val="lowerLetter"/>
      <w:start w:val="4"/>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2"/>
    </w:lvl>
  </w:abstractNum>
  <w:abstractNum w:abstractNumId="66">
    <w:nsid w:val="4962813B"/>
    <w:multiLevelType w:val="hybridMultilevel"/>
    <w:lvl w:ilvl="0">
      <w:lvlJc w:val="left"/>
      <w:lvlText w:val="(%1)"/>
      <w:numFmt w:val="lowerLetter"/>
      <w:start w:val="4"/>
    </w:lvl>
  </w:abstractNum>
  <w:abstractNum w:abstractNumId="67">
    <w:nsid w:val="60B6DF70"/>
    <w:multiLevelType w:val="hybridMultilevel"/>
    <w:lvl w:ilvl="0">
      <w:lvlJc w:val="left"/>
      <w:lvlText w:val="(%1)"/>
      <w:numFmt w:val="lowerLetter"/>
      <w:start w:val="1"/>
    </w:lvl>
    <w:lvl w:ilvl="1">
      <w:lvlJc w:val="left"/>
      <w:lvlText w:val="(%2)"/>
      <w:numFmt w:val="lowerRoman"/>
      <w:start w:val="1"/>
    </w:lvl>
  </w:abstractNum>
  <w:abstractNum w:abstractNumId="68">
    <w:nsid w:val="6A5EE64"/>
    <w:multiLevelType w:val="hybridMultilevel"/>
    <w:lvl w:ilvl="0">
      <w:lvlJc w:val="left"/>
      <w:lvlText w:val="(%1)"/>
      <w:numFmt w:val="upperLetter"/>
      <w:start w:val="3"/>
    </w:lvl>
    <w:lvl w:ilvl="1">
      <w:lvlJc w:val="left"/>
      <w:lvlText w:val="(%2)"/>
      <w:numFmt w:val="lowerRoman"/>
      <w:start w:val="4"/>
    </w:lvl>
  </w:abstractNum>
  <w:abstractNum w:abstractNumId="69">
    <w:nsid w:val="14330624"/>
    <w:multiLevelType w:val="hybridMultilevel"/>
    <w:lvl w:ilvl="0">
      <w:lvlJc w:val="left"/>
      <w:lvlText w:val="(%1)"/>
      <w:numFmt w:val="lowerLetter"/>
      <w:start w:val="1"/>
    </w:lvl>
    <w:lvl w:ilvl="1">
      <w:lvlJc w:val="left"/>
      <w:lvlText w:val="(%2)"/>
      <w:numFmt w:val="lowerLetter"/>
      <w:start w:val="35"/>
    </w:lvl>
  </w:abstractNum>
  <w:abstractNum w:abstractNumId="70">
    <w:nsid w:val="7FFFCA11"/>
    <w:multiLevelType w:val="hybridMultilevel"/>
    <w:lvl w:ilvl="0">
      <w:lvlJc w:val="left"/>
      <w:lvlText w:val="(%1)"/>
      <w:numFmt w:val="lowerLetter"/>
      <w:start w:val="5"/>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upperLetter"/>
      <w:start w:val="2"/>
    </w:lvl>
    <w:lvl w:ilvl="1">
      <w:lvlJc w:val="left"/>
      <w:lvlText w:val="(%2)"/>
      <w:numFmt w:val="lowerLetter"/>
      <w:start w:val="2"/>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2"/>
    </w:lvl>
  </w:abstractNum>
  <w:abstractNum w:abstractNumId="78">
    <w:nsid w:val="885E1B"/>
    <w:multiLevelType w:val="hybridMultilevel"/>
    <w:lvl w:ilvl="0">
      <w:lvlJc w:val="left"/>
      <w:lvlText w:val="(%1)"/>
      <w:numFmt w:val="lowerLetter"/>
      <w:start w:val="8"/>
    </w:lvl>
  </w:abstractNum>
  <w:abstractNum w:abstractNumId="79">
    <w:nsid w:val="76272110"/>
    <w:multiLevelType w:val="hybridMultilevel"/>
    <w:lvl w:ilvl="0">
      <w:lvlJc w:val="left"/>
      <w:lvlText w:val="(%1)"/>
      <w:numFmt w:val="lowerLetter"/>
      <w:start w:val="12"/>
    </w:lvl>
  </w:abstractNum>
  <w:abstractNum w:abstractNumId="80">
    <w:nsid w:val="4C04A8AF"/>
    <w:multiLevelType w:val="hybridMultilevel"/>
    <w:lvl w:ilvl="0">
      <w:lvlJc w:val="left"/>
      <w:lvlText w:val="%1"/>
      <w:numFmt w:val="lowerLetter"/>
      <w:start w:val="1"/>
    </w:lvl>
    <w:lvl w:ilvl="1">
      <w:lvlJc w:val="left"/>
      <w:lvlText w:val="(%2)"/>
      <w:numFmt w:val="lowerLetter"/>
      <w:start w:val="1"/>
    </w:lvl>
  </w:abstractNum>
  <w:abstractNum w:abstractNumId="81">
    <w:nsid w:val="1716703B"/>
    <w:multiLevelType w:val="hybridMultilevel"/>
    <w:lvl w:ilvl="0">
      <w:lvlJc w:val="left"/>
      <w:lvlText w:val="(%1)"/>
      <w:numFmt w:val="lowerLetter"/>
      <w:start w:val="61"/>
    </w:lvl>
    <w:lvl w:ilvl="1">
      <w:lvlJc w:val="left"/>
      <w:lvlText w:val="%2"/>
      <w:numFmt w:val="lowerLetter"/>
      <w:start w:val="1"/>
    </w:lvl>
  </w:abstractNum>
  <w:abstractNum w:abstractNumId="82">
    <w:nsid w:val="14E17E33"/>
    <w:multiLevelType w:val="hybridMultilevel"/>
    <w:lvl w:ilvl="0">
      <w:lvlJc w:val="left"/>
      <w:lvlText w:val="(%1)"/>
      <w:numFmt w:val="lowerRoman"/>
      <w:start w:val="4"/>
    </w:lvl>
    <w:lvl w:ilvl="1">
      <w:lvlJc w:val="left"/>
      <w:lvlText w:val="(%2)"/>
      <w:numFmt w:val="lowerLetter"/>
      <w:start w:val="2"/>
    </w:lvl>
  </w:abstractNum>
  <w:abstractNum w:abstractNumId="83">
    <w:nsid w:val="3222E7CD"/>
    <w:multiLevelType w:val="hybridMultilevel"/>
    <w:lvl w:ilvl="0">
      <w:lvlJc w:val="left"/>
      <w:lvlText w:val="(%1)"/>
      <w:numFmt w:val="lowerLetter"/>
      <w:start w:val="4"/>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2"/>
    </w:lvl>
  </w:abstractNum>
  <w:abstractNum w:abstractNumId="90">
    <w:nsid w:val="57FC4FBB"/>
    <w:multiLevelType w:val="hybridMultilevel"/>
    <w:lvl w:ilvl="0">
      <w:lvlJc w:val="left"/>
      <w:lvlText w:val="(%1)"/>
      <w:numFmt w:val="lowerLetter"/>
      <w:start w:val="5"/>
    </w:lvl>
  </w:abstractNum>
  <w:abstractNum w:abstractNumId="91">
    <w:nsid w:val="CC1016F"/>
    <w:multiLevelType w:val="hybridMultilevel"/>
    <w:lvl w:ilvl="0">
      <w:lvlJc w:val="left"/>
      <w:lvlText w:val="%1"/>
      <w:numFmt w:val="decimal"/>
      <w:start w:val="28"/>
    </w:lvl>
    <w:lvl w:ilvl="1">
      <w:lvlJc w:val="left"/>
      <w:lvlText w:val="(%2)"/>
      <w:numFmt w:val="lowerLetter"/>
      <w:start w:val="1"/>
    </w:lvl>
  </w:abstractNum>
  <w:abstractNum w:abstractNumId="92">
    <w:nsid w:val="43F18422"/>
    <w:multiLevelType w:val="hybridMultilevel"/>
    <w:lvl w:ilvl="0">
      <w:lvlJc w:val="left"/>
      <w:lvlText w:val="(%1)"/>
      <w:numFmt w:val="lowerLetter"/>
      <w:start w:val="2"/>
    </w:lvl>
  </w:abstractNum>
  <w:abstractNum w:abstractNumId="93">
    <w:nsid w:val="60EF011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2019-12-20T04:17:08Z</dcterms:created>
  <dcterms:modified xsi:type="dcterms:W3CDTF">2019-12-20T04:17:08Z</dcterms:modified>
</cp:coreProperties>
</file>