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26, 2017</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40"/>
          </w:cols>
          <w:pgMar w:left="240" w:top="544" w:right="31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20"/>
          </w:cols>
          <w:pgMar w:left="240" w:top="544"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second quarter of 2017,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51149867. A replay of the call will be available on the Company’s website and by telephone until August 9, 2017. To access a replay telephonically, please dial (855) 859-2056 and use the replay conference ID number 51149867.</w:t>
      </w:r>
    </w:p>
    <w:p>
      <w:pPr>
        <w:spacing w:after="0" w:line="158" w:lineRule="exact"/>
        <w:rPr>
          <w:sz w:val="24"/>
          <w:szCs w:val="24"/>
          <w:color w:val="auto"/>
        </w:rPr>
      </w:pPr>
    </w:p>
    <w:p>
      <w:pPr>
        <w:ind w:right="14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footnote (b) and the tables that accompany the press release.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4"/>
          <w:szCs w:val="24"/>
          <w:color w:val="auto"/>
        </w:rPr>
      </w:pPr>
    </w:p>
    <w:p>
      <w:pPr>
        <w:spacing w:after="0"/>
        <w:tabs>
          <w:tab w:leader="none" w:pos="16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26, 2017</w:t>
      </w:r>
    </w:p>
    <w:p>
      <w:pPr>
        <w:sectPr>
          <w:pgSz w:w="11900" w:h="16838" w:orient="portrait"/>
          <w:cols w:equalWidth="0" w:num="1">
            <w:col w:w="11340"/>
          </w:cols>
          <w:pgMar w:left="240" w:top="544" w:right="31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240" w:type="dxa"/>
            <w:vAlign w:val="bottom"/>
            <w:gridSpan w:val="3"/>
          </w:tcPr>
          <w:p>
            <w:pPr>
              <w:ind w:left="64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460" w:type="dxa"/>
            <w:vAlign w:val="bottom"/>
            <w:gridSpan w:val="2"/>
          </w:tcPr>
          <w:p>
            <w:pPr>
              <w:spacing w:after="0"/>
              <w:rPr>
                <w:sz w:val="20"/>
                <w:szCs w:val="20"/>
                <w:color w:val="auto"/>
              </w:rPr>
            </w:pPr>
            <w:r>
              <w:rPr>
                <w:rFonts w:ascii="Arial" w:cs="Arial" w:eastAsia="Arial" w:hAnsi="Arial"/>
                <w:sz w:val="18"/>
                <w:szCs w:val="18"/>
                <w:color w:val="auto"/>
                <w:w w:val="92"/>
              </w:rPr>
              <w:t>Date: July 26, 2017</w:t>
            </w: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3"/>
          </w:tcPr>
          <w:p>
            <w:pPr>
              <w:ind w:left="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Chief Legal Officer and</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Compliance Officer</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left="3630"/>
              <w:spacing w:after="0"/>
              <w:rPr>
                <w:sz w:val="20"/>
                <w:szCs w:val="20"/>
                <w:color w:val="auto"/>
              </w:rPr>
            </w:pPr>
            <w:r>
              <w:rPr>
                <w:rFonts w:ascii="Arial" w:cs="Arial" w:eastAsia="Arial" w:hAnsi="Arial"/>
                <w:sz w:val="18"/>
                <w:szCs w:val="18"/>
                <w:color w:val="auto"/>
                <w:w w:val="99"/>
              </w:rPr>
              <w:t>3</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40"/>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3"/>
          </w:tcPr>
          <w:p>
            <w:pPr>
              <w:jc w:val="center"/>
              <w:ind w:right="5090"/>
              <w:spacing w:after="0"/>
              <w:rPr>
                <w:sz w:val="20"/>
                <w:szCs w:val="20"/>
                <w:color w:val="auto"/>
              </w:rPr>
            </w:pPr>
            <w:r>
              <w:rPr>
                <w:rFonts w:ascii="Arial" w:cs="Arial" w:eastAsia="Arial" w:hAnsi="Arial"/>
                <w:sz w:val="18"/>
                <w:szCs w:val="18"/>
                <w:b w:val="1"/>
                <w:bCs w:val="1"/>
                <w:color w:val="auto"/>
                <w:w w:val="94"/>
              </w:rPr>
              <w:t>Exhibit Index</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4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300" w:type="dxa"/>
            <w:vAlign w:val="bottom"/>
          </w:tcPr>
          <w:p>
            <w:pPr>
              <w:spacing w:after="0"/>
              <w:rPr>
                <w:sz w:val="24"/>
                <w:szCs w:val="24"/>
                <w:color w:val="auto"/>
              </w:rPr>
            </w:pPr>
          </w:p>
        </w:tc>
        <w:tc>
          <w:tcPr>
            <w:tcW w:w="9960" w:type="dxa"/>
            <w:vAlign w:val="bottom"/>
            <w:gridSpan w:val="5"/>
          </w:tcPr>
          <w:p>
            <w:pPr>
              <w:ind w:left="40"/>
              <w:spacing w:after="0"/>
              <w:rPr>
                <w:sz w:val="20"/>
                <w:szCs w:val="20"/>
                <w:color w:val="auto"/>
              </w:rPr>
            </w:pPr>
            <w:r>
              <w:rPr>
                <w:rFonts w:ascii="Arial" w:cs="Arial" w:eastAsia="Arial" w:hAnsi="Arial"/>
                <w:sz w:val="18"/>
                <w:szCs w:val="18"/>
                <w:color w:val="auto"/>
              </w:rPr>
              <w:t>Press Release dated July 26, 2017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780" w:type="dxa"/>
            <w:vAlign w:val="bottom"/>
            <w:gridSpan w:val="3"/>
          </w:tcPr>
          <w:p>
            <w:pPr>
              <w:jc w:val="center"/>
              <w:ind w:left="3630"/>
              <w:spacing w:after="0"/>
              <w:rPr>
                <w:sz w:val="20"/>
                <w:szCs w:val="20"/>
                <w:color w:val="auto"/>
              </w:rPr>
            </w:pPr>
            <w:r>
              <w:rPr>
                <w:rFonts w:ascii="Arial" w:cs="Arial" w:eastAsia="Arial" w:hAnsi="Arial"/>
                <w:sz w:val="18"/>
                <w:szCs w:val="18"/>
                <w:color w:val="auto"/>
                <w:w w:val="99"/>
              </w:rPr>
              <w:t>4</w:t>
            </w:r>
          </w:p>
        </w:tc>
        <w:tc>
          <w:tcPr>
            <w:tcW w:w="4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68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pacing w:after="0" w:line="299"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Second Quarter Earnings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Strong Organic Revenue Growth Continues to Drive Increases in Net Income and Cash Flow</w:t>
      </w:r>
    </w:p>
    <w:p>
      <w:pPr>
        <w:spacing w:after="0" w:line="200" w:lineRule="exact"/>
        <w:rPr>
          <w:sz w:val="20"/>
          <w:szCs w:val="20"/>
          <w:color w:val="auto"/>
        </w:rPr>
      </w:pPr>
    </w:p>
    <w:p>
      <w:pPr>
        <w:spacing w:after="0" w:line="234"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July 26, 2017</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8"/>
          <w:szCs w:val="18"/>
          <w:color w:val="57584F"/>
        </w:rPr>
        <w:t>quarter ended June 30, 2017. Revenues for the second quarter of 2017 were $3.68 billion compared with $3.43 billion for the same 2016 period. Net income for the quarter was $362 million, or $0.81 per diluted share, compared with net income of $287 million, or $0.64 per diluted share, for the second quarter of 2016.</w:t>
      </w:r>
    </w:p>
    <w:p>
      <w:pPr>
        <w:spacing w:after="0" w:line="1" w:lineRule="exact"/>
        <w:rPr>
          <w:sz w:val="20"/>
          <w:szCs w:val="20"/>
          <w:color w:val="auto"/>
        </w:rPr>
      </w:pPr>
    </w:p>
    <w:p>
      <w:pPr>
        <w:ind w:right="80" w:firstLine="8"/>
        <w:spacing w:after="0" w:line="239" w:lineRule="auto"/>
        <w:tabs>
          <w:tab w:leader="none" w:pos="193" w:val="left"/>
        </w:tabs>
        <w:numPr>
          <w:ilvl w:val="0"/>
          <w:numId w:val="1"/>
        </w:numPr>
        <w:rPr>
          <w:rFonts w:ascii="Arial" w:cs="Arial" w:eastAsia="Arial" w:hAnsi="Arial"/>
          <w:sz w:val="22"/>
          <w:szCs w:val="22"/>
          <w:color w:val="57584F"/>
          <w:vertAlign w:val="superscript"/>
        </w:rPr>
      </w:pPr>
      <w:r>
        <w:rPr>
          <w:rFonts w:ascii="Arial" w:cs="Arial" w:eastAsia="Arial" w:hAnsi="Arial"/>
          <w:sz w:val="17"/>
          <w:szCs w:val="17"/>
          <w:color w:val="57584F"/>
        </w:rPr>
        <w:t>On an as-adjusted basis, excluding certain items, net income was $329 million, or $0.74 per diluted share, in the second quarter of 2016.</w:t>
      </w:r>
      <w:r>
        <w:rPr>
          <w:rFonts w:ascii="Arial" w:cs="Arial" w:eastAsia="Arial" w:hAnsi="Arial"/>
          <w:sz w:val="22"/>
          <w:szCs w:val="22"/>
          <w:color w:val="57584F"/>
          <w:vertAlign w:val="superscript"/>
        </w:rPr>
        <w:t>(b)</w:t>
      </w:r>
    </w:p>
    <w:p>
      <w:pPr>
        <w:spacing w:after="0" w:line="10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57584F"/>
        </w:rPr>
        <w:t>Jim Fish, President and Chief Executive Officer of Waste Management, commented, “We are hitting on all cylinders right now with the cash generating strength of our business shining brightly in 2017. We achieved the highest quarterly operating EBITDA in our history, with operating EBITDA growing about 8.0% in the second quarter when compared to the second quarter of 2016.</w:t>
      </w:r>
      <w:r>
        <w:rPr>
          <w:rFonts w:ascii="Arial" w:cs="Arial" w:eastAsia="Arial" w:hAnsi="Arial"/>
          <w:sz w:val="23"/>
          <w:szCs w:val="23"/>
          <w:color w:val="57584F"/>
          <w:vertAlign w:val="superscript"/>
        </w:rPr>
        <w:t>(c)</w:t>
      </w:r>
      <w:r>
        <w:rPr>
          <w:rFonts w:ascii="Arial" w:cs="Arial" w:eastAsia="Arial" w:hAnsi="Arial"/>
          <w:sz w:val="18"/>
          <w:szCs w:val="18"/>
          <w:color w:val="57584F"/>
        </w:rPr>
        <w:t xml:space="preserve"> Our strong operational performance led to record free cash flow generation in the first half of 2017.</w:t>
      </w:r>
      <w:r>
        <w:rPr>
          <w:rFonts w:ascii="Arial" w:cs="Arial" w:eastAsia="Arial" w:hAnsi="Arial"/>
          <w:sz w:val="23"/>
          <w:szCs w:val="23"/>
          <w:color w:val="57584F"/>
          <w:vertAlign w:val="superscript"/>
        </w:rPr>
        <w:t>(b)</w:t>
      </w:r>
      <w:r>
        <w:rPr>
          <w:rFonts w:ascii="Arial" w:cs="Arial" w:eastAsia="Arial" w:hAnsi="Arial"/>
          <w:sz w:val="18"/>
          <w:szCs w:val="18"/>
          <w:color w:val="57584F"/>
        </w:rPr>
        <w:t xml:space="preserve"> Together, our strong core price results, robust volume growth, and continued cost improvement focus led to earnings per diluted share growth of almost 10%.</w:t>
      </w:r>
      <w:r>
        <w:rPr>
          <w:rFonts w:ascii="Arial" w:cs="Arial" w:eastAsia="Arial" w:hAnsi="Arial"/>
          <w:sz w:val="23"/>
          <w:szCs w:val="23"/>
          <w:color w:val="57584F"/>
          <w:vertAlign w:val="superscript"/>
        </w:rPr>
        <w:t>(b)</w:t>
      </w:r>
      <w:r>
        <w:rPr>
          <w:rFonts w:ascii="Arial" w:cs="Arial" w:eastAsia="Arial" w:hAnsi="Arial"/>
          <w:sz w:val="18"/>
          <w:szCs w:val="18"/>
          <w:color w:val="57584F"/>
        </w:rPr>
        <w:t>”</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SECOND QUARTER 2017</w:t>
      </w:r>
    </w:p>
    <w:p>
      <w:pPr>
        <w:spacing w:after="0" w:line="225" w:lineRule="exact"/>
        <w:rPr>
          <w:sz w:val="20"/>
          <w:szCs w:val="20"/>
          <w:color w:val="auto"/>
        </w:rPr>
      </w:pPr>
    </w:p>
    <w:p>
      <w:pPr>
        <w:jc w:val="both"/>
        <w:ind w:left="660" w:hanging="328"/>
        <w:spacing w:after="0" w:line="238" w:lineRule="auto"/>
        <w:tabs>
          <w:tab w:leader="none" w:pos="725"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Overall revenue increased by 7.4%, or $252 million. The revenue increase was driven by positive yield and volume in the Company’s collection and disposal business, which contributed $158 million to revenue growth, and higher recycling commodity prices and volumes, which contributed $90 million of revenue growth.</w:t>
      </w:r>
    </w:p>
    <w:p>
      <w:pPr>
        <w:spacing w:after="0" w:line="2" w:lineRule="exact"/>
        <w:rPr>
          <w:rFonts w:ascii="Arial" w:cs="Arial" w:eastAsia="Arial" w:hAnsi="Arial"/>
          <w:sz w:val="18"/>
          <w:szCs w:val="18"/>
          <w:color w:val="57584F"/>
        </w:rPr>
      </w:pPr>
    </w:p>
    <w:p>
      <w:pPr>
        <w:ind w:left="660" w:right="20" w:hanging="328"/>
        <w:spacing w:after="0" w:line="213" w:lineRule="auto"/>
        <w:tabs>
          <w:tab w:leader="none" w:pos="631"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Core price, which consists of price increases net of rollbacks, plus fees other than the Company’s fuel surcharge, was 4.7%.</w:t>
      </w:r>
      <w:r>
        <w:rPr>
          <w:rFonts w:ascii="Arial" w:cs="Arial" w:eastAsia="Arial" w:hAnsi="Arial"/>
          <w:sz w:val="23"/>
          <w:szCs w:val="23"/>
          <w:color w:val="57584F"/>
          <w:vertAlign w:val="superscript"/>
        </w:rPr>
        <w:t>(d)</w:t>
      </w:r>
    </w:p>
    <w:p>
      <w:pPr>
        <w:ind w:left="620" w:hanging="288"/>
        <w:spacing w:after="0"/>
        <w:tabs>
          <w:tab w:leader="none" w:pos="6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1.9%.</w:t>
      </w:r>
    </w:p>
    <w:p>
      <w:pPr>
        <w:spacing w:after="0" w:line="9" w:lineRule="exact"/>
        <w:rPr>
          <w:rFonts w:ascii="Arial" w:cs="Arial" w:eastAsia="Arial" w:hAnsi="Arial"/>
          <w:sz w:val="18"/>
          <w:szCs w:val="18"/>
          <w:color w:val="57584F"/>
        </w:rPr>
      </w:pPr>
    </w:p>
    <w:p>
      <w:pPr>
        <w:jc w:val="both"/>
        <w:ind w:left="660" w:right="20" w:hanging="328"/>
        <w:spacing w:after="0"/>
        <w:tabs>
          <w:tab w:leader="none" w:pos="671"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Internal revenue growth from volume in the Company’s traditional solid waste business was 3.2% in the second quarter of 2017. Total Company internal revenue growth from volume was 3.4% in the second quarter of 2017.</w:t>
      </w:r>
    </w:p>
    <w:p>
      <w:pPr>
        <w:jc w:val="both"/>
        <w:ind w:left="660" w:hanging="328"/>
        <w:spacing w:after="0" w:line="238" w:lineRule="auto"/>
        <w:tabs>
          <w:tab w:leader="none" w:pos="833"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 of revenue, operating expenses were 62.3% in the second quarter of 2017, as compared to 62.2% in the second quarter of 2016. Operating expenses as a percentage of revenue in the Company’s traditional solid waste business improved about 70 basis points during the quarter, though that margin improvement was offset by growth in the Company’s lower margin recycling brokerage business and higher fuel costs.</w:t>
      </w:r>
    </w:p>
    <w:p>
      <w:pPr>
        <w:ind w:left="660" w:hanging="328"/>
        <w:spacing w:after="0" w:line="242" w:lineRule="auto"/>
        <w:tabs>
          <w:tab w:leader="none" w:pos="698"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 of revenue, SG&amp;A expenses were 9.6%, a 30 basis point improvement over the prior year quarter.</w:t>
      </w:r>
    </w:p>
    <w:p>
      <w:pPr>
        <w:spacing w:after="0" w:line="1" w:lineRule="exact"/>
        <w:rPr>
          <w:rFonts w:ascii="Arial" w:cs="Arial" w:eastAsia="Arial" w:hAnsi="Arial"/>
          <w:sz w:val="18"/>
          <w:szCs w:val="18"/>
          <w:color w:val="57584F"/>
        </w:rPr>
      </w:pPr>
    </w:p>
    <w:p>
      <w:pPr>
        <w:ind w:left="660" w:hanging="328"/>
        <w:spacing w:after="0" w:line="242" w:lineRule="auto"/>
        <w:tabs>
          <w:tab w:leader="none" w:pos="685"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$813 million, compared to $762 million in the second quarter of 2016, an increase of 6.7%.</w:t>
      </w:r>
    </w:p>
    <w:p>
      <w:pPr>
        <w:spacing w:after="0" w:line="1" w:lineRule="exact"/>
        <w:rPr>
          <w:rFonts w:ascii="Arial" w:cs="Arial" w:eastAsia="Arial" w:hAnsi="Arial"/>
          <w:sz w:val="18"/>
          <w:szCs w:val="18"/>
          <w:color w:val="57584F"/>
        </w:rPr>
      </w:pPr>
    </w:p>
    <w:p>
      <w:pPr>
        <w:ind w:left="620" w:hanging="288"/>
        <w:spacing w:after="0"/>
        <w:tabs>
          <w:tab w:leader="none" w:pos="62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Capital expenditures were $299 million, compared to $312 million in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210185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22"/>
          <w:szCs w:val="22"/>
          <w:b w:val="1"/>
          <w:bCs w:val="1"/>
          <w:color w:val="00693C"/>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 INFORMATION</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spacing w:after="0" w:line="234" w:lineRule="auto"/>
        <w:rPr>
          <w:sz w:val="20"/>
          <w:szCs w:val="20"/>
          <w:color w:val="auto"/>
        </w:rPr>
      </w:pPr>
      <w:r>
        <w:rPr>
          <w:rFonts w:ascii="Arial" w:cs="Arial" w:eastAsia="Arial" w:hAnsi="Arial"/>
          <w:sz w:val="18"/>
          <w:szCs w:val="18"/>
          <w:color w:val="57584F"/>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eegl@wm.com</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880"/>
        <w:spacing w:after="0" w:line="261" w:lineRule="auto"/>
        <w:rPr>
          <w:sz w:val="20"/>
          <w:szCs w:val="20"/>
          <w:color w:val="auto"/>
        </w:rPr>
      </w:pPr>
      <w:r>
        <w:rPr>
          <w:rFonts w:ascii="Arial" w:cs="Arial" w:eastAsia="Arial" w:hAnsi="Arial"/>
          <w:sz w:val="17"/>
          <w:szCs w:val="17"/>
          <w:color w:val="57584F"/>
        </w:rPr>
        <w:t xml:space="preserve">Toni Beck 713.394.5093 </w:t>
      </w:r>
      <w:r>
        <w:rPr>
          <w:rFonts w:ascii="Arial" w:cs="Arial" w:eastAsia="Arial" w:hAnsi="Arial"/>
          <w:sz w:val="17"/>
          <w:szCs w:val="17"/>
          <w:u w:val="single" w:color="auto"/>
          <w:color w:val="0000FF"/>
        </w:rPr>
        <w:t>tbeck3@wm.com</w:t>
      </w:r>
    </w:p>
    <w:p>
      <w:pPr>
        <w:spacing w:after="0" w:line="5468" w:lineRule="exact"/>
        <w:rPr>
          <w:sz w:val="20"/>
          <w:szCs w:val="20"/>
          <w:color w:val="auto"/>
        </w:rPr>
      </w:pPr>
    </w:p>
    <w:p>
      <w:pPr>
        <w:sectPr>
          <w:pgSz w:w="11900" w:h="16838" w:orient="portrait"/>
          <w:cols w:equalWidth="0" w:num="2">
            <w:col w:w="8720" w:space="440"/>
            <w:col w:w="2260"/>
          </w:cols>
          <w:pgMar w:left="240" w:top="323" w:right="239" w:bottom="16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57584F"/>
        </w:rPr>
        <w:t>quarter of 2016.</w:t>
      </w:r>
    </w:p>
    <w:p>
      <w:pPr>
        <w:ind w:left="660" w:right="2700" w:hanging="328"/>
        <w:spacing w:after="0" w:line="213" w:lineRule="auto"/>
        <w:tabs>
          <w:tab w:leader="none" w:pos="752"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Free cash flow was $520 million in the second quarter of 2017, compared to $461 million in the second quarter of 2016, an increase of 12.8%.</w:t>
      </w:r>
      <w:r>
        <w:rPr>
          <w:rFonts w:ascii="Arial" w:cs="Arial" w:eastAsia="Arial" w:hAnsi="Arial"/>
          <w:sz w:val="23"/>
          <w:szCs w:val="23"/>
          <w:color w:val="57584F"/>
          <w:vertAlign w:val="superscript"/>
        </w:rPr>
        <w:t>(b)</w:t>
      </w:r>
    </w:p>
    <w:p>
      <w:pPr>
        <w:ind w:left="660" w:right="2700" w:hanging="328"/>
        <w:spacing w:after="0" w:line="242" w:lineRule="auto"/>
        <w:tabs>
          <w:tab w:leader="none" w:pos="631"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 returned $437 million to shareholders during the second quarter, paying $187 million in dividends and repurchasing $250 million of its common stock.</w:t>
      </w:r>
    </w:p>
    <w:p>
      <w:pPr>
        <w:spacing w:after="0" w:line="1" w:lineRule="exact"/>
        <w:rPr>
          <w:rFonts w:ascii="Arial" w:cs="Arial" w:eastAsia="Arial" w:hAnsi="Arial"/>
          <w:sz w:val="18"/>
          <w:szCs w:val="18"/>
          <w:color w:val="57584F"/>
        </w:rPr>
      </w:pPr>
    </w:p>
    <w:p>
      <w:pPr>
        <w:ind w:left="620" w:hanging="288"/>
        <w:spacing w:after="0"/>
        <w:tabs>
          <w:tab w:leader="none" w:pos="62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effective tax rate was approximately 36.6%.</w:t>
      </w:r>
    </w:p>
    <w:p>
      <w:pPr>
        <w:spacing w:after="0" w:line="212" w:lineRule="exact"/>
        <w:rPr>
          <w:sz w:val="20"/>
          <w:szCs w:val="20"/>
          <w:color w:val="auto"/>
        </w:rPr>
      </w:pPr>
    </w:p>
    <w:p>
      <w:pPr>
        <w:ind w:right="2760"/>
        <w:spacing w:after="0" w:line="228" w:lineRule="auto"/>
        <w:rPr>
          <w:sz w:val="20"/>
          <w:szCs w:val="20"/>
          <w:color w:val="auto"/>
        </w:rPr>
      </w:pPr>
      <w:r>
        <w:rPr>
          <w:rFonts w:ascii="Arial" w:cs="Arial" w:eastAsia="Arial" w:hAnsi="Arial"/>
          <w:sz w:val="18"/>
          <w:szCs w:val="18"/>
          <w:color w:val="57584F"/>
        </w:rPr>
        <w:t xml:space="preserve">Fish concluded, “Based upon our strong start to 2017, we are on track to meet the upper end of our full-year 2017 guidance of adjusted earnings per diluted share of between $3.14 and $3.18 and free cash flow of between $1.5 and $1.6 billion. </w:t>
      </w:r>
      <w:r>
        <w:rPr>
          <w:rFonts w:ascii="Arial" w:cs="Arial" w:eastAsia="Arial" w:hAnsi="Arial"/>
          <w:sz w:val="23"/>
          <w:szCs w:val="23"/>
          <w:color w:val="57584F"/>
          <w:vertAlign w:val="superscript"/>
        </w:rPr>
        <w:t>(b)</w:t>
      </w:r>
      <w:r>
        <w:rPr>
          <w:rFonts w:ascii="Arial" w:cs="Arial" w:eastAsia="Arial" w:hAnsi="Arial"/>
          <w:sz w:val="18"/>
          <w:szCs w:val="18"/>
          <w:color w:val="57584F"/>
        </w:rPr>
        <w:t xml:space="preserve"> In the third quarter, we expect to enter agreements to repurchase $500 million of the Company’s common stock. We’re proud of the performance our employees have delivered and confident that will continue. Accordingly, we expect our earnings will continue to grow throughout the remainder of 2017, which in turn will continue to drive robust cash flow to be deployed for the benefit of our business and shareholders.”</w:t>
      </w:r>
    </w:p>
    <w:p>
      <w:pPr>
        <w:spacing w:after="0" w:line="139" w:lineRule="exact"/>
        <w:rPr>
          <w:sz w:val="20"/>
          <w:szCs w:val="20"/>
          <w:color w:val="auto"/>
        </w:rPr>
      </w:pPr>
    </w:p>
    <w:p>
      <w:pPr>
        <w:ind w:left="660" w:right="3500" w:hanging="328"/>
        <w:spacing w:after="0" w:line="399" w:lineRule="auto"/>
        <w:tabs>
          <w:tab w:leader="none" w:pos="654" w:val="left"/>
        </w:tabs>
        <w:numPr>
          <w:ilvl w:val="0"/>
          <w:numId w:val="4"/>
        </w:numPr>
        <w:rPr>
          <w:rFonts w:ascii="Arial" w:cs="Arial" w:eastAsia="Arial" w:hAnsi="Arial"/>
          <w:sz w:val="12"/>
          <w:szCs w:val="12"/>
          <w:color w:val="57584F"/>
        </w:rPr>
      </w:pPr>
      <w:r>
        <w:rPr>
          <w:rFonts w:ascii="Arial" w:cs="Arial" w:eastAsia="Arial" w:hAnsi="Arial"/>
          <w:sz w:val="12"/>
          <w:szCs w:val="12"/>
          <w:color w:val="57584F"/>
        </w:rPr>
        <w:t>For purposes of this press release, all references to “Net income” refer to the financial statement line items “Net income attributable to Waste Management, Inc.”.</w:t>
      </w:r>
    </w:p>
    <w:p>
      <w:pPr>
        <w:ind w:left="660" w:right="2760" w:hanging="328"/>
        <w:spacing w:after="0" w:line="385" w:lineRule="auto"/>
        <w:tabs>
          <w:tab w:leader="none" w:pos="654" w:val="left"/>
        </w:tabs>
        <w:numPr>
          <w:ilvl w:val="0"/>
          <w:numId w:val="4"/>
        </w:numPr>
        <w:rPr>
          <w:rFonts w:ascii="Arial" w:cs="Arial" w:eastAsia="Arial" w:hAnsi="Arial"/>
          <w:sz w:val="12"/>
          <w:szCs w:val="12"/>
          <w:color w:val="57584F"/>
        </w:rPr>
      </w:pPr>
      <w:r>
        <w:rPr>
          <w:rFonts w:ascii="Arial" w:cs="Arial" w:eastAsia="Arial" w:hAnsi="Arial"/>
          <w:sz w:val="12"/>
          <w:szCs w:val="12"/>
          <w:color w:val="57584F"/>
        </w:rPr>
        <w:t>This press release contains a discussion of non-GAAP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 Accordingly, net income, earnings per diluted share, and earnings growth have been presented in certain instances excluding items identified in the reconciliations provided.</w:t>
      </w:r>
    </w:p>
    <w:p>
      <w:pPr>
        <w:sectPr>
          <w:pgSz w:w="11900" w:h="16838" w:orient="portrait"/>
          <w:cols w:equalWidth="0" w:num="1">
            <w:col w:w="11420"/>
          </w:cols>
          <w:pgMar w:left="240" w:top="323" w:right="239" w:bottom="164" w:gutter="0" w:footer="0" w:header="0"/>
          <w:type w:val="continuous"/>
        </w:sectPr>
      </w:pPr>
    </w:p>
    <w:bookmarkStart w:id="3" w:name="page4"/>
    <w:bookmarkEnd w:id="3"/>
    <w:p>
      <w:pPr>
        <w:spacing w:after="0" w:line="9" w:lineRule="exact"/>
        <w:rPr>
          <w:sz w:val="20"/>
          <w:szCs w:val="20"/>
          <w:color w:val="auto"/>
        </w:rPr>
      </w:pPr>
    </w:p>
    <w:p>
      <w:pPr>
        <w:ind w:left="660" w:right="2420"/>
        <w:spacing w:after="0" w:line="376" w:lineRule="auto"/>
        <w:rPr>
          <w:sz w:val="20"/>
          <w:szCs w:val="20"/>
          <w:color w:val="auto"/>
        </w:rPr>
      </w:pPr>
      <w:r>
        <w:rPr>
          <w:rFonts w:ascii="Arial" w:cs="Arial" w:eastAsia="Arial" w:hAnsi="Arial"/>
          <w:sz w:val="12"/>
          <w:szCs w:val="12"/>
          <w:color w:val="57584F"/>
        </w:rPr>
        <w:t>The Company’s projected full-year 2017 earnings per diluted share is not based on GAAP net earnings per diluted share and are anticipated to be adjusted to exclude the effects of events or circumstances in 2017 that are not representative or indicative of the Company’s results of operations, including the items excluded from our as-adjusted first quarter results.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242" w:lineRule="exact"/>
        <w:rPr>
          <w:sz w:val="20"/>
          <w:szCs w:val="20"/>
          <w:color w:val="auto"/>
        </w:rPr>
      </w:pPr>
    </w:p>
    <w:p>
      <w:pPr>
        <w:ind w:left="660" w:right="2500"/>
        <w:spacing w:after="0" w:line="413" w:lineRule="auto"/>
        <w:rPr>
          <w:sz w:val="20"/>
          <w:szCs w:val="20"/>
          <w:color w:val="auto"/>
        </w:rPr>
      </w:pPr>
      <w:r>
        <w:rPr>
          <w:rFonts w:ascii="Arial" w:cs="Arial" w:eastAsia="Arial" w:hAnsi="Arial"/>
          <w:sz w:val="11"/>
          <w:szCs w:val="11"/>
          <w:color w:val="57584F"/>
        </w:rPr>
        <w:t>The Company also discusses free cash flow and provides a projection of free cash flow. Free cash flow is a non-GAAP measure. 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 titled measures reported by other companies.</w:t>
      </w:r>
    </w:p>
    <w:p>
      <w:pPr>
        <w:spacing w:after="0" w:line="203" w:lineRule="exact"/>
        <w:rPr>
          <w:sz w:val="20"/>
          <w:szCs w:val="20"/>
          <w:color w:val="auto"/>
        </w:rPr>
      </w:pPr>
    </w:p>
    <w:p>
      <w:pPr>
        <w:jc w:val="both"/>
        <w:ind w:left="660" w:right="2420"/>
        <w:spacing w:after="0" w:line="410" w:lineRule="auto"/>
        <w:rPr>
          <w:sz w:val="20"/>
          <w:szCs w:val="20"/>
          <w:color w:val="auto"/>
        </w:rPr>
      </w:pPr>
      <w:r>
        <w:rPr>
          <w:rFonts w:ascii="Arial" w:cs="Arial" w:eastAsia="Arial" w:hAnsi="Arial"/>
          <w:sz w:val="11"/>
          <w:szCs w:val="11"/>
          <w:color w:val="57584F"/>
        </w:rPr>
        <w:t>The quantitative reconciliations of non-GAAP measures used herein to the most comparable GAAP measures are included in the accompanying schedules, with the exception of projected earnings per diluted share. Non-GAAP measures should not be considered a substitute for financial measures presented in accordance with GAAP, and investors are urged to take into account GAAP measures as well as non-GAAP measures in evaluating the Company.</w:t>
      </w:r>
    </w:p>
    <w:p>
      <w:pPr>
        <w:ind w:left="660" w:right="2600" w:hanging="328"/>
        <w:spacing w:after="0" w:line="399" w:lineRule="auto"/>
        <w:tabs>
          <w:tab w:leader="none" w:pos="648" w:val="left"/>
        </w:tabs>
        <w:numPr>
          <w:ilvl w:val="0"/>
          <w:numId w:val="5"/>
        </w:numPr>
        <w:rPr>
          <w:rFonts w:ascii="Arial" w:cs="Arial" w:eastAsia="Arial" w:hAnsi="Arial"/>
          <w:sz w:val="12"/>
          <w:szCs w:val="12"/>
          <w:color w:val="57584F"/>
        </w:rPr>
      </w:pPr>
      <w:r>
        <w:rPr>
          <w:rFonts w:ascii="Arial" w:cs="Arial" w:eastAsia="Arial" w:hAnsi="Arial"/>
          <w:sz w:val="12"/>
          <w:szCs w:val="12"/>
          <w:color w:val="57584F"/>
        </w:rPr>
        <w:t>Management defines operating EBITDA as GAAP income from operations before depreciation and amortization; this measure may not be comparable to similarly titled measures reported by other companies.</w:t>
      </w:r>
    </w:p>
    <w:p>
      <w:pPr>
        <w:ind w:left="660" w:right="2840" w:hanging="328"/>
        <w:spacing w:after="0" w:line="448" w:lineRule="auto"/>
        <w:tabs>
          <w:tab w:leader="none" w:pos="654" w:val="left"/>
        </w:tabs>
        <w:numPr>
          <w:ilvl w:val="0"/>
          <w:numId w:val="5"/>
        </w:numPr>
        <w:rPr>
          <w:rFonts w:ascii="Arial" w:cs="Arial" w:eastAsia="Arial" w:hAnsi="Arial"/>
          <w:sz w:val="11"/>
          <w:szCs w:val="11"/>
          <w:color w:val="57584F"/>
        </w:rPr>
      </w:pPr>
      <w:r>
        <w:rPr>
          <w:rFonts w:ascii="Arial" w:cs="Arial" w:eastAsia="Arial" w:hAnsi="Arial"/>
          <w:sz w:val="11"/>
          <w:szCs w:val="11"/>
          <w:color w:val="57584F"/>
        </w:rPr>
        <w:t>Core price is a performance metric used by management to evaluate the effectiveness of the Company’s pricing strategies; it is not derived from the Company’s financial statements and may not be comparable to measures presented by other companies. Core price is based on certain historical assumptions, which differs from actual results, to allow for comparability between reporting periods and to reveal trends in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147320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right="2720"/>
        <w:spacing w:after="0"/>
        <w:rPr>
          <w:sz w:val="20"/>
          <w:szCs w:val="20"/>
          <w:color w:val="auto"/>
        </w:rPr>
      </w:pPr>
      <w:r>
        <w:rPr>
          <w:rFonts w:ascii="Arial" w:cs="Arial" w:eastAsia="Arial" w:hAnsi="Arial"/>
          <w:sz w:val="18"/>
          <w:szCs w:val="18"/>
          <w:color w:val="57584F"/>
        </w:rPr>
        <w:t>The Company will host a conference call at 10:00 AM (Eastern) today to discuss the second quarter 2017 results. Information contained within this press release will be referenced and should be considered in conjunction with the call.</w:t>
      </w:r>
    </w:p>
    <w:p>
      <w:pPr>
        <w:spacing w:after="0" w:line="189" w:lineRule="exact"/>
        <w:rPr>
          <w:sz w:val="20"/>
          <w:szCs w:val="20"/>
          <w:color w:val="auto"/>
        </w:rPr>
      </w:pPr>
    </w:p>
    <w:p>
      <w:pPr>
        <w:ind w:right="2460"/>
        <w:spacing w:after="0" w:line="238"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w:t>
      </w:r>
      <w:r>
        <w:rPr>
          <w:rFonts w:ascii="Arial" w:cs="Arial" w:eastAsia="Arial" w:hAnsi="Arial"/>
          <w:sz w:val="18"/>
          <w:szCs w:val="18"/>
          <w:color w:val="0000FF"/>
        </w:rPr>
        <w:t xml:space="preserve"> </w:t>
      </w:r>
      <w:r>
        <w:rPr>
          <w:rFonts w:ascii="Arial" w:cs="Arial" w:eastAsia="Arial" w:hAnsi="Arial"/>
          <w:sz w:val="18"/>
          <w:szCs w:val="18"/>
          <w:color w:val="57584F"/>
        </w:rPr>
        <w:t>minutes prior to the scheduled start of the call. If you are calling from outside of the United States or Canada, please dial (706) 643-7398. Please utilize conference ID number 51149867 when prompted by the conference call operator.</w:t>
      </w:r>
    </w:p>
    <w:p>
      <w:pPr>
        <w:spacing w:after="0" w:line="189" w:lineRule="exact"/>
        <w:rPr>
          <w:sz w:val="20"/>
          <w:szCs w:val="20"/>
          <w:color w:val="auto"/>
        </w:rPr>
      </w:pPr>
    </w:p>
    <w:p>
      <w:pPr>
        <w:ind w:right="2420"/>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1:00 PM (Eastern) Wednesday, July 26, 2017 through 5:00 PM (Eastern) on Wednesday, August 9, 2017. To access the replay telephonically, please dial (855) 859-2056, or from outside of the United States or Canada dial (404) 537-3406, and use the replay conference ID number 51149867.</w:t>
      </w:r>
    </w:p>
    <w:p>
      <w:pPr>
        <w:spacing w:after="0" w:line="171" w:lineRule="exact"/>
        <w:rPr>
          <w:sz w:val="20"/>
          <w:szCs w:val="20"/>
          <w:color w:val="auto"/>
        </w:rPr>
      </w:pPr>
    </w:p>
    <w:p>
      <w:pPr>
        <w:ind w:right="2420"/>
        <w:spacing w:after="0"/>
        <w:rPr>
          <w:sz w:val="20"/>
          <w:szCs w:val="20"/>
          <w:color w:val="auto"/>
        </w:rPr>
      </w:pPr>
      <w:r>
        <w:rPr>
          <w:rFonts w:ascii="Arial" w:cs="Arial" w:eastAsia="Arial" w:hAnsi="Arial"/>
          <w:sz w:val="12"/>
          <w:szCs w:val="12"/>
          <w:i w:val="1"/>
          <w:iCs w:val="1"/>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2017 earnings per diluted share; 2017 free cash flow; 2017 share repurchases; and all statements regarding future business performance and growth.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exposure to litigation and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2400"/>
        <w:spacing w:after="0" w:line="234"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95959"/>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5" w:lineRule="exact"/>
        <w:rPr>
          <w:sz w:val="20"/>
          <w:szCs w:val="20"/>
          <w:color w:val="auto"/>
        </w:rPr>
      </w:pPr>
    </w:p>
    <w:p>
      <w:pPr>
        <w:ind w:left="422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Waste Management, Inc.</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Condensed Consolidated Statements of Operations</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1" w:lineRule="exact"/>
        <w:rPr>
          <w:sz w:val="20"/>
          <w:szCs w:val="20"/>
          <w:color w:val="auto"/>
        </w:rPr>
      </w:pPr>
    </w:p>
    <w:p>
      <w:pPr>
        <w:jc w:val="center"/>
        <w:ind w:right="-319"/>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31" w:lineRule="exact"/>
        <w:rPr>
          <w:sz w:val="20"/>
          <w:szCs w:val="20"/>
          <w:color w:val="auto"/>
        </w:rPr>
      </w:pPr>
    </w:p>
    <w:p>
      <w:pPr>
        <w:jc w:val="center"/>
        <w:ind w:left="7340"/>
        <w:spacing w:after="0"/>
        <w:rPr>
          <w:sz w:val="20"/>
          <w:szCs w:val="20"/>
          <w:color w:val="auto"/>
        </w:rPr>
      </w:pPr>
      <w:r>
        <w:rPr>
          <w:rFonts w:ascii="Arial" w:cs="Arial" w:eastAsia="Arial" w:hAnsi="Arial"/>
          <w:sz w:val="18"/>
          <w:szCs w:val="18"/>
          <w:b w:val="1"/>
          <w:bCs w:val="1"/>
          <w:color w:val="auto"/>
        </w:rPr>
        <w:t>Quarters Ended June 30,</w:t>
      </w:r>
    </w:p>
    <w:p>
      <w:pPr>
        <w:spacing w:after="0" w:line="27" w:lineRule="exact"/>
        <w:rPr>
          <w:sz w:val="20"/>
          <w:szCs w:val="20"/>
          <w:color w:val="auto"/>
        </w:rPr>
      </w:pPr>
    </w:p>
    <w:p>
      <w:pPr>
        <w:ind w:left="8220"/>
        <w:spacing w:after="0"/>
        <w:tabs>
          <w:tab w:leader="none" w:pos="101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3241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2410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-130810</wp:posOffset>
            </wp:positionV>
            <wp:extent cx="23241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218" w:lineRule="exact"/>
        <w:rPr>
          <w:sz w:val="20"/>
          <w:szCs w:val="20"/>
          <w:color w:val="auto"/>
        </w:rPr>
      </w:pPr>
    </w:p>
    <w:p>
      <w:pPr>
        <w:spacing w:after="0"/>
        <w:tabs>
          <w:tab w:leader="none" w:pos="7580" w:val="left"/>
          <w:tab w:leader="none" w:pos="8760" w:val="left"/>
          <w:tab w:leader="none" w:pos="9540" w:val="left"/>
          <w:tab w:leader="none" w:pos="10680" w:val="left"/>
        </w:tabs>
        <w:rPr>
          <w:sz w:val="20"/>
          <w:szCs w:val="20"/>
          <w:color w:val="auto"/>
        </w:rPr>
      </w:pPr>
      <w:r>
        <w:rPr>
          <w:rFonts w:ascii="Arial" w:cs="Arial" w:eastAsia="Arial" w:hAnsi="Arial"/>
          <w:sz w:val="18"/>
          <w:szCs w:val="18"/>
          <w:color w:val="auto"/>
        </w:rPr>
        <w:t>Operating revenues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3,677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3,425</w:t>
      </w:r>
    </w:p>
    <w:p>
      <w:pPr>
        <w:sectPr>
          <w:pgSz w:w="11900" w:h="16847" w:orient="portrait"/>
          <w:cols w:equalWidth="0" w:num="1">
            <w:col w:w="11120"/>
          </w:cols>
          <w:pgMar w:left="240" w:top="182" w:right="53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Costs and expenses:</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Operating</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2,290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Restructuring</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w w:val="92"/>
              </w:rPr>
              <w:t>Expense from divestitures, asset impairments and unusual items, net</w:t>
            </w:r>
          </w:p>
        </w:tc>
        <w:tc>
          <w:tcPr>
            <w:tcW w:w="2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3,004</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673</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440" w:type="dxa"/>
            <w:vAlign w:val="bottom"/>
          </w:tcPr>
          <w:p>
            <w:pPr>
              <w:spacing w:after="0"/>
              <w:rPr>
                <w:sz w:val="20"/>
                <w:szCs w:val="20"/>
                <w:color w:val="auto"/>
              </w:rPr>
            </w:pPr>
            <w:r>
              <w:rPr>
                <w:rFonts w:ascii="Arial" w:cs="Arial" w:eastAsia="Arial" w:hAnsi="Arial"/>
                <w:sz w:val="18"/>
                <w:szCs w:val="18"/>
                <w:color w:val="auto"/>
              </w:rPr>
              <w:t>Other income (expense):</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Interest expense, net</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360"/>
              <w:spacing w:after="0"/>
              <w:rPr>
                <w:sz w:val="20"/>
                <w:szCs w:val="20"/>
                <w:color w:val="auto"/>
              </w:rPr>
            </w:pPr>
            <w:r>
              <w:rPr>
                <w:rFonts w:ascii="Arial" w:cs="Arial" w:eastAsia="Arial" w:hAnsi="Arial"/>
                <w:sz w:val="18"/>
                <w:szCs w:val="18"/>
                <w:color w:val="auto"/>
              </w:rPr>
              <w:t>Equity in net losses of unconsolidated entities</w:t>
            </w:r>
          </w:p>
        </w:tc>
        <w:tc>
          <w:tcPr>
            <w:tcW w:w="2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Other, net</w:t>
            </w:r>
          </w:p>
        </w:tc>
        <w:tc>
          <w:tcPr>
            <w:tcW w:w="2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4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570</w:t>
            </w: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Income tax expense</w:t>
            </w:r>
          </w:p>
        </w:tc>
        <w:tc>
          <w:tcPr>
            <w:tcW w:w="2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44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361</w:t>
            </w: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20" w:type="dxa"/>
            <w:vAlign w:val="bottom"/>
          </w:tcPr>
          <w:p>
            <w:pPr>
              <w:jc w:val="right"/>
              <w:spacing w:after="0" w:line="195" w:lineRule="exact"/>
              <w:rPr>
                <w:sz w:val="20"/>
                <w:szCs w:val="20"/>
                <w:color w:val="auto"/>
              </w:rPr>
            </w:pPr>
            <w:r>
              <w:rPr>
                <w:rFonts w:ascii="Arial" w:cs="Arial" w:eastAsia="Arial" w:hAnsi="Arial"/>
                <w:sz w:val="18"/>
                <w:szCs w:val="18"/>
                <w:color w:val="auto"/>
              </w:rPr>
              <w:t>286</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360"/>
              <w:spacing w:after="0"/>
              <w:rPr>
                <w:sz w:val="20"/>
                <w:szCs w:val="20"/>
                <w:color w:val="auto"/>
              </w:rPr>
            </w:pPr>
            <w:r>
              <w:rPr>
                <w:rFonts w:ascii="Arial" w:cs="Arial" w:eastAsia="Arial" w:hAnsi="Arial"/>
                <w:sz w:val="18"/>
                <w:szCs w:val="18"/>
                <w:color w:val="auto"/>
              </w:rPr>
              <w:t>Less: Net loss attributable to noncontrolling interests</w:t>
            </w:r>
          </w:p>
        </w:tc>
        <w:tc>
          <w:tcPr>
            <w:tcW w:w="2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4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100" w:type="dxa"/>
            <w:vAlign w:val="bottom"/>
          </w:tcPr>
          <w:p>
            <w:pPr>
              <w:spacing w:after="0"/>
              <w:rPr>
                <w:sz w:val="18"/>
                <w:szCs w:val="18"/>
                <w:color w:val="auto"/>
              </w:rPr>
            </w:pP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18"/>
                <w:szCs w:val="18"/>
                <w:color w:val="auto"/>
              </w:rPr>
            </w:pP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100" w:type="dxa"/>
            <w:vAlign w:val="bottom"/>
          </w:tcPr>
          <w:p>
            <w:pPr>
              <w:spacing w:after="0"/>
              <w:rPr>
                <w:sz w:val="24"/>
                <w:szCs w:val="24"/>
                <w:color w:val="auto"/>
              </w:rPr>
            </w:pPr>
          </w:p>
        </w:tc>
        <w:tc>
          <w:tcPr>
            <w:tcW w:w="7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4"/>
                <w:szCs w:val="24"/>
                <w:color w:val="auto"/>
              </w:rPr>
            </w:pPr>
          </w:p>
        </w:tc>
        <w:tc>
          <w:tcPr>
            <w:tcW w:w="6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4"/>
                <w:szCs w:val="24"/>
                <w:color w:val="auto"/>
              </w:rPr>
            </w:pP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2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441.9</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210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444.4</w:t>
            </w:r>
          </w:p>
        </w:tc>
        <w:tc>
          <w:tcPr>
            <w:tcW w:w="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280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0.425</w:t>
            </w:r>
          </w:p>
        </w:tc>
        <w:tc>
          <w:tcPr>
            <w:tcW w:w="220" w:type="dxa"/>
            <w:vAlign w:val="bottom"/>
          </w:tcPr>
          <w:p>
            <w:pPr>
              <w:spacing w:after="0"/>
              <w:rPr>
                <w:sz w:val="24"/>
                <w:szCs w:val="24"/>
                <w:color w:val="auto"/>
              </w:rPr>
            </w:pP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0.41</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100" w:type="dxa"/>
            <w:vAlign w:val="bottom"/>
            <w:vMerge w:val="restart"/>
          </w:tcPr>
          <w:p>
            <w:pPr>
              <w:jc w:val="right"/>
              <w:ind w:right="1630"/>
              <w:spacing w:after="0"/>
              <w:rPr>
                <w:sz w:val="20"/>
                <w:szCs w:val="20"/>
                <w:color w:val="auto"/>
              </w:rPr>
            </w:pPr>
            <w:r>
              <w:rPr>
                <w:rFonts w:ascii="Arial" w:cs="Arial" w:eastAsia="Arial" w:hAnsi="Arial"/>
                <w:sz w:val="18"/>
                <w:szCs w:val="18"/>
                <w:b w:val="1"/>
                <w:bCs w:val="1"/>
                <w:color w:val="auto"/>
              </w:rPr>
              <w:t>(1)</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440" w:type="dxa"/>
            <w:vAlign w:val="bottom"/>
            <w:tcBorders>
              <w:bottom w:val="single" w:sz="8" w:color="808080"/>
            </w:tcBorders>
          </w:tcPr>
          <w:p>
            <w:pPr>
              <w:spacing w:after="0"/>
              <w:rPr>
                <w:sz w:val="11"/>
                <w:szCs w:val="11"/>
                <w:color w:val="auto"/>
              </w:rPr>
            </w:pPr>
          </w:p>
        </w:tc>
        <w:tc>
          <w:tcPr>
            <w:tcW w:w="21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Waste Management, Inc.</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Earnings Per Share</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 Millions, Except Per Share Amounts)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tcPr>
          <w:p>
            <w:pPr>
              <w:spacing w:after="0"/>
              <w:rPr>
                <w:sz w:val="20"/>
                <w:szCs w:val="20"/>
                <w:color w:val="auto"/>
              </w:rPr>
            </w:pPr>
          </w:p>
        </w:tc>
        <w:tc>
          <w:tcPr>
            <w:tcW w:w="31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b w:val="1"/>
                <w:bCs w:val="1"/>
                <w:color w:val="auto"/>
              </w:rPr>
              <w:t>Quarters Ended June 30,</w:t>
            </w:r>
          </w:p>
        </w:tc>
        <w:tc>
          <w:tcPr>
            <w:tcW w:w="56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5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5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7540" w:type="dxa"/>
            <w:vAlign w:val="bottom"/>
          </w:tcPr>
          <w:p>
            <w:pPr>
              <w:spacing w:after="0"/>
              <w:rPr>
                <w:sz w:val="20"/>
                <w:szCs w:val="20"/>
                <w:color w:val="auto"/>
              </w:rPr>
            </w:pPr>
            <w:r>
              <w:rPr>
                <w:rFonts w:ascii="Arial" w:cs="Arial" w:eastAsia="Arial" w:hAnsi="Arial"/>
                <w:sz w:val="18"/>
                <w:szCs w:val="18"/>
                <w:b w:val="1"/>
                <w:bCs w:val="1"/>
                <w:color w:val="auto"/>
              </w:rPr>
              <w:t>EPS Calculation:</w:t>
            </w: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11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754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1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439.7</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441.7</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Effect of using weighted average common shares outstanding</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40" w:type="dxa"/>
            <w:vAlign w:val="bottom"/>
          </w:tcPr>
          <w:p>
            <w:pPr>
              <w:spacing w:after="0" w:line="195" w:lineRule="exact"/>
              <w:rPr>
                <w:sz w:val="20"/>
                <w:szCs w:val="20"/>
                <w:color w:val="auto"/>
              </w:rPr>
            </w:pPr>
            <w:r>
              <w:rPr>
                <w:rFonts w:ascii="Arial" w:cs="Arial" w:eastAsia="Arial" w:hAnsi="Arial"/>
                <w:sz w:val="18"/>
                <w:szCs w:val="18"/>
                <w:color w:val="auto"/>
              </w:rPr>
              <w:t>Weighted average basic common shares outstanding</w:t>
            </w:r>
          </w:p>
        </w:tc>
        <w:tc>
          <w:tcPr>
            <w:tcW w:w="1160" w:type="dxa"/>
            <w:vAlign w:val="bottom"/>
          </w:tcPr>
          <w:p>
            <w:pPr>
              <w:spacing w:after="0"/>
              <w:rPr>
                <w:sz w:val="16"/>
                <w:szCs w:val="16"/>
                <w:color w:val="auto"/>
              </w:rPr>
            </w:pPr>
          </w:p>
        </w:tc>
        <w:tc>
          <w:tcPr>
            <w:tcW w:w="580" w:type="dxa"/>
            <w:vAlign w:val="bottom"/>
          </w:tcPr>
          <w:p>
            <w:pPr>
              <w:jc w:val="right"/>
              <w:spacing w:after="0" w:line="195" w:lineRule="exact"/>
              <w:rPr>
                <w:sz w:val="20"/>
                <w:szCs w:val="20"/>
                <w:color w:val="auto"/>
              </w:rPr>
            </w:pPr>
            <w:r>
              <w:rPr>
                <w:rFonts w:ascii="Arial" w:cs="Arial" w:eastAsia="Arial" w:hAnsi="Arial"/>
                <w:sz w:val="18"/>
                <w:szCs w:val="18"/>
                <w:color w:val="auto"/>
              </w:rPr>
              <w:t>441.9</w:t>
            </w: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444.0</w:t>
            </w: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54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1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54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1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2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75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11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16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0.81</w:t>
            </w:r>
          </w:p>
        </w:tc>
        <w:tc>
          <w:tcPr>
            <w:tcW w:w="220" w:type="dxa"/>
            <w:vAlign w:val="bottom"/>
          </w:tcPr>
          <w:p>
            <w:pPr>
              <w:spacing w:after="0"/>
              <w:rPr>
                <w:sz w:val="24"/>
                <w:szCs w:val="24"/>
                <w:color w:val="auto"/>
              </w:rPr>
            </w:pPr>
          </w:p>
        </w:tc>
        <w:tc>
          <w:tcPr>
            <w:tcW w:w="114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(2)</w:t>
            </w: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54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754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5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Waste Management, Inc.</w:t>
      </w:r>
    </w:p>
    <w:p>
      <w:pPr>
        <w:spacing w:after="0" w:line="18" w:lineRule="exact"/>
        <w:rPr>
          <w:sz w:val="20"/>
          <w:szCs w:val="20"/>
          <w:color w:val="auto"/>
        </w:rPr>
      </w:pPr>
    </w:p>
    <w:p>
      <w:pPr>
        <w:ind w:left="3400"/>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ind w:right="-19"/>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ectPr>
          <w:pgSz w:w="11900" w:h="16838" w:orient="portrait"/>
          <w:cols w:equalWidth="0" w:num="1">
            <w:col w:w="11460"/>
          </w:cols>
          <w:pgMar w:left="240" w:top="341"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5360" w:type="dxa"/>
            <w:vAlign w:val="bottom"/>
          </w:tcPr>
          <w:p>
            <w:pPr>
              <w:spacing w:after="0"/>
              <w:rPr>
                <w:sz w:val="20"/>
                <w:szCs w:val="20"/>
                <w:color w:val="auto"/>
              </w:rPr>
            </w:pPr>
            <w:r>
              <w:rPr>
                <w:rFonts w:ascii="Arial" w:cs="Arial" w:eastAsia="Arial" w:hAnsi="Arial"/>
                <w:sz w:val="18"/>
                <w:szCs w:val="18"/>
                <w:color w:val="auto"/>
              </w:rPr>
              <w:t>Operating revenues</w:t>
            </w:r>
          </w:p>
        </w:tc>
        <w:tc>
          <w:tcPr>
            <w:tcW w:w="3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7,117</w:t>
            </w:r>
          </w:p>
        </w:tc>
        <w:tc>
          <w:tcPr>
            <w:tcW w:w="28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6,601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Costs and expenses:</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w w:val="93"/>
              </w:rPr>
              <w:t>Expense from divestitures, asset impairments and unusual items, net</w:t>
            </w: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60" w:type="dxa"/>
            <w:vAlign w:val="bottom"/>
            <w:vMerge w:val="continue"/>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1,231</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360" w:type="dxa"/>
            <w:vAlign w:val="bottom"/>
          </w:tcPr>
          <w:p>
            <w:pPr>
              <w:spacing w:after="0"/>
              <w:rPr>
                <w:sz w:val="20"/>
                <w:szCs w:val="20"/>
                <w:color w:val="auto"/>
              </w:rPr>
            </w:pPr>
            <w:r>
              <w:rPr>
                <w:rFonts w:ascii="Arial" w:cs="Arial" w:eastAsia="Arial" w:hAnsi="Arial"/>
                <w:sz w:val="18"/>
                <w:szCs w:val="18"/>
                <w:color w:val="auto"/>
              </w:rPr>
              <w:t>Other income (expense):</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2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3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1,004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855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Income tax expense</w:t>
            </w: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36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line="195" w:lineRule="exact"/>
              <w:rPr>
                <w:sz w:val="20"/>
                <w:szCs w:val="20"/>
                <w:color w:val="auto"/>
              </w:rPr>
            </w:pPr>
            <w:r>
              <w:rPr>
                <w:rFonts w:ascii="Arial" w:cs="Arial" w:eastAsia="Arial" w:hAnsi="Arial"/>
                <w:sz w:val="18"/>
                <w:szCs w:val="18"/>
                <w:color w:val="auto"/>
              </w:rPr>
              <w:t>658</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542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29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940" w:type="dxa"/>
            <w:vAlign w:val="bottom"/>
          </w:tcPr>
          <w:p>
            <w:pPr>
              <w:spacing w:after="0"/>
              <w:rPr>
                <w:sz w:val="18"/>
                <w:szCs w:val="18"/>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940" w:type="dxa"/>
            <w:vAlign w:val="bottom"/>
          </w:tcPr>
          <w:p>
            <w:pPr>
              <w:spacing w:after="0"/>
              <w:rPr>
                <w:sz w:val="24"/>
                <w:szCs w:val="24"/>
                <w:color w:val="auto"/>
              </w:rPr>
            </w:pP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w:t>
            </w:r>
          </w:p>
        </w:tc>
        <w:tc>
          <w:tcPr>
            <w:tcW w:w="2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2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0.85</w:t>
            </w:r>
          </w:p>
        </w:tc>
        <w:tc>
          <w:tcPr>
            <w:tcW w:w="280" w:type="dxa"/>
            <w:vAlign w:val="bottom"/>
          </w:tcPr>
          <w:p>
            <w:pPr>
              <w:spacing w:after="0"/>
              <w:rPr>
                <w:sz w:val="24"/>
                <w:szCs w:val="24"/>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940" w:type="dxa"/>
            <w:vAlign w:val="bottom"/>
            <w:vMerge w:val="restart"/>
          </w:tcPr>
          <w:p>
            <w:pPr>
              <w:jc w:val="right"/>
              <w:ind w:right="2390"/>
              <w:spacing w:after="0"/>
              <w:rPr>
                <w:sz w:val="20"/>
                <w:szCs w:val="20"/>
                <w:color w:val="auto"/>
              </w:rPr>
            </w:pPr>
            <w:r>
              <w:rPr>
                <w:rFonts w:ascii="Arial" w:cs="Arial" w:eastAsia="Arial" w:hAnsi="Arial"/>
                <w:sz w:val="18"/>
                <w:szCs w:val="18"/>
                <w:b w:val="1"/>
                <w:bCs w:val="1"/>
                <w:color w:val="auto"/>
              </w:rPr>
              <w:t>(3)</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3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360" w:type="dxa"/>
            <w:vAlign w:val="bottom"/>
            <w:tcBorders>
              <w:bottom w:val="single" w:sz="8" w:color="808080"/>
            </w:tcBorders>
          </w:tcPr>
          <w:p>
            <w:pPr>
              <w:spacing w:after="0"/>
              <w:rPr>
                <w:sz w:val="11"/>
                <w:szCs w:val="11"/>
                <w:color w:val="auto"/>
              </w:rPr>
            </w:pPr>
          </w:p>
        </w:tc>
        <w:tc>
          <w:tcPr>
            <w:tcW w:w="29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Earnings Per Share</w:t>
      </w:r>
    </w:p>
    <w:p>
      <w:pPr>
        <w:jc w:val="center"/>
        <w:ind w:right="-19"/>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8300" w:type="dxa"/>
            <w:vAlign w:val="bottom"/>
          </w:tcPr>
          <w:p>
            <w:pPr>
              <w:spacing w:after="0"/>
              <w:rPr>
                <w:sz w:val="20"/>
                <w:szCs w:val="20"/>
                <w:color w:val="auto"/>
              </w:rPr>
            </w:pPr>
            <w:r>
              <w:rPr>
                <w:rFonts w:ascii="Arial" w:cs="Arial" w:eastAsia="Arial" w:hAnsi="Arial"/>
                <w:sz w:val="18"/>
                <w:szCs w:val="18"/>
                <w:b w:val="1"/>
                <w:bCs w:val="1"/>
                <w:color w:val="auto"/>
              </w:rPr>
              <w:t>EPS Calculation:</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0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88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8300" w:type="dxa"/>
            <w:vAlign w:val="bottom"/>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439.7</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441.7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Effect of using weighted average common shares outstanding</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8300" w:type="dxa"/>
            <w:vAlign w:val="bottom"/>
          </w:tcPr>
          <w:p>
            <w:pPr>
              <w:spacing w:after="0" w:line="195" w:lineRule="exact"/>
              <w:rPr>
                <w:sz w:val="20"/>
                <w:szCs w:val="20"/>
                <w:color w:val="auto"/>
              </w:rPr>
            </w:pPr>
            <w:r>
              <w:rPr>
                <w:rFonts w:ascii="Arial" w:cs="Arial" w:eastAsia="Arial" w:hAnsi="Arial"/>
                <w:sz w:val="18"/>
                <w:szCs w:val="18"/>
                <w:color w:val="auto"/>
              </w:rPr>
              <w:t>Weighted average basic common shares outstanding</w:t>
            </w:r>
          </w:p>
        </w:tc>
        <w:tc>
          <w:tcPr>
            <w:tcW w:w="880" w:type="dxa"/>
            <w:vAlign w:val="bottom"/>
          </w:tcPr>
          <w:p>
            <w:pPr>
              <w:spacing w:after="0"/>
              <w:rPr>
                <w:sz w:val="16"/>
                <w:szCs w:val="16"/>
                <w:color w:val="auto"/>
              </w:rPr>
            </w:pPr>
          </w:p>
        </w:tc>
        <w:tc>
          <w:tcPr>
            <w:tcW w:w="480" w:type="dxa"/>
            <w:vAlign w:val="bottom"/>
          </w:tcPr>
          <w:p>
            <w:pPr>
              <w:jc w:val="right"/>
              <w:spacing w:after="0" w:line="195" w:lineRule="exact"/>
              <w:rPr>
                <w:sz w:val="20"/>
                <w:szCs w:val="20"/>
                <w:color w:val="auto"/>
              </w:rPr>
            </w:pPr>
            <w:r>
              <w:rPr>
                <w:rFonts w:ascii="Arial" w:cs="Arial" w:eastAsia="Arial" w:hAnsi="Arial"/>
                <w:sz w:val="18"/>
                <w:szCs w:val="18"/>
                <w:color w:val="auto"/>
                <w:w w:val="88"/>
              </w:rPr>
              <w:t>441.6</w:t>
            </w: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spacing w:after="0" w:line="195" w:lineRule="exact"/>
              <w:rPr>
                <w:sz w:val="20"/>
                <w:szCs w:val="20"/>
                <w:color w:val="auto"/>
              </w:rPr>
            </w:pPr>
            <w:r>
              <w:rPr>
                <w:rFonts w:ascii="Arial" w:cs="Arial" w:eastAsia="Arial" w:hAnsi="Arial"/>
                <w:sz w:val="18"/>
                <w:szCs w:val="18"/>
                <w:color w:val="auto"/>
              </w:rPr>
              <w:t>445.0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300" w:type="dxa"/>
            <w:vAlign w:val="bottom"/>
          </w:tcPr>
          <w:p>
            <w:pPr>
              <w:ind w:left="18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Weighted average diluted common shares outstanding</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444.4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830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8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24"/>
                <w:szCs w:val="24"/>
                <w:color w:val="auto"/>
              </w:rPr>
            </w:pPr>
          </w:p>
        </w:tc>
        <w:tc>
          <w:tcPr>
            <w:tcW w:w="3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300" w:type="dxa"/>
            <w:vAlign w:val="bottom"/>
            <w:vMerge w:val="restart"/>
          </w:tcPr>
          <w:p>
            <w:pPr>
              <w:ind w:left="5600"/>
              <w:spacing w:after="0"/>
              <w:rPr>
                <w:sz w:val="20"/>
                <w:szCs w:val="20"/>
                <w:color w:val="auto"/>
              </w:rPr>
            </w:pPr>
            <w:r>
              <w:rPr>
                <w:rFonts w:ascii="Arial" w:cs="Arial" w:eastAsia="Arial" w:hAnsi="Arial"/>
                <w:sz w:val="18"/>
                <w:szCs w:val="18"/>
                <w:b w:val="1"/>
                <w:bCs w:val="1"/>
                <w:color w:val="auto"/>
              </w:rPr>
              <w:t>(4)</w:t>
            </w: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0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3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10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Waste Management, Inc.</w:t>
      </w:r>
    </w:p>
    <w:p>
      <w:pPr>
        <w:sectPr>
          <w:pgSz w:w="11900" w:h="16838" w:orient="portrait"/>
          <w:cols w:equalWidth="0" w:num="1">
            <w:col w:w="11460"/>
          </w:cols>
          <w:pgMar w:left="240" w:top="337" w:right="199" w:bottom="0" w:gutter="0" w:footer="0" w:header="0"/>
        </w:sectPr>
      </w:pPr>
    </w:p>
    <w:bookmarkStart w:id="6" w:name="page7"/>
    <w:bookmarkEnd w:id="6"/>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(Unaudited)</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5160" w:type="dxa"/>
            <w:vAlign w:val="bottom"/>
            <w:vMerge w:val="continue"/>
          </w:tcPr>
          <w:p>
            <w:pPr>
              <w:spacing w:after="0"/>
              <w:rPr>
                <w:sz w:val="17"/>
                <w:szCs w:val="17"/>
                <w:color w:val="auto"/>
              </w:rPr>
            </w:pPr>
          </w:p>
        </w:tc>
        <w:tc>
          <w:tcPr>
            <w:tcW w:w="3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Current assets:</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Other</w:t>
            </w: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2,326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11,002</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10,950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Goodwill</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6,215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573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assets</w:t>
            </w: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3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3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60" w:type="dxa"/>
            <w:vAlign w:val="bottom"/>
            <w:vMerge w:val="continue"/>
          </w:tcPr>
          <w:p>
            <w:pPr>
              <w:spacing w:after="0"/>
              <w:rPr>
                <w:sz w:val="24"/>
                <w:szCs w:val="24"/>
                <w:color w:val="auto"/>
              </w:rPr>
            </w:pP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Current liabilities:</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2,380</w:t>
            </w:r>
          </w:p>
        </w:tc>
        <w:tc>
          <w:tcPr>
            <w:tcW w:w="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Current portion of long-term debt</w:t>
            </w: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3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2,770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6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8,667</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8,893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Other liabilities</w:t>
            </w: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3,895</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3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15,332</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160" w:type="dxa"/>
            <w:vAlign w:val="bottom"/>
          </w:tcPr>
          <w:p>
            <w:pPr>
              <w:spacing w:after="0"/>
              <w:rPr>
                <w:sz w:val="20"/>
                <w:szCs w:val="20"/>
                <w:color w:val="auto"/>
              </w:rPr>
            </w:pPr>
            <w:r>
              <w:rPr>
                <w:rFonts w:ascii="Arial" w:cs="Arial" w:eastAsia="Arial" w:hAnsi="Arial"/>
                <w:sz w:val="18"/>
                <w:szCs w:val="18"/>
                <w:color w:val="auto"/>
              </w:rPr>
              <w:t>Equity:</w:t>
            </w:r>
          </w:p>
        </w:tc>
        <w:tc>
          <w:tcPr>
            <w:tcW w:w="3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380"/>
              <w:spacing w:after="0"/>
              <w:rPr>
                <w:sz w:val="20"/>
                <w:szCs w:val="20"/>
                <w:color w:val="auto"/>
              </w:rPr>
            </w:pPr>
            <w:r>
              <w:rPr>
                <w:rFonts w:ascii="Arial" w:cs="Arial" w:eastAsia="Arial" w:hAnsi="Arial"/>
                <w:sz w:val="18"/>
                <w:szCs w:val="18"/>
                <w:color w:val="auto"/>
              </w:rPr>
              <w:t>Waste Management, Inc. stockholders’ equity</w:t>
            </w:r>
          </w:p>
        </w:tc>
        <w:tc>
          <w:tcPr>
            <w:tcW w:w="3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00"/>
              <w:spacing w:after="0"/>
              <w:rPr>
                <w:sz w:val="20"/>
                <w:szCs w:val="20"/>
                <w:color w:val="auto"/>
              </w:rPr>
            </w:pPr>
            <w:r>
              <w:rPr>
                <w:rFonts w:ascii="Arial" w:cs="Arial" w:eastAsia="Arial" w:hAnsi="Arial"/>
                <w:sz w:val="18"/>
                <w:szCs w:val="18"/>
                <w:color w:val="auto"/>
              </w:rPr>
              <w:t>Total equity</w:t>
            </w:r>
          </w:p>
        </w:tc>
        <w:tc>
          <w:tcPr>
            <w:tcW w:w="3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3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20,839</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140" w:type="dxa"/>
            <w:vAlign w:val="bottom"/>
            <w:vMerge w:val="restart"/>
          </w:tcPr>
          <w:p>
            <w:pPr>
              <w:jc w:val="right"/>
              <w:ind w:right="2390"/>
              <w:spacing w:after="0"/>
              <w:rPr>
                <w:sz w:val="20"/>
                <w:szCs w:val="20"/>
                <w:color w:val="auto"/>
              </w:rPr>
            </w:pPr>
            <w:r>
              <w:rPr>
                <w:rFonts w:ascii="Arial" w:cs="Arial" w:eastAsia="Arial" w:hAnsi="Arial"/>
                <w:sz w:val="18"/>
                <w:szCs w:val="18"/>
                <w:b w:val="1"/>
                <w:bCs w:val="1"/>
                <w:color w:val="auto"/>
              </w:rPr>
              <w:t>(5)</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160" w:type="dxa"/>
            <w:vAlign w:val="bottom"/>
          </w:tcPr>
          <w:p>
            <w:pPr>
              <w:spacing w:after="0"/>
              <w:rPr>
                <w:sz w:val="24"/>
                <w:szCs w:val="24"/>
                <w:color w:val="auto"/>
              </w:rPr>
            </w:pPr>
          </w:p>
        </w:tc>
        <w:tc>
          <w:tcPr>
            <w:tcW w:w="31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6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Waste Management,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(In Millions)</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(Unaudited)</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302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10"/>
        </w:trPr>
        <w:tc>
          <w:tcPr>
            <w:tcW w:w="83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Consolidated net income</w:t>
            </w:r>
          </w:p>
        </w:tc>
        <w:tc>
          <w:tcPr>
            <w:tcW w:w="88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658</w:t>
            </w:r>
          </w:p>
        </w:tc>
        <w:tc>
          <w:tcPr>
            <w:tcW w:w="280" w:type="dxa"/>
            <w:vAlign w:val="bottom"/>
          </w:tcPr>
          <w:p>
            <w:pPr>
              <w:spacing w:after="0"/>
              <w:rPr>
                <w:sz w:val="18"/>
                <w:szCs w:val="18"/>
                <w:color w:val="auto"/>
              </w:rPr>
            </w:pP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542</w:t>
            </w: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300" w:type="dxa"/>
            <w:vAlign w:val="bottom"/>
          </w:tcPr>
          <w:p>
            <w:pPr>
              <w:ind w:left="560"/>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684</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652</w:t>
            </w:r>
          </w:p>
        </w:tc>
      </w:tr>
      <w:tr>
        <w:trPr>
          <w:trHeight w:val="216"/>
        </w:trPr>
        <w:tc>
          <w:tcPr>
            <w:tcW w:w="8300" w:type="dxa"/>
            <w:vAlign w:val="bottom"/>
          </w:tcPr>
          <w:p>
            <w:pPr>
              <w:ind w:left="560"/>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159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216"/>
        </w:trPr>
        <w:tc>
          <w:tcPr>
            <w:tcW w:w="8300" w:type="dxa"/>
            <w:vAlign w:val="bottom"/>
          </w:tcPr>
          <w:p>
            <w:pPr>
              <w:ind w:left="5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1,534</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w:t>
            </w: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30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(572)</w:t>
            </w:r>
          </w:p>
        </w:tc>
      </w:tr>
      <w:tr>
        <w:trPr>
          <w:trHeight w:val="216"/>
        </w:trPr>
        <w:tc>
          <w:tcPr>
            <w:tcW w:w="83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(631)</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8300" w:type="dxa"/>
            <w:vAlign w:val="bottom"/>
          </w:tcPr>
          <w:p>
            <w:pPr>
              <w:ind w:left="20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830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(1,186)</w:t>
            </w: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New borrowings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2,094</w:t>
            </w: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Debt repayments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(627)</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Net commercial paper borrowings</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Common stock repurchase program</w:t>
            </w: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Cash dividends</w:t>
            </w: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(381)</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(364)</w:t>
            </w:r>
          </w:p>
        </w:tc>
      </w:tr>
    </w:tbl>
    <w:p>
      <w:pPr>
        <w:sectPr>
          <w:pgSz w:w="11900" w:h="16838" w:orient="portrait"/>
          <w:cols w:equalWidth="0" w:num="1">
            <w:col w:w="11460"/>
          </w:cols>
          <w:pgMar w:left="240" w:top="111" w:right="1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Exercise of common stock options</w:t>
            </w:r>
          </w:p>
        </w:tc>
        <w:tc>
          <w:tcPr>
            <w:tcW w:w="5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8300" w:type="dxa"/>
            <w:vAlign w:val="bottom"/>
          </w:tcPr>
          <w:p>
            <w:pPr>
              <w:ind w:left="26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560" w:type="dxa"/>
            <w:vAlign w:val="bottom"/>
          </w:tcPr>
          <w:p>
            <w:pPr>
              <w:spacing w:after="0"/>
              <w:rPr>
                <w:sz w:val="18"/>
                <w:szCs w:val="18"/>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93"/>
              </w:rPr>
              <w:t>(47)</w:t>
            </w: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8300" w:type="dxa"/>
            <w:vAlign w:val="bottom"/>
          </w:tcPr>
          <w:p>
            <w:pPr>
              <w:ind w:left="260"/>
              <w:spacing w:after="0"/>
              <w:rPr>
                <w:sz w:val="20"/>
                <w:szCs w:val="20"/>
                <w:color w:val="auto"/>
              </w:rPr>
            </w:pPr>
            <w:r>
              <w:rPr>
                <w:rFonts w:ascii="Arial" w:cs="Arial" w:eastAsia="Arial" w:hAnsi="Arial"/>
                <w:sz w:val="18"/>
                <w:szCs w:val="18"/>
                <w:color w:val="auto"/>
              </w:rPr>
              <w:t>Other, net</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5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8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r>
      <w:tr>
        <w:trPr>
          <w:trHeight w:val="426"/>
        </w:trPr>
        <w:tc>
          <w:tcPr>
            <w:tcW w:w="830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411"/>
        </w:trPr>
        <w:tc>
          <w:tcPr>
            <w:tcW w:w="830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560" w:type="dxa"/>
            <w:vAlign w:val="bottom"/>
          </w:tcPr>
          <w:p>
            <w:pPr>
              <w:spacing w:after="0"/>
              <w:rPr>
                <w:sz w:val="24"/>
                <w:szCs w:val="24"/>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jc w:val="right"/>
              <w:ind w:right="170"/>
              <w:spacing w:after="0"/>
              <w:rPr>
                <w:sz w:val="20"/>
                <w:szCs w:val="20"/>
                <w:color w:val="auto"/>
              </w:rPr>
            </w:pPr>
            <w:r>
              <w:rPr>
                <w:rFonts w:ascii="Arial" w:cs="Arial" w:eastAsia="Arial" w:hAnsi="Arial"/>
                <w:sz w:val="18"/>
                <w:szCs w:val="18"/>
                <w:color w:val="auto"/>
              </w:rPr>
              <w:t>-</w:t>
            </w:r>
          </w:p>
        </w:tc>
      </w:tr>
      <w:tr>
        <w:trPr>
          <w:trHeight w:val="230"/>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18"/>
                <w:szCs w:val="18"/>
                <w:color w:val="auto"/>
              </w:rPr>
            </w:pPr>
          </w:p>
        </w:tc>
        <w:tc>
          <w:tcPr>
            <w:tcW w:w="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0"/>
        </w:trPr>
        <w:tc>
          <w:tcPr>
            <w:tcW w:w="8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Prior year information has been revised to reflect the adoption of ASU 2016-09 and conform to our current year presentation.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center"/>
              <w:ind w:right="580"/>
              <w:spacing w:after="0"/>
              <w:rPr>
                <w:sz w:val="20"/>
                <w:szCs w:val="20"/>
                <w:color w:val="auto"/>
              </w:rPr>
            </w:pPr>
            <w:r>
              <w:rPr>
                <w:rFonts w:ascii="Arial" w:cs="Arial" w:eastAsia="Arial" w:hAnsi="Arial"/>
                <w:sz w:val="18"/>
                <w:szCs w:val="18"/>
                <w:b w:val="1"/>
                <w:bCs w:val="1"/>
                <w:color w:val="auto"/>
                <w:w w:val="91"/>
              </w:rPr>
              <w:t>Quarters Ended</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gridSpan w:val="2"/>
          </w:tcPr>
          <w:p>
            <w:pPr>
              <w:ind w:left="100"/>
              <w:spacing w:after="0" w:line="191"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6"/>
                <w:szCs w:val="16"/>
                <w:color w:val="auto"/>
              </w:rPr>
            </w:pPr>
          </w:p>
        </w:tc>
        <w:tc>
          <w:tcPr>
            <w:tcW w:w="1700" w:type="dxa"/>
            <w:vAlign w:val="bottom"/>
            <w:gridSpan w:val="2"/>
          </w:tcPr>
          <w:p>
            <w:pPr>
              <w:jc w:val="center"/>
              <w:ind w:right="800"/>
              <w:spacing w:after="0" w:line="191" w:lineRule="exact"/>
              <w:rPr>
                <w:sz w:val="20"/>
                <w:szCs w:val="20"/>
                <w:color w:val="auto"/>
              </w:rPr>
            </w:pPr>
            <w:r>
              <w:rPr>
                <w:rFonts w:ascii="Arial" w:cs="Arial" w:eastAsia="Arial" w:hAnsi="Arial"/>
                <w:sz w:val="18"/>
                <w:szCs w:val="18"/>
                <w:b w:val="1"/>
                <w:bCs w:val="1"/>
                <w:color w:val="auto"/>
                <w:w w:val="93"/>
              </w:rPr>
              <w:t>March 31,</w:t>
            </w:r>
          </w:p>
        </w:tc>
        <w:tc>
          <w:tcPr>
            <w:tcW w:w="260" w:type="dxa"/>
            <w:vAlign w:val="bottom"/>
          </w:tcPr>
          <w:p>
            <w:pPr>
              <w:spacing w:after="0"/>
              <w:rPr>
                <w:sz w:val="16"/>
                <w:szCs w:val="16"/>
                <w:color w:val="auto"/>
              </w:rPr>
            </w:pPr>
          </w:p>
        </w:tc>
        <w:tc>
          <w:tcPr>
            <w:tcW w:w="1100" w:type="dxa"/>
            <w:vAlign w:val="bottom"/>
          </w:tcPr>
          <w:p>
            <w:pPr>
              <w:jc w:val="right"/>
              <w:ind w:right="270"/>
              <w:spacing w:after="0" w:line="191" w:lineRule="exact"/>
              <w:rPr>
                <w:sz w:val="20"/>
                <w:szCs w:val="20"/>
                <w:color w:val="auto"/>
              </w:rPr>
            </w:pPr>
            <w:r>
              <w:rPr>
                <w:rFonts w:ascii="Arial" w:cs="Arial" w:eastAsia="Arial" w:hAnsi="Arial"/>
                <w:sz w:val="18"/>
                <w:szCs w:val="18"/>
                <w:b w:val="1"/>
                <w:bCs w:val="1"/>
                <w:color w:val="auto"/>
                <w:w w:val="99"/>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80" w:type="dxa"/>
            <w:vAlign w:val="bottom"/>
            <w:vMerge w:val="restart"/>
          </w:tcPr>
          <w:p>
            <w:pPr>
              <w:spacing w:after="0"/>
              <w:rPr>
                <w:sz w:val="20"/>
                <w:szCs w:val="20"/>
                <w:color w:val="auto"/>
              </w:rPr>
            </w:pPr>
            <w:r>
              <w:rPr>
                <w:rFonts w:ascii="Arial" w:cs="Arial" w:eastAsia="Arial" w:hAnsi="Arial"/>
                <w:sz w:val="18"/>
                <w:szCs w:val="18"/>
                <w:b w:val="1"/>
                <w:bCs w:val="1"/>
                <w:color w:val="auto"/>
                <w:w w:val="87"/>
              </w:rPr>
              <w:t>Operating Revenues by Lines of Business</w:t>
            </w:r>
          </w:p>
        </w:tc>
        <w:tc>
          <w:tcPr>
            <w:tcW w:w="1780" w:type="dxa"/>
            <w:vAlign w:val="bottom"/>
            <w:vMerge w:val="restart"/>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2017</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1"/>
        </w:trPr>
        <w:tc>
          <w:tcPr>
            <w:tcW w:w="3180" w:type="dxa"/>
            <w:vAlign w:val="bottom"/>
            <w:tcBorders>
              <w:bottom w:val="single" w:sz="8" w:color="auto"/>
            </w:tcBorders>
            <w:vMerge w:val="continue"/>
          </w:tcPr>
          <w:p>
            <w:pPr>
              <w:spacing w:after="0"/>
              <w:rPr>
                <w:sz w:val="13"/>
                <w:szCs w:val="13"/>
                <w:color w:val="auto"/>
              </w:rPr>
            </w:pPr>
          </w:p>
        </w:tc>
        <w:tc>
          <w:tcPr>
            <w:tcW w:w="17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Collection</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720"/>
              <w:spacing w:after="0"/>
              <w:rPr>
                <w:sz w:val="20"/>
                <w:szCs w:val="20"/>
                <w:color w:val="auto"/>
              </w:rPr>
            </w:pPr>
            <w:r>
              <w:rPr>
                <w:rFonts w:ascii="Arial" w:cs="Arial" w:eastAsia="Arial" w:hAnsi="Arial"/>
                <w:sz w:val="18"/>
                <w:szCs w:val="18"/>
                <w:color w:val="auto"/>
              </w:rPr>
              <w:t>Commercial</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917</w:t>
            </w:r>
          </w:p>
        </w:tc>
        <w:tc>
          <w:tcPr>
            <w:tcW w:w="56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911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720"/>
              <w:spacing w:after="0"/>
              <w:rPr>
                <w:sz w:val="20"/>
                <w:szCs w:val="20"/>
                <w:color w:val="auto"/>
              </w:rPr>
            </w:pPr>
            <w:r>
              <w:rPr>
                <w:rFonts w:ascii="Arial" w:cs="Arial" w:eastAsia="Arial" w:hAnsi="Arial"/>
                <w:sz w:val="18"/>
                <w:szCs w:val="18"/>
                <w:color w:val="auto"/>
              </w:rPr>
              <w:t>Residential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632</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621</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720"/>
              <w:spacing w:after="0"/>
              <w:rPr>
                <w:sz w:val="20"/>
                <w:szCs w:val="20"/>
                <w:color w:val="auto"/>
              </w:rPr>
            </w:pPr>
            <w:r>
              <w:rPr>
                <w:rFonts w:ascii="Arial" w:cs="Arial" w:eastAsia="Arial" w:hAnsi="Arial"/>
                <w:sz w:val="18"/>
                <w:szCs w:val="18"/>
                <w:color w:val="auto"/>
              </w:rPr>
              <w:t>Industrial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603</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ind w:left="7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5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4960" w:type="dxa"/>
            <w:vAlign w:val="bottom"/>
            <w:gridSpan w:val="2"/>
          </w:tcPr>
          <w:p>
            <w:pPr>
              <w:ind w:left="520"/>
              <w:spacing w:after="0" w:line="195" w:lineRule="exact"/>
              <w:rPr>
                <w:sz w:val="20"/>
                <w:szCs w:val="20"/>
                <w:color w:val="auto"/>
              </w:rPr>
            </w:pPr>
            <w:r>
              <w:rPr>
                <w:rFonts w:ascii="Arial" w:cs="Arial" w:eastAsia="Arial" w:hAnsi="Arial"/>
                <w:sz w:val="18"/>
                <w:szCs w:val="18"/>
                <w:color w:val="auto"/>
              </w:rPr>
              <w:t>Total Collection</w:t>
            </w:r>
          </w:p>
        </w:tc>
        <w:tc>
          <w:tcPr>
            <w:tcW w:w="26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2,326</w:t>
            </w: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2,235</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spacing w:after="0" w:line="195" w:lineRule="exact"/>
              <w:rPr>
                <w:sz w:val="20"/>
                <w:szCs w:val="20"/>
                <w:color w:val="auto"/>
              </w:rPr>
            </w:pPr>
            <w:r>
              <w:rPr>
                <w:rFonts w:ascii="Arial" w:cs="Arial" w:eastAsia="Arial" w:hAnsi="Arial"/>
                <w:sz w:val="18"/>
                <w:szCs w:val="18"/>
                <w:color w:val="auto"/>
              </w:rPr>
              <w:t>2,211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Landfill</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739</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Transfer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414</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366</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Recycling</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372</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437</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60" w:type="dxa"/>
            <w:vAlign w:val="bottom"/>
            <w:gridSpan w:val="2"/>
          </w:tcPr>
          <w:p>
            <w:pPr>
              <w:ind w:left="52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260" w:type="dxa"/>
            <w:vAlign w:val="bottom"/>
          </w:tcPr>
          <w:p>
            <w:pPr>
              <w:spacing w:after="0"/>
              <w:rPr>
                <w:sz w:val="20"/>
                <w:szCs w:val="20"/>
                <w:color w:val="auto"/>
              </w:rPr>
            </w:pPr>
          </w:p>
        </w:tc>
        <w:tc>
          <w:tcPr>
            <w:tcW w:w="1660" w:type="dxa"/>
            <w:vAlign w:val="bottom"/>
            <w:gridSpan w:val="2"/>
          </w:tcPr>
          <w:p>
            <w:pPr>
              <w:jc w:val="right"/>
              <w:ind w:right="560"/>
              <w:spacing w:after="0"/>
              <w:rPr>
                <w:sz w:val="20"/>
                <w:szCs w:val="20"/>
                <w:color w:val="auto"/>
              </w:rPr>
            </w:pPr>
            <w:r>
              <w:rPr>
                <w:rFonts w:ascii="Arial" w:cs="Arial" w:eastAsia="Arial" w:hAnsi="Arial"/>
                <w:sz w:val="18"/>
                <w:szCs w:val="18"/>
                <w:color w:val="auto"/>
              </w:rPr>
              <w:t>(739)</w:t>
            </w:r>
          </w:p>
        </w:tc>
        <w:tc>
          <w:tcPr>
            <w:tcW w:w="240" w:type="dxa"/>
            <w:vAlign w:val="bottom"/>
          </w:tcPr>
          <w:p>
            <w:pPr>
              <w:spacing w:after="0"/>
              <w:rPr>
                <w:sz w:val="20"/>
                <w:szCs w:val="20"/>
                <w:color w:val="auto"/>
              </w:rPr>
            </w:pPr>
          </w:p>
        </w:tc>
        <w:tc>
          <w:tcPr>
            <w:tcW w:w="1700" w:type="dxa"/>
            <w:vAlign w:val="bottom"/>
            <w:gridSpan w:val="2"/>
          </w:tcPr>
          <w:p>
            <w:pPr>
              <w:jc w:val="right"/>
              <w:ind w:right="580"/>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20"/>
                <w:szCs w:val="20"/>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10"/>
        </w:trPr>
        <w:tc>
          <w:tcPr>
            <w:tcW w:w="4960" w:type="dxa"/>
            <w:vAlign w:val="bottom"/>
            <w:gridSpan w:val="2"/>
          </w:tcPr>
          <w:p>
            <w:pPr>
              <w:ind w:left="720"/>
              <w:spacing w:after="0"/>
              <w:rPr>
                <w:sz w:val="20"/>
                <w:szCs w:val="20"/>
                <w:color w:val="auto"/>
              </w:rPr>
            </w:pPr>
            <w:r>
              <w:rPr>
                <w:rFonts w:ascii="Arial" w:cs="Arial" w:eastAsia="Arial" w:hAnsi="Arial"/>
                <w:sz w:val="18"/>
                <w:szCs w:val="18"/>
                <w:color w:val="auto"/>
              </w:rPr>
              <w:t>Operating revenues</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5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5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5"/>
          </w:tcPr>
          <w:p>
            <w:pPr>
              <w:ind w:left="940"/>
              <w:spacing w:after="0"/>
              <w:rPr>
                <w:sz w:val="20"/>
                <w:szCs w:val="20"/>
                <w:color w:val="auto"/>
              </w:rPr>
            </w:pPr>
            <w:r>
              <w:rPr>
                <w:rFonts w:ascii="Arial" w:cs="Arial" w:eastAsia="Arial" w:hAnsi="Arial"/>
                <w:sz w:val="18"/>
                <w:szCs w:val="18"/>
                <w:b w:val="1"/>
                <w:bCs w:val="1"/>
                <w:color w:val="auto"/>
              </w:rPr>
              <w:t>Quarters Ended</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1010"/>
              <w:spacing w:after="0"/>
              <w:rPr>
                <w:sz w:val="20"/>
                <w:szCs w:val="20"/>
                <w:color w:val="auto"/>
              </w:rPr>
            </w:pPr>
            <w:r>
              <w:rPr>
                <w:rFonts w:ascii="Arial" w:cs="Arial" w:eastAsia="Arial" w:hAnsi="Arial"/>
                <w:sz w:val="18"/>
                <w:szCs w:val="18"/>
                <w:b w:val="1"/>
                <w:bCs w:val="1"/>
                <w:color w:val="auto"/>
              </w:rPr>
              <w:t>June 30, 2017</w:t>
            </w:r>
          </w:p>
        </w:tc>
        <w:tc>
          <w:tcPr>
            <w:tcW w:w="4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3"/>
          </w:tcPr>
          <w:p>
            <w:pPr>
              <w:jc w:val="right"/>
              <w:ind w:right="850"/>
              <w:spacing w:after="0"/>
              <w:rPr>
                <w:sz w:val="20"/>
                <w:szCs w:val="20"/>
                <w:color w:val="auto"/>
              </w:rPr>
            </w:pPr>
            <w:r>
              <w:rPr>
                <w:rFonts w:ascii="Arial" w:cs="Arial" w:eastAsia="Arial" w:hAnsi="Arial"/>
                <w:sz w:val="18"/>
                <w:szCs w:val="18"/>
                <w:b w:val="1"/>
                <w:bCs w:val="1"/>
                <w:color w:val="auto"/>
              </w:rPr>
              <w:t>June 30, 2016</w:t>
            </w:r>
          </w:p>
        </w:tc>
        <w:tc>
          <w:tcPr>
            <w:tcW w:w="0" w:type="dxa"/>
            <w:vAlign w:val="bottom"/>
          </w:tcPr>
          <w:p>
            <w:pPr>
              <w:spacing w:after="0"/>
              <w:rPr>
                <w:sz w:val="1"/>
                <w:szCs w:val="1"/>
                <w:color w:val="auto"/>
              </w:rPr>
            </w:pPr>
          </w:p>
        </w:tc>
      </w:tr>
      <w:tr>
        <w:trPr>
          <w:trHeight w:val="385"/>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Analysis of Change in Year Over Year Revenues</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As a %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As a % of</w:t>
            </w:r>
          </w:p>
        </w:tc>
        <w:tc>
          <w:tcPr>
            <w:tcW w:w="0" w:type="dxa"/>
            <w:vAlign w:val="bottom"/>
          </w:tcPr>
          <w:p>
            <w:pPr>
              <w:spacing w:after="0"/>
              <w:rPr>
                <w:sz w:val="1"/>
                <w:szCs w:val="1"/>
                <w:color w:val="auto"/>
              </w:rPr>
            </w:pPr>
          </w:p>
        </w:tc>
      </w:tr>
      <w:tr>
        <w:trPr>
          <w:trHeight w:val="237"/>
        </w:trPr>
        <w:tc>
          <w:tcPr>
            <w:tcW w:w="3700" w:type="dxa"/>
            <w:vAlign w:val="bottom"/>
            <w:tcBorders>
              <w:top w:val="single" w:sz="8" w:color="auto"/>
            </w:tcBorders>
            <w:vMerge w:val="restart"/>
          </w:tcPr>
          <w:p>
            <w:pPr>
              <w:ind w:left="52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104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91"/>
              </w:rPr>
              <w:t>Total Company</w:t>
            </w:r>
          </w:p>
        </w:tc>
        <w:tc>
          <w:tcPr>
            <w:tcW w:w="1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Total Company</w:t>
            </w:r>
          </w:p>
        </w:tc>
        <w:tc>
          <w:tcPr>
            <w:tcW w:w="0" w:type="dxa"/>
            <w:vAlign w:val="bottom"/>
          </w:tcPr>
          <w:p>
            <w:pPr>
              <w:spacing w:after="0"/>
              <w:rPr>
                <w:sz w:val="1"/>
                <w:szCs w:val="1"/>
                <w:color w:val="auto"/>
              </w:rPr>
            </w:pPr>
          </w:p>
        </w:tc>
      </w:tr>
      <w:tr>
        <w:trPr>
          <w:trHeight w:val="195"/>
        </w:trPr>
        <w:tc>
          <w:tcPr>
            <w:tcW w:w="3700" w:type="dxa"/>
            <w:vAlign w:val="bottom"/>
            <w:tcBorders>
              <w:top w:val="single" w:sz="8" w:color="auto"/>
            </w:tcBorders>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153</w:t>
            </w:r>
          </w:p>
        </w:tc>
        <w:tc>
          <w:tcPr>
            <w:tcW w:w="58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4.5%</w:t>
            </w:r>
          </w:p>
        </w:tc>
        <w:tc>
          <w:tcPr>
            <w:tcW w:w="480" w:type="dxa"/>
            <w:vAlign w:val="bottom"/>
          </w:tcPr>
          <w:p>
            <w:pPr>
              <w:spacing w:after="0"/>
              <w:rPr>
                <w:sz w:val="16"/>
                <w:szCs w:val="16"/>
                <w:color w:val="auto"/>
              </w:rPr>
            </w:pPr>
          </w:p>
        </w:tc>
        <w:tc>
          <w:tcPr>
            <w:tcW w:w="1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56</w:t>
            </w:r>
          </w:p>
        </w:tc>
        <w:tc>
          <w:tcPr>
            <w:tcW w:w="460" w:type="dxa"/>
            <w:vAlign w:val="bottom"/>
          </w:tcPr>
          <w:p>
            <w:pPr>
              <w:spacing w:after="0"/>
              <w:rPr>
                <w:sz w:val="16"/>
                <w:szCs w:val="16"/>
                <w:color w:val="auto"/>
              </w:rPr>
            </w:pPr>
          </w:p>
        </w:tc>
        <w:tc>
          <w:tcPr>
            <w:tcW w:w="14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Volume</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5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95"/>
        </w:trPr>
        <w:tc>
          <w:tcPr>
            <w:tcW w:w="4740" w:type="dxa"/>
            <w:vAlign w:val="bottom"/>
            <w:gridSpan w:val="2"/>
          </w:tcPr>
          <w:p>
            <w:pPr>
              <w:ind w:left="520"/>
              <w:spacing w:after="0" w:line="195" w:lineRule="exact"/>
              <w:rPr>
                <w:sz w:val="20"/>
                <w:szCs w:val="20"/>
                <w:color w:val="auto"/>
              </w:rPr>
            </w:pPr>
            <w:r>
              <w:rPr>
                <w:rFonts w:ascii="Arial" w:cs="Arial" w:eastAsia="Arial" w:hAnsi="Arial"/>
                <w:sz w:val="18"/>
                <w:szCs w:val="18"/>
                <w:color w:val="auto"/>
              </w:rPr>
              <w:t>Internal revenue growth</w:t>
            </w:r>
          </w:p>
        </w:tc>
        <w:tc>
          <w:tcPr>
            <w:tcW w:w="240" w:type="dxa"/>
            <w:vAlign w:val="bottom"/>
          </w:tcPr>
          <w:p>
            <w:pPr>
              <w:spacing w:after="0"/>
              <w:rPr>
                <w:sz w:val="16"/>
                <w:szCs w:val="16"/>
                <w:color w:val="auto"/>
              </w:rPr>
            </w:pPr>
          </w:p>
        </w:tc>
        <w:tc>
          <w:tcPr>
            <w:tcW w:w="960" w:type="dxa"/>
            <w:vAlign w:val="bottom"/>
          </w:tcPr>
          <w:p>
            <w:pPr>
              <w:jc w:val="right"/>
              <w:spacing w:after="0" w:line="195" w:lineRule="exact"/>
              <w:rPr>
                <w:sz w:val="20"/>
                <w:szCs w:val="20"/>
                <w:color w:val="auto"/>
              </w:rPr>
            </w:pPr>
            <w:r>
              <w:rPr>
                <w:rFonts w:ascii="Arial" w:cs="Arial" w:eastAsia="Arial" w:hAnsi="Arial"/>
                <w:sz w:val="18"/>
                <w:szCs w:val="18"/>
                <w:color w:val="auto"/>
              </w:rPr>
              <w:t>268</w:t>
            </w:r>
          </w:p>
        </w:tc>
        <w:tc>
          <w:tcPr>
            <w:tcW w:w="58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7.9%</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rPr>
              <w:t>68</w:t>
            </w:r>
          </w:p>
        </w:tc>
        <w:tc>
          <w:tcPr>
            <w:tcW w:w="460" w:type="dxa"/>
            <w:vAlign w:val="bottom"/>
          </w:tcPr>
          <w:p>
            <w:pPr>
              <w:spacing w:after="0"/>
              <w:rPr>
                <w:sz w:val="16"/>
                <w:szCs w:val="16"/>
                <w:color w:val="auto"/>
              </w:rPr>
            </w:pPr>
          </w:p>
        </w:tc>
        <w:tc>
          <w:tcPr>
            <w:tcW w:w="1480" w:type="dxa"/>
            <w:vAlign w:val="bottom"/>
          </w:tcPr>
          <w:p>
            <w:pPr>
              <w:jc w:val="right"/>
              <w:spacing w:after="0" w:line="195"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Acquisition</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Divestitures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4740" w:type="dxa"/>
            <w:vAlign w:val="bottom"/>
            <w:gridSpan w:val="2"/>
          </w:tcPr>
          <w:p>
            <w:pPr>
              <w:ind w:left="5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58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20"/>
                <w:szCs w:val="20"/>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3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58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As a % of</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As a % of</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90"/>
              </w:rPr>
              <w:t>Related</w:t>
            </w: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Related</w:t>
            </w:r>
          </w:p>
        </w:tc>
        <w:tc>
          <w:tcPr>
            <w:tcW w:w="0" w:type="dxa"/>
            <w:vAlign w:val="bottom"/>
          </w:tcPr>
          <w:p>
            <w:pPr>
              <w:spacing w:after="0"/>
              <w:rPr>
                <w:sz w:val="1"/>
                <w:szCs w:val="1"/>
                <w:color w:val="auto"/>
              </w:rPr>
            </w:pPr>
          </w:p>
        </w:tc>
      </w:tr>
      <w:tr>
        <w:trPr>
          <w:trHeight w:val="230"/>
        </w:trPr>
        <w:tc>
          <w:tcPr>
            <w:tcW w:w="4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2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auto"/>
              </w:rPr>
              <w:t>Amount</w:t>
            </w:r>
          </w:p>
        </w:tc>
        <w:tc>
          <w:tcPr>
            <w:tcW w:w="196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Business</w:t>
            </w:r>
          </w:p>
        </w:tc>
        <w:tc>
          <w:tcPr>
            <w:tcW w:w="180" w:type="dxa"/>
            <w:vAlign w:val="bottom"/>
          </w:tcPr>
          <w:p>
            <w:pPr>
              <w:spacing w:after="0"/>
              <w:rPr>
                <w:sz w:val="20"/>
                <w:szCs w:val="20"/>
                <w:color w:val="auto"/>
              </w:rPr>
            </w:pPr>
          </w:p>
        </w:tc>
        <w:tc>
          <w:tcPr>
            <w:tcW w:w="1280" w:type="dxa"/>
            <w:vAlign w:val="bottom"/>
            <w:gridSpan w:val="2"/>
          </w:tcPr>
          <w:p>
            <w:pPr>
              <w:ind w:left="20"/>
              <w:spacing w:after="0"/>
              <w:rPr>
                <w:sz w:val="20"/>
                <w:szCs w:val="20"/>
                <w:color w:val="auto"/>
              </w:rPr>
            </w:pPr>
            <w:r>
              <w:rPr>
                <w:rFonts w:ascii="Arial" w:cs="Arial" w:eastAsia="Arial" w:hAnsi="Arial"/>
                <w:sz w:val="18"/>
                <w:szCs w:val="18"/>
                <w:color w:val="auto"/>
              </w:rPr>
              <w:t>Amount</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Business</w:t>
            </w:r>
          </w:p>
        </w:tc>
        <w:tc>
          <w:tcPr>
            <w:tcW w:w="0" w:type="dxa"/>
            <w:vAlign w:val="bottom"/>
          </w:tcPr>
          <w:p>
            <w:pPr>
              <w:spacing w:after="0"/>
              <w:rPr>
                <w:sz w:val="1"/>
                <w:szCs w:val="1"/>
                <w:color w:val="auto"/>
              </w:rPr>
            </w:pPr>
          </w:p>
        </w:tc>
      </w:tr>
      <w:tr>
        <w:trPr>
          <w:trHeight w:val="182"/>
        </w:trPr>
        <w:tc>
          <w:tcPr>
            <w:tcW w:w="4740" w:type="dxa"/>
            <w:vAlign w:val="bottom"/>
            <w:gridSpan w:val="2"/>
            <w:vMerge w:val="continue"/>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720"/>
              <w:spacing w:after="0"/>
              <w:rPr>
                <w:sz w:val="20"/>
                <w:szCs w:val="20"/>
                <w:color w:val="auto"/>
              </w:rPr>
            </w:pPr>
            <w:r>
              <w:rPr>
                <w:rFonts w:ascii="Arial" w:cs="Arial" w:eastAsia="Arial" w:hAnsi="Arial"/>
                <w:sz w:val="18"/>
                <w:szCs w:val="18"/>
                <w:color w:val="auto"/>
              </w:rPr>
              <w:t>Collection and disposal</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c>
          <w:tcPr>
            <w:tcW w:w="4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40" w:type="dxa"/>
            <w:vAlign w:val="bottom"/>
            <w:gridSpan w:val="2"/>
          </w:tcPr>
          <w:p>
            <w:pPr>
              <w:ind w:left="720"/>
              <w:spacing w:after="0"/>
              <w:rPr>
                <w:sz w:val="20"/>
                <w:szCs w:val="20"/>
                <w:color w:val="auto"/>
              </w:rPr>
            </w:pPr>
            <w:r>
              <w:rPr>
                <w:rFonts w:ascii="Arial" w:cs="Arial" w:eastAsia="Arial" w:hAnsi="Arial"/>
                <w:sz w:val="18"/>
                <w:szCs w:val="18"/>
                <w:color w:val="auto"/>
              </w:rPr>
              <w:t>Recycling commodities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27.4%</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4740" w:type="dxa"/>
            <w:vAlign w:val="bottom"/>
            <w:gridSpan w:val="2"/>
          </w:tcPr>
          <w:p>
            <w:pPr>
              <w:ind w:left="720"/>
              <w:spacing w:after="0"/>
              <w:rPr>
                <w:sz w:val="20"/>
                <w:szCs w:val="20"/>
                <w:color w:val="auto"/>
              </w:rPr>
            </w:pPr>
            <w:r>
              <w:rPr>
                <w:rFonts w:ascii="Arial" w:cs="Arial" w:eastAsia="Arial" w:hAnsi="Arial"/>
                <w:sz w:val="18"/>
                <w:szCs w:val="18"/>
                <w:color w:val="auto"/>
              </w:rPr>
              <w:t>Fuel surcharges and mandated fees</w:t>
            </w: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5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18.2%</w:t>
            </w:r>
          </w:p>
        </w:tc>
        <w:tc>
          <w:tcPr>
            <w:tcW w:w="4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46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0"/>
        </w:trPr>
        <w:tc>
          <w:tcPr>
            <w:tcW w:w="474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5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c>
          <w:tcPr>
            <w:tcW w:w="4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78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Quarters Ended June 30,</w:t>
            </w:r>
          </w:p>
        </w:tc>
        <w:tc>
          <w:tcPr>
            <w:tcW w:w="480" w:type="dxa"/>
            <w:vAlign w:val="bottom"/>
            <w:tcBorders>
              <w:bottom w:val="single" w:sz="8" w:color="auto"/>
            </w:tcBorders>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10"/>
        </w:trPr>
        <w:tc>
          <w:tcPr>
            <w:tcW w:w="2420" w:type="dxa"/>
            <w:vAlign w:val="bottom"/>
            <w:vMerge w:val="restart"/>
          </w:tcPr>
          <w:p>
            <w:pPr>
              <w:spacing w:after="0"/>
              <w:rPr>
                <w:sz w:val="20"/>
                <w:szCs w:val="20"/>
                <w:color w:val="auto"/>
              </w:rPr>
            </w:pPr>
            <w:r>
              <w:rPr>
                <w:rFonts w:ascii="Arial" w:cs="Arial" w:eastAsia="Arial" w:hAnsi="Arial"/>
                <w:sz w:val="18"/>
                <w:szCs w:val="18"/>
                <w:b w:val="1"/>
                <w:bCs w:val="1"/>
                <w:color w:val="auto"/>
                <w:w w:val="89"/>
              </w:rPr>
              <w:t>Free Cash Flow Analysis (b) (c)</w:t>
            </w:r>
          </w:p>
        </w:tc>
        <w:tc>
          <w:tcPr>
            <w:tcW w:w="2320" w:type="dxa"/>
            <w:vAlign w:val="bottom"/>
            <w:vMerge w:val="restart"/>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48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4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1"/>
        </w:trPr>
        <w:tc>
          <w:tcPr>
            <w:tcW w:w="2420" w:type="dxa"/>
            <w:vAlign w:val="bottom"/>
            <w:tcBorders>
              <w:bottom w:val="single" w:sz="8" w:color="auto"/>
            </w:tcBorders>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8"/>
        </w:trPr>
        <w:tc>
          <w:tcPr>
            <w:tcW w:w="47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813</w:t>
            </w:r>
          </w:p>
        </w:tc>
        <w:tc>
          <w:tcPr>
            <w:tcW w:w="580" w:type="dxa"/>
            <w:vAlign w:val="bottom"/>
          </w:tcPr>
          <w:p>
            <w:pPr>
              <w:spacing w:after="0"/>
              <w:rPr>
                <w:sz w:val="24"/>
                <w:szCs w:val="24"/>
                <w:color w:val="auto"/>
              </w:rPr>
            </w:pPr>
          </w:p>
        </w:tc>
        <w:tc>
          <w:tcPr>
            <w:tcW w:w="100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762</w:t>
            </w:r>
          </w:p>
        </w:tc>
        <w:tc>
          <w:tcPr>
            <w:tcW w:w="4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1,534</w:t>
            </w:r>
          </w:p>
        </w:tc>
        <w:tc>
          <w:tcPr>
            <w:tcW w:w="460" w:type="dxa"/>
            <w:vAlign w:val="bottom"/>
          </w:tcPr>
          <w:p>
            <w:pPr>
              <w:spacing w:after="0"/>
              <w:rPr>
                <w:sz w:val="24"/>
                <w:szCs w:val="24"/>
                <w:color w:val="auto"/>
              </w:rPr>
            </w:pP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(299)</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(312)</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(631)</w:t>
            </w: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Proceeds from divestitures of businesses</w:t>
            </w: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180"/>
              <w:spacing w:after="0"/>
              <w:rPr>
                <w:sz w:val="20"/>
                <w:szCs w:val="20"/>
                <w:color w:val="auto"/>
              </w:rPr>
            </w:pPr>
            <w:r>
              <w:rPr>
                <w:rFonts w:ascii="Arial" w:cs="Arial" w:eastAsia="Arial" w:hAnsi="Arial"/>
                <w:sz w:val="18"/>
                <w:szCs w:val="18"/>
                <w:color w:val="auto"/>
              </w:rPr>
              <w:t>and other assets (net of cash divested)</w:t>
            </w:r>
          </w:p>
        </w:tc>
        <w:tc>
          <w:tcPr>
            <w:tcW w:w="7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5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4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0"/>
        </w:trPr>
        <w:tc>
          <w:tcPr>
            <w:tcW w:w="4740" w:type="dxa"/>
            <w:vAlign w:val="bottom"/>
            <w:gridSpan w:val="2"/>
          </w:tcPr>
          <w:p>
            <w:pPr>
              <w:spacing w:after="0"/>
              <w:rPr>
                <w:sz w:val="20"/>
                <w:szCs w:val="20"/>
                <w:color w:val="auto"/>
              </w:rPr>
            </w:pPr>
            <w:r>
              <w:rPr>
                <w:rFonts w:ascii="Arial" w:cs="Arial" w:eastAsia="Arial" w:hAnsi="Arial"/>
                <w:sz w:val="18"/>
                <w:szCs w:val="18"/>
                <w:color w:val="auto"/>
              </w:rPr>
              <w:t>Free cash flow</w:t>
            </w:r>
          </w:p>
        </w:tc>
        <w:tc>
          <w:tcPr>
            <w:tcW w:w="7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580" w:type="dxa"/>
            <w:vAlign w:val="bottom"/>
          </w:tcPr>
          <w:p>
            <w:pPr>
              <w:spacing w:after="0"/>
              <w:rPr>
                <w:sz w:val="18"/>
                <w:szCs w:val="18"/>
                <w:color w:val="auto"/>
              </w:rPr>
            </w:pPr>
          </w:p>
        </w:tc>
        <w:tc>
          <w:tcPr>
            <w:tcW w:w="100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480" w:type="dxa"/>
            <w:vAlign w:val="bottom"/>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c>
          <w:tcPr>
            <w:tcW w:w="460" w:type="dxa"/>
            <w:vAlign w:val="bottom"/>
          </w:tcPr>
          <w:p>
            <w:pPr>
              <w:spacing w:after="0"/>
              <w:rPr>
                <w:sz w:val="18"/>
                <w:szCs w:val="18"/>
                <w:color w:val="auto"/>
              </w:rPr>
            </w:pP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25" w:right="239" w:bottom="0" w:gutter="0" w:footer="0" w:header="0"/>
        </w:sectPr>
      </w:pPr>
    </w:p>
    <w:bookmarkStart w:id="8" w:name="page9"/>
    <w:bookmarkEnd w:id="8"/>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within the Condensed Consolidated Financial Statements included herein.</w:t>
      </w:r>
    </w:p>
    <w:p>
      <w:pPr>
        <w:spacing w:after="0" w:line="130" w:lineRule="exact"/>
        <w:rPr>
          <w:rFonts w:ascii="Arial" w:cs="Arial" w:eastAsia="Arial" w:hAnsi="Arial"/>
          <w:sz w:val="18"/>
          <w:szCs w:val="18"/>
          <w:color w:val="auto"/>
        </w:rPr>
      </w:pPr>
    </w:p>
    <w:p>
      <w:pPr>
        <w:jc w:val="both"/>
        <w:ind w:left="300" w:right="160" w:hanging="292"/>
        <w:spacing w:after="0" w:line="264" w:lineRule="auto"/>
        <w:tabs>
          <w:tab w:leader="none" w:pos="30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86" w:lineRule="exact"/>
        <w:rPr>
          <w:rFonts w:ascii="Arial" w:cs="Arial" w:eastAsia="Arial" w:hAnsi="Arial"/>
          <w:sz w:val="18"/>
          <w:szCs w:val="18"/>
          <w:color w:val="auto"/>
        </w:rPr>
      </w:pPr>
    </w:p>
    <w:p>
      <w:pPr>
        <w:ind w:left="300" w:hanging="292"/>
        <w:spacing w:after="0"/>
        <w:tabs>
          <w:tab w:leader="none" w:pos="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2016-09 and conform to our current year presentation.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Quarters Ended</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June 30,</w:t>
            </w:r>
          </w:p>
        </w:tc>
        <w:tc>
          <w:tcPr>
            <w:tcW w:w="240" w:type="dxa"/>
            <w:vAlign w:val="bottom"/>
          </w:tcPr>
          <w:p>
            <w:pPr>
              <w:spacing w:after="0"/>
              <w:rPr>
                <w:sz w:val="16"/>
                <w:szCs w:val="16"/>
                <w:color w:val="auto"/>
              </w:rPr>
            </w:pPr>
          </w:p>
        </w:tc>
        <w:tc>
          <w:tcPr>
            <w:tcW w:w="1700" w:type="dxa"/>
            <w:vAlign w:val="bottom"/>
            <w:gridSpan w:val="2"/>
          </w:tcPr>
          <w:p>
            <w:pPr>
              <w:ind w:left="60"/>
              <w:spacing w:after="0" w:line="191" w:lineRule="exact"/>
              <w:rPr>
                <w:sz w:val="20"/>
                <w:szCs w:val="20"/>
                <w:color w:val="auto"/>
              </w:rPr>
            </w:pPr>
            <w:r>
              <w:rPr>
                <w:rFonts w:ascii="Arial" w:cs="Arial" w:eastAsia="Arial" w:hAnsi="Arial"/>
                <w:sz w:val="18"/>
                <w:szCs w:val="18"/>
                <w:b w:val="1"/>
                <w:bCs w:val="1"/>
                <w:color w:val="auto"/>
              </w:rPr>
              <w:t>March 31,</w:t>
            </w:r>
          </w:p>
        </w:tc>
        <w:tc>
          <w:tcPr>
            <w:tcW w:w="280" w:type="dxa"/>
            <w:vAlign w:val="bottom"/>
          </w:tcPr>
          <w:p>
            <w:pPr>
              <w:spacing w:after="0"/>
              <w:rPr>
                <w:sz w:val="16"/>
                <w:szCs w:val="16"/>
                <w:color w:val="auto"/>
              </w:rPr>
            </w:pPr>
          </w:p>
        </w:tc>
        <w:tc>
          <w:tcPr>
            <w:tcW w:w="1120" w:type="dxa"/>
            <w:vAlign w:val="bottom"/>
          </w:tcPr>
          <w:p>
            <w:pPr>
              <w:jc w:val="right"/>
              <w:ind w:right="290"/>
              <w:spacing w:after="0" w:line="191" w:lineRule="exact"/>
              <w:rPr>
                <w:sz w:val="20"/>
                <w:szCs w:val="20"/>
                <w:color w:val="auto"/>
              </w:rPr>
            </w:pPr>
            <w:r>
              <w:rPr>
                <w:rFonts w:ascii="Arial" w:cs="Arial" w:eastAsia="Arial" w:hAnsi="Arial"/>
                <w:sz w:val="18"/>
                <w:szCs w:val="18"/>
                <w:b w:val="1"/>
                <w:bCs w:val="1"/>
                <w:color w:val="auto"/>
                <w:w w:val="99"/>
              </w:rPr>
              <w:t>June 30,</w:t>
            </w:r>
          </w:p>
        </w:tc>
        <w:tc>
          <w:tcPr>
            <w:tcW w:w="0" w:type="dxa"/>
            <w:vAlign w:val="bottom"/>
          </w:tcPr>
          <w:p>
            <w:pPr>
              <w:spacing w:after="0"/>
              <w:rPr>
                <w:sz w:val="1"/>
                <w:szCs w:val="1"/>
                <w:color w:val="auto"/>
              </w:rPr>
            </w:pPr>
          </w:p>
        </w:tc>
      </w:tr>
      <w:tr>
        <w:trPr>
          <w:trHeight w:val="234"/>
        </w:trPr>
        <w:tc>
          <w:tcPr>
            <w:tcW w:w="1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88"/>
              </w:rPr>
              <w:t>Balance Sheet Data</w:t>
            </w:r>
          </w:p>
        </w:tc>
        <w:tc>
          <w:tcPr>
            <w:tcW w:w="4640" w:type="dxa"/>
            <w:vAlign w:val="bottom"/>
            <w:gridSpan w:val="5"/>
            <w:vMerge w:val="restart"/>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161"/>
        </w:trPr>
        <w:tc>
          <w:tcPr>
            <w:tcW w:w="1500" w:type="dxa"/>
            <w:vAlign w:val="bottom"/>
            <w:tcBorders>
              <w:bottom w:val="single" w:sz="8" w:color="auto"/>
            </w:tcBorders>
            <w:gridSpan w:val="2"/>
            <w:vMerge w:val="continue"/>
          </w:tcPr>
          <w:p>
            <w:pPr>
              <w:spacing w:after="0"/>
              <w:rPr>
                <w:sz w:val="13"/>
                <w:szCs w:val="13"/>
                <w:color w:val="auto"/>
              </w:rPr>
            </w:pPr>
          </w:p>
        </w:tc>
        <w:tc>
          <w:tcPr>
            <w:tcW w:w="4640" w:type="dxa"/>
            <w:vAlign w:val="bottom"/>
            <w:gridSpan w:val="5"/>
            <w:vMerge w:val="continue"/>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3"/>
        </w:trPr>
        <w:tc>
          <w:tcPr>
            <w:tcW w:w="6140" w:type="dxa"/>
            <w:vAlign w:val="bottom"/>
            <w:gridSpan w:val="7"/>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580" w:type="dxa"/>
            <w:vAlign w:val="bottom"/>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56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6140" w:type="dxa"/>
            <w:vAlign w:val="bottom"/>
            <w:gridSpan w:val="7"/>
            <w:vMerge w:val="restart"/>
          </w:tcPr>
          <w:p>
            <w:pPr>
              <w:spacing w:after="0"/>
              <w:rPr>
                <w:sz w:val="20"/>
                <w:szCs w:val="20"/>
                <w:color w:val="auto"/>
              </w:rPr>
            </w:pPr>
            <w:r>
              <w:rPr>
                <w:rFonts w:ascii="Arial" w:cs="Arial" w:eastAsia="Arial" w:hAnsi="Arial"/>
                <w:sz w:val="18"/>
                <w:szCs w:val="18"/>
                <w:color w:val="auto"/>
              </w:rPr>
              <w:t>Debt-to-total capital ratio:</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61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Long-term indebtedness, including current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60" w:type="dxa"/>
            <w:vAlign w:val="bottom"/>
            <w:gridSpan w:val="6"/>
          </w:tcPr>
          <w:p>
            <w:pPr>
              <w:ind w:left="360"/>
              <w:spacing w:after="0"/>
              <w:rPr>
                <w:sz w:val="20"/>
                <w:szCs w:val="20"/>
                <w:color w:val="auto"/>
              </w:rPr>
            </w:pPr>
            <w:r>
              <w:rPr>
                <w:rFonts w:ascii="Arial" w:cs="Arial" w:eastAsia="Arial" w:hAnsi="Arial"/>
                <w:sz w:val="18"/>
                <w:szCs w:val="18"/>
                <w:color w:val="auto"/>
              </w:rPr>
              <w:t>portion</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9,057</w:t>
            </w:r>
          </w:p>
        </w:tc>
        <w:tc>
          <w:tcPr>
            <w:tcW w:w="5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9,042</w:t>
            </w:r>
          </w:p>
        </w:tc>
        <w:tc>
          <w:tcPr>
            <w:tcW w:w="5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9,530</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Total equity</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5,507</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960" w:type="dxa"/>
            <w:vAlign w:val="bottom"/>
            <w:gridSpan w:val="6"/>
          </w:tcPr>
          <w:p>
            <w:pPr>
              <w:ind w:left="360"/>
              <w:spacing w:after="0"/>
              <w:rPr>
                <w:sz w:val="20"/>
                <w:szCs w:val="20"/>
                <w:color w:val="auto"/>
              </w:rPr>
            </w:pPr>
            <w:r>
              <w:rPr>
                <w:rFonts w:ascii="Arial" w:cs="Arial" w:eastAsia="Arial" w:hAnsi="Arial"/>
                <w:sz w:val="18"/>
                <w:szCs w:val="18"/>
                <w:color w:val="auto"/>
              </w:rPr>
              <w:t>Total capital</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14,564</w:t>
            </w:r>
          </w:p>
        </w:tc>
        <w:tc>
          <w:tcPr>
            <w:tcW w:w="580" w:type="dxa"/>
            <w:vAlign w:val="bottom"/>
          </w:tcPr>
          <w:p>
            <w:pPr>
              <w:spacing w:after="0"/>
              <w:rPr>
                <w:sz w:val="18"/>
                <w:szCs w:val="18"/>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w:t>
            </w:r>
          </w:p>
        </w:tc>
        <w:tc>
          <w:tcPr>
            <w:tcW w:w="56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Debt-to-total capital</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7"/>
          </w:tcPr>
          <w:p>
            <w:pPr>
              <w:spacing w:after="0"/>
              <w:rPr>
                <w:sz w:val="20"/>
                <w:szCs w:val="20"/>
                <w:color w:val="auto"/>
              </w:rPr>
            </w:pPr>
            <w:r>
              <w:rPr>
                <w:rFonts w:ascii="Arial" w:cs="Arial" w:eastAsia="Arial" w:hAnsi="Arial"/>
                <w:sz w:val="18"/>
                <w:szCs w:val="18"/>
                <w:color w:val="auto"/>
              </w:rPr>
              <w:t>Capitalized interest</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Acquisition Summary (a)</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00"/>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80" w:type="dxa"/>
            <w:vAlign w:val="bottom"/>
          </w:tcPr>
          <w:p>
            <w:pPr>
              <w:spacing w:after="0"/>
              <w:rPr>
                <w:sz w:val="24"/>
                <w:szCs w:val="24"/>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Gross annualized revenue acquired</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580" w:type="dxa"/>
            <w:vAlign w:val="bottom"/>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Total consideration</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80" w:type="dxa"/>
            <w:vAlign w:val="bottom"/>
          </w:tcPr>
          <w:p>
            <w:pPr>
              <w:spacing w:after="0"/>
              <w:rPr>
                <w:sz w:val="24"/>
                <w:szCs w:val="24"/>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Cash paid for acquisitions</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580" w:type="dxa"/>
            <w:vAlign w:val="bottom"/>
          </w:tcPr>
          <w:p>
            <w:pPr>
              <w:spacing w:after="0"/>
              <w:rPr>
                <w:sz w:val="24"/>
                <w:szCs w:val="24"/>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860" w:type="dxa"/>
            <w:vAlign w:val="bottom"/>
            <w:gridSpan w:val="3"/>
            <w:vMerge w:val="restart"/>
          </w:tcPr>
          <w:p>
            <w:pPr>
              <w:spacing w:after="0"/>
              <w:rPr>
                <w:sz w:val="20"/>
                <w:szCs w:val="20"/>
                <w:color w:val="auto"/>
              </w:rPr>
            </w:pPr>
            <w:r>
              <w:rPr>
                <w:rFonts w:ascii="Arial" w:cs="Arial" w:eastAsia="Arial" w:hAnsi="Arial"/>
                <w:sz w:val="18"/>
                <w:szCs w:val="18"/>
                <w:b w:val="1"/>
                <w:bCs w:val="1"/>
                <w:color w:val="auto"/>
                <w:w w:val="93"/>
              </w:rPr>
              <w:t>Other Operational Data</w:t>
            </w:r>
          </w:p>
        </w:tc>
        <w:tc>
          <w:tcPr>
            <w:tcW w:w="4280" w:type="dxa"/>
            <w:vAlign w:val="bottom"/>
            <w:gridSpan w:val="4"/>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7"/>
        </w:trPr>
        <w:tc>
          <w:tcPr>
            <w:tcW w:w="1860" w:type="dxa"/>
            <w:vAlign w:val="bottom"/>
            <w:tcBorders>
              <w:bottom w:val="single" w:sz="8" w:color="auto"/>
            </w:tcBorders>
            <w:gridSpan w:val="3"/>
            <w:vMerge w:val="continue"/>
          </w:tcPr>
          <w:p>
            <w:pPr>
              <w:spacing w:after="0"/>
              <w:rPr>
                <w:sz w:val="24"/>
                <w:szCs w:val="24"/>
                <w:color w:val="auto"/>
              </w:rPr>
            </w:pPr>
          </w:p>
        </w:tc>
        <w:tc>
          <w:tcPr>
            <w:tcW w:w="4280" w:type="dxa"/>
            <w:vAlign w:val="bottom"/>
            <w:gridSpan w:val="4"/>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140" w:type="dxa"/>
            <w:vAlign w:val="bottom"/>
            <w:gridSpan w:val="7"/>
          </w:tcPr>
          <w:p>
            <w:pPr>
              <w:spacing w:after="0"/>
              <w:rPr>
                <w:sz w:val="20"/>
                <w:szCs w:val="20"/>
                <w:color w:val="auto"/>
              </w:rPr>
            </w:pPr>
            <w:r>
              <w:rPr>
                <w:rFonts w:ascii="Arial" w:cs="Arial" w:eastAsia="Arial" w:hAnsi="Arial"/>
                <w:sz w:val="18"/>
                <w:szCs w:val="18"/>
                <w:color w:val="auto"/>
              </w:rPr>
              <w:t>Internalization of waste, based on disposal costs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w:t>
            </w: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7"/>
          </w:tcPr>
          <w:p>
            <w:pPr>
              <w:spacing w:after="0"/>
              <w:rPr>
                <w:sz w:val="20"/>
                <w:szCs w:val="20"/>
                <w:color w:val="auto"/>
              </w:rPr>
            </w:pPr>
            <w:r>
              <w:rPr>
                <w:rFonts w:ascii="Arial" w:cs="Arial" w:eastAsia="Arial" w:hAnsi="Arial"/>
                <w:sz w:val="18"/>
                <w:szCs w:val="18"/>
                <w:color w:val="auto"/>
              </w:rPr>
              <w:t>Total landfill disposal volumes (tons in millions)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7"/>
          </w:tcPr>
          <w:p>
            <w:pPr>
              <w:spacing w:after="0"/>
              <w:rPr>
                <w:sz w:val="20"/>
                <w:szCs w:val="20"/>
                <w:color w:val="auto"/>
              </w:rPr>
            </w:pPr>
            <w:r>
              <w:rPr>
                <w:rFonts w:ascii="Arial" w:cs="Arial" w:eastAsia="Arial" w:hAnsi="Arial"/>
                <w:sz w:val="18"/>
                <w:szCs w:val="18"/>
                <w:color w:val="auto"/>
              </w:rPr>
              <w:t>Active landfills</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140" w:type="dxa"/>
            <w:vAlign w:val="bottom"/>
            <w:gridSpan w:val="7"/>
          </w:tcPr>
          <w:p>
            <w:pPr>
              <w:spacing w:after="0"/>
              <w:rPr>
                <w:sz w:val="20"/>
                <w:szCs w:val="20"/>
                <w:color w:val="auto"/>
              </w:rPr>
            </w:pPr>
            <w:r>
              <w:rPr>
                <w:rFonts w:ascii="Arial" w:cs="Arial" w:eastAsia="Arial" w:hAnsi="Arial"/>
                <w:sz w:val="18"/>
                <w:szCs w:val="18"/>
                <w:color w:val="auto"/>
              </w:rPr>
              <w:t>Sites accepting waste at the end of each period presented</w:t>
            </w: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5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5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61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140" w:type="dxa"/>
            <w:vAlign w:val="bottom"/>
            <w:gridSpan w:val="7"/>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auto"/>
            </w:tcBorders>
          </w:tcPr>
          <w:p>
            <w:pPr>
              <w:spacing w:after="0"/>
              <w:rPr>
                <w:sz w:val="17"/>
                <w:szCs w:val="17"/>
                <w:color w:val="auto"/>
              </w:rPr>
            </w:pPr>
          </w:p>
        </w:tc>
        <w:tc>
          <w:tcPr>
            <w:tcW w:w="3140" w:type="dxa"/>
            <w:vAlign w:val="bottom"/>
            <w:tcBorders>
              <w:top w:val="single" w:sz="8" w:color="auto"/>
              <w:bottom w:val="single" w:sz="8" w:color="auto"/>
            </w:tcBorders>
            <w:gridSpan w:val="4"/>
          </w:tcPr>
          <w:p>
            <w:pPr>
              <w:spacing w:after="0" w:line="196" w:lineRule="exact"/>
              <w:rPr>
                <w:sz w:val="20"/>
                <w:szCs w:val="20"/>
                <w:color w:val="auto"/>
              </w:rPr>
            </w:pPr>
            <w:r>
              <w:rPr>
                <w:rFonts w:ascii="Arial" w:cs="Arial" w:eastAsia="Arial" w:hAnsi="Arial"/>
                <w:sz w:val="18"/>
                <w:szCs w:val="18"/>
                <w:b w:val="1"/>
                <w:bCs w:val="1"/>
                <w:color w:val="auto"/>
                <w:w w:val="92"/>
              </w:rPr>
              <w:t>Landfills Included in Operating Groups:</w:t>
            </w:r>
          </w:p>
        </w:tc>
        <w:tc>
          <w:tcPr>
            <w:tcW w:w="420" w:type="dxa"/>
            <w:vAlign w:val="bottom"/>
            <w:tcBorders>
              <w:top w:val="single" w:sz="8" w:color="auto"/>
            </w:tcBorders>
          </w:tcPr>
          <w:p>
            <w:pPr>
              <w:spacing w:after="0"/>
              <w:rPr>
                <w:sz w:val="17"/>
                <w:szCs w:val="17"/>
                <w:color w:val="auto"/>
              </w:rPr>
            </w:pPr>
          </w:p>
        </w:tc>
        <w:tc>
          <w:tcPr>
            <w:tcW w:w="2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140" w:type="dxa"/>
            <w:vAlign w:val="bottom"/>
            <w:gridSpan w:val="7"/>
          </w:tcPr>
          <w:p>
            <w:pPr>
              <w:spacing w:after="0"/>
              <w:rPr>
                <w:sz w:val="20"/>
                <w:szCs w:val="20"/>
                <w:color w:val="auto"/>
              </w:rPr>
            </w:pPr>
            <w:r>
              <w:rPr>
                <w:rFonts w:ascii="Arial" w:cs="Arial" w:eastAsia="Arial" w:hAnsi="Arial"/>
                <w:sz w:val="18"/>
                <w:szCs w:val="18"/>
                <w:color w:val="auto"/>
              </w:rPr>
              <w:t>Landfill amortization expense -</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Cost basis of landfill assets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104.4</w:t>
            </w:r>
          </w:p>
        </w:tc>
        <w:tc>
          <w:tcPr>
            <w:tcW w:w="580" w:type="dxa"/>
            <w:vAlign w:val="bottom"/>
          </w:tcPr>
          <w:p>
            <w:pPr>
              <w:spacing w:after="0"/>
              <w:rPr>
                <w:sz w:val="18"/>
                <w:szCs w:val="18"/>
                <w:color w:val="auto"/>
              </w:rPr>
            </w:pPr>
          </w:p>
        </w:tc>
        <w:tc>
          <w:tcPr>
            <w:tcW w:w="24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89.5</w:t>
            </w:r>
          </w:p>
        </w:tc>
        <w:tc>
          <w:tcPr>
            <w:tcW w:w="5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Asset retirement costs</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195"/>
        </w:trPr>
        <w:tc>
          <w:tcPr>
            <w:tcW w:w="180" w:type="dxa"/>
            <w:vAlign w:val="bottom"/>
          </w:tcPr>
          <w:p>
            <w:pPr>
              <w:spacing w:after="0"/>
              <w:rPr>
                <w:sz w:val="16"/>
                <w:szCs w:val="16"/>
                <w:color w:val="auto"/>
              </w:rPr>
            </w:pPr>
          </w:p>
        </w:tc>
        <w:tc>
          <w:tcPr>
            <w:tcW w:w="5960" w:type="dxa"/>
            <w:vAlign w:val="bottom"/>
            <w:gridSpan w:val="6"/>
          </w:tcPr>
          <w:p>
            <w:pPr>
              <w:ind w:left="360"/>
              <w:spacing w:after="0" w:line="195" w:lineRule="exact"/>
              <w:rPr>
                <w:sz w:val="20"/>
                <w:szCs w:val="20"/>
                <w:color w:val="auto"/>
              </w:rPr>
            </w:pPr>
            <w:r>
              <w:rPr>
                <w:rFonts w:ascii="Arial" w:cs="Arial" w:eastAsia="Arial" w:hAnsi="Arial"/>
                <w:sz w:val="18"/>
                <w:szCs w:val="18"/>
                <w:color w:val="auto"/>
              </w:rPr>
              <w:t>Total landfill amortization expense (b) (c)</w:t>
            </w:r>
          </w:p>
        </w:tc>
        <w:tc>
          <w:tcPr>
            <w:tcW w:w="280" w:type="dxa"/>
            <w:vAlign w:val="bottom"/>
          </w:tcPr>
          <w:p>
            <w:pPr>
              <w:spacing w:after="0"/>
              <w:rPr>
                <w:sz w:val="16"/>
                <w:szCs w:val="16"/>
                <w:color w:val="auto"/>
              </w:rPr>
            </w:pP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137.2</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113.3</w:t>
            </w: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spacing w:after="0" w:line="195" w:lineRule="exact"/>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6140" w:type="dxa"/>
            <w:vAlign w:val="bottom"/>
            <w:gridSpan w:val="7"/>
          </w:tcPr>
          <w:p>
            <w:pPr>
              <w:spacing w:after="0"/>
              <w:rPr>
                <w:sz w:val="20"/>
                <w:szCs w:val="20"/>
                <w:color w:val="auto"/>
              </w:rPr>
            </w:pPr>
            <w:r>
              <w:rPr>
                <w:rFonts w:ascii="Arial" w:cs="Arial" w:eastAsia="Arial" w:hAnsi="Arial"/>
                <w:sz w:val="18"/>
                <w:szCs w:val="18"/>
                <w:color w:val="auto"/>
              </w:rPr>
              <w:t>Accretion and other related expense</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5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0"/>
        </w:trPr>
        <w:tc>
          <w:tcPr>
            <w:tcW w:w="180" w:type="dxa"/>
            <w:vAlign w:val="bottom"/>
          </w:tcPr>
          <w:p>
            <w:pPr>
              <w:spacing w:after="0"/>
              <w:rPr>
                <w:sz w:val="18"/>
                <w:szCs w:val="18"/>
                <w:color w:val="auto"/>
              </w:rPr>
            </w:pPr>
          </w:p>
        </w:tc>
        <w:tc>
          <w:tcPr>
            <w:tcW w:w="5960" w:type="dxa"/>
            <w:vAlign w:val="bottom"/>
            <w:gridSpan w:val="6"/>
          </w:tcPr>
          <w:p>
            <w:pPr>
              <w:ind w:left="180"/>
              <w:spacing w:after="0"/>
              <w:rPr>
                <w:sz w:val="20"/>
                <w:szCs w:val="20"/>
                <w:color w:val="auto"/>
              </w:rPr>
            </w:pPr>
            <w:r>
              <w:rPr>
                <w:rFonts w:ascii="Arial" w:cs="Arial" w:eastAsia="Arial" w:hAnsi="Arial"/>
                <w:sz w:val="18"/>
                <w:szCs w:val="18"/>
                <w:color w:val="auto"/>
              </w:rPr>
              <w:t>Landfill amortization, accretion and other related expense</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580" w:type="dxa"/>
            <w:vAlign w:val="bottom"/>
          </w:tcPr>
          <w:p>
            <w:pPr>
              <w:spacing w:after="0"/>
              <w:rPr>
                <w:sz w:val="18"/>
                <w:szCs w:val="18"/>
                <w:color w:val="auto"/>
              </w:rPr>
            </w:pPr>
          </w:p>
        </w:tc>
        <w:tc>
          <w:tcPr>
            <w:tcW w:w="2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w:t>
            </w:r>
          </w:p>
        </w:tc>
        <w:tc>
          <w:tcPr>
            <w:tcW w:w="56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right="300" w:hanging="292"/>
        <w:spacing w:after="0" w:line="277" w:lineRule="auto"/>
        <w:tabs>
          <w:tab w:leader="none" w:pos="295"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except for Cash paid for acquisitions, which may include cash payments for business acquisitions consummated in prior quarters.</w:t>
      </w:r>
    </w:p>
    <w:p>
      <w:pPr>
        <w:spacing w:after="0" w:line="170" w:lineRule="exact"/>
        <w:rPr>
          <w:rFonts w:ascii="Arial" w:cs="Arial" w:eastAsia="Arial" w:hAnsi="Arial"/>
          <w:sz w:val="18"/>
          <w:szCs w:val="18"/>
          <w:color w:val="auto"/>
        </w:rPr>
      </w:pPr>
    </w:p>
    <w:p>
      <w:pPr>
        <w:ind w:left="300" w:right="220" w:hanging="292"/>
        <w:spacing w:after="0" w:line="277" w:lineRule="auto"/>
        <w:tabs>
          <w:tab w:leader="none" w:pos="30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June 30, 2017 as compared to the quarter ended March 31, 2017 reflects an increase in amortization expense of approximately $23.9 million due to an increase in volumes, primarily due to seasonality.</w:t>
      </w:r>
    </w:p>
    <w:p>
      <w:pPr>
        <w:spacing w:after="0" w:line="170" w:lineRule="exact"/>
        <w:rPr>
          <w:rFonts w:ascii="Arial" w:cs="Arial" w:eastAsia="Arial" w:hAnsi="Arial"/>
          <w:sz w:val="18"/>
          <w:szCs w:val="18"/>
          <w:color w:val="auto"/>
        </w:rPr>
      </w:pPr>
    </w:p>
    <w:p>
      <w:pPr>
        <w:ind w:left="300" w:right="360" w:hanging="292"/>
        <w:spacing w:after="0" w:line="277" w:lineRule="auto"/>
        <w:tabs>
          <w:tab w:leader="none" w:pos="30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June 30, 2017 as compared to the quarter ended June 30, 2016 reflects an increase in amortization expense of approximately $22.1 million due to increased volumes and changes in landfill estimates identified in both quarters.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0" w:gutter="0" w:footer="0" w:header="0"/>
        </w:sectPr>
      </w:pPr>
    </w:p>
    <w:bookmarkStart w:id="9" w:name="page10"/>
    <w:bookmarkEnd w:id="9"/>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94"/>
              </w:rPr>
              <w:t>Quarter Ended</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tc>
        <w:tc>
          <w:tcPr>
            <w:tcW w:w="2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0"/>
              </w:rPr>
              <w:t>June 30, 2016</w:t>
            </w:r>
          </w:p>
        </w:tc>
        <w:tc>
          <w:tcPr>
            <w:tcW w:w="440" w:type="dxa"/>
            <w:vAlign w:val="bottom"/>
            <w:tcBorders>
              <w:bottom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6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center"/>
              <w:ind w:right="30"/>
              <w:spacing w:after="0" w:line="205" w:lineRule="exact"/>
              <w:rPr>
                <w:sz w:val="20"/>
                <w:szCs w:val="20"/>
                <w:color w:val="auto"/>
              </w:rPr>
            </w:pPr>
            <w:r>
              <w:rPr>
                <w:rFonts w:ascii="Arial" w:cs="Arial" w:eastAsia="Arial" w:hAnsi="Arial"/>
                <w:sz w:val="18"/>
                <w:szCs w:val="18"/>
                <w:b w:val="1"/>
                <w:bCs w:val="1"/>
                <w:color w:val="auto"/>
                <w:w w:val="93"/>
              </w:rPr>
              <w:t>After-Tax</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gridSpan w:val="2"/>
          </w:tcPr>
          <w:p>
            <w:pPr>
              <w:jc w:val="center"/>
              <w:spacing w:after="0" w:line="205" w:lineRule="exact"/>
              <w:rPr>
                <w:sz w:val="20"/>
                <w:szCs w:val="20"/>
                <w:color w:val="auto"/>
              </w:rPr>
            </w:pPr>
            <w:r>
              <w:rPr>
                <w:rFonts w:ascii="Arial" w:cs="Arial" w:eastAsia="Arial" w:hAnsi="Arial"/>
                <w:sz w:val="18"/>
                <w:szCs w:val="18"/>
                <w:b w:val="1"/>
                <w:bCs w:val="1"/>
                <w:color w:val="auto"/>
                <w:w w:val="90"/>
              </w:rPr>
              <w:t>Per Share</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Amount</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Net income and diluted EPS, as reported</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287</w:t>
            </w:r>
          </w:p>
        </w:tc>
        <w:tc>
          <w:tcPr>
            <w:tcW w:w="13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85"/>
              </w:rPr>
              <w:t>0.64</w:t>
            </w: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Adjustments to net income and diluted EPS: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420"/>
              <w:spacing w:after="0"/>
              <w:rPr>
                <w:sz w:val="20"/>
                <w:szCs w:val="20"/>
                <w:color w:val="auto"/>
              </w:rPr>
            </w:pPr>
            <w:r>
              <w:rPr>
                <w:rFonts w:ascii="Arial" w:cs="Arial" w:eastAsia="Arial" w:hAnsi="Arial"/>
                <w:sz w:val="18"/>
                <w:szCs w:val="18"/>
                <w:color w:val="auto"/>
                <w:w w:val="96"/>
              </w:rPr>
              <w:t>Expense from divestitures, asset and investment impairments and unusual items</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600"/>
              <w:spacing w:after="0"/>
              <w:rPr>
                <w:sz w:val="20"/>
                <w:szCs w:val="20"/>
                <w:color w:val="auto"/>
              </w:rPr>
            </w:pPr>
            <w:r>
              <w:rPr>
                <w:rFonts w:ascii="Arial" w:cs="Arial" w:eastAsia="Arial" w:hAnsi="Arial"/>
                <w:sz w:val="18"/>
                <w:szCs w:val="18"/>
                <w:color w:val="auto"/>
              </w:rPr>
              <w:t>and restructuring charges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5"/>
              </w:rPr>
              <w:t>0.10</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40"/>
              <w:spacing w:after="0"/>
              <w:rPr>
                <w:sz w:val="20"/>
                <w:szCs w:val="20"/>
                <w:color w:val="auto"/>
              </w:rPr>
            </w:pPr>
            <w:r>
              <w:rPr>
                <w:rFonts w:ascii="Arial" w:cs="Arial" w:eastAsia="Arial" w:hAnsi="Arial"/>
                <w:sz w:val="18"/>
                <w:szCs w:val="18"/>
                <w:b w:val="1"/>
                <w:bCs w:val="1"/>
                <w:color w:val="auto"/>
              </w:rPr>
              <w:t>Adjusted net income and diluted EPS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329</w:t>
            </w:r>
          </w:p>
        </w:tc>
        <w:tc>
          <w:tcPr>
            <w:tcW w:w="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5"/>
              </w:rPr>
              <w:t>0.74</w:t>
            </w:r>
          </w:p>
        </w:tc>
        <w:tc>
          <w:tcPr>
            <w:tcW w:w="1700" w:type="dxa"/>
            <w:vAlign w:val="bottom"/>
            <w:gridSpan w:val="2"/>
          </w:tcPr>
          <w:p>
            <w:pPr>
              <w:jc w:val="right"/>
              <w:ind w:right="1350"/>
              <w:spacing w:after="0"/>
              <w:rPr>
                <w:sz w:val="20"/>
                <w:szCs w:val="20"/>
                <w:color w:val="auto"/>
              </w:rPr>
            </w:pPr>
            <w:r>
              <w:rPr>
                <w:rFonts w:ascii="Arial" w:cs="Arial" w:eastAsia="Arial" w:hAnsi="Arial"/>
                <w:sz w:val="18"/>
                <w:szCs w:val="18"/>
                <w:b w:val="1"/>
                <w:bCs w:val="1"/>
                <w:color w:val="auto"/>
              </w:rPr>
              <w:t>(a)</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left="150"/>
              <w:spacing w:after="0"/>
              <w:rPr>
                <w:sz w:val="20"/>
                <w:szCs w:val="20"/>
                <w:color w:val="auto"/>
              </w:rPr>
            </w:pPr>
            <w:r>
              <w:rPr>
                <w:rFonts w:ascii="Arial" w:cs="Arial" w:eastAsia="Arial" w:hAnsi="Arial"/>
                <w:sz w:val="18"/>
                <w:szCs w:val="18"/>
                <w:b w:val="1"/>
                <w:bCs w:val="1"/>
                <w:color w:val="auto"/>
                <w:w w:val="91"/>
              </w:rPr>
              <w:t>Quarters Ended June 30,</w:t>
            </w:r>
          </w:p>
        </w:tc>
        <w:tc>
          <w:tcPr>
            <w:tcW w:w="44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6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Income from Operations and Operating EBITDA</w:t>
            </w:r>
          </w:p>
        </w:tc>
        <w:tc>
          <w:tcPr>
            <w:tcW w:w="20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3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9"/>
              </w:rPr>
              <w:t>2016</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Borders>
              <w:top w:val="single" w:sz="8" w:color="auto"/>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Amount</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64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673</w:t>
            </w:r>
          </w:p>
        </w:tc>
        <w:tc>
          <w:tcPr>
            <w:tcW w:w="136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611</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340</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Operating EBITDA, as reported (b)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1,029</w:t>
            </w:r>
          </w:p>
        </w:tc>
        <w:tc>
          <w:tcPr>
            <w:tcW w:w="8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951</w:t>
            </w: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6"/>
          </w:tcPr>
          <w:p>
            <w:pPr>
              <w:jc w:val="center"/>
              <w:ind w:right="1110"/>
              <w:spacing w:after="0"/>
              <w:rPr>
                <w:sz w:val="20"/>
                <w:szCs w:val="20"/>
                <w:color w:val="auto"/>
              </w:rPr>
            </w:pPr>
            <w:r>
              <w:rPr>
                <w:rFonts w:ascii="Arial" w:cs="Arial" w:eastAsia="Arial" w:hAnsi="Arial"/>
                <w:sz w:val="18"/>
                <w:szCs w:val="18"/>
                <w:b w:val="1"/>
                <w:bCs w:val="1"/>
                <w:color w:val="auto"/>
                <w:w w:val="91"/>
              </w:rPr>
              <w:t>Quarter Ended June 30, 2016</w:t>
            </w:r>
          </w:p>
        </w:tc>
        <w:tc>
          <w:tcPr>
            <w:tcW w:w="0" w:type="dxa"/>
            <w:vAlign w:val="bottom"/>
          </w:tcPr>
          <w:p>
            <w:pPr>
              <w:spacing w:after="0"/>
              <w:rPr>
                <w:sz w:val="1"/>
                <w:szCs w:val="1"/>
                <w:color w:val="auto"/>
              </w:rPr>
            </w:pPr>
          </w:p>
        </w:tc>
      </w:tr>
      <w:tr>
        <w:trPr>
          <w:trHeight w:val="232"/>
        </w:trPr>
        <w:tc>
          <w:tcPr>
            <w:tcW w:w="6640" w:type="dxa"/>
            <w:vAlign w:val="bottom"/>
          </w:tcPr>
          <w:p>
            <w:pPr>
              <w:spacing w:after="0"/>
              <w:rPr>
                <w:sz w:val="20"/>
                <w:szCs w:val="20"/>
                <w:color w:val="auto"/>
              </w:rPr>
            </w:pPr>
            <w:r>
              <w:rPr>
                <w:rFonts w:ascii="Arial" w:cs="Arial" w:eastAsia="Arial" w:hAnsi="Arial"/>
                <w:sz w:val="18"/>
                <w:szCs w:val="18"/>
                <w:b w:val="1"/>
                <w:bCs w:val="1"/>
                <w:i w:val="1"/>
                <w:iCs w:val="1"/>
                <w:color w:val="auto"/>
              </w:rPr>
              <w:t>Adjusted Tax Expense Reconciliation and Effective Tax Rate</w:t>
            </w:r>
          </w:p>
        </w:tc>
        <w:tc>
          <w:tcPr>
            <w:tcW w:w="200" w:type="dxa"/>
            <w:vAlign w:val="bottom"/>
          </w:tcPr>
          <w:p>
            <w:pPr>
              <w:spacing w:after="0"/>
              <w:rPr>
                <w:sz w:val="20"/>
                <w:szCs w:val="20"/>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Pre-tax</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Pr>
          <w:p>
            <w:pPr>
              <w:jc w:val="center"/>
              <w:ind w:left="350"/>
              <w:spacing w:after="0"/>
              <w:rPr>
                <w:sz w:val="20"/>
                <w:szCs w:val="20"/>
                <w:color w:val="auto"/>
              </w:rPr>
            </w:pPr>
            <w:r>
              <w:rPr>
                <w:rFonts w:ascii="Arial" w:cs="Arial" w:eastAsia="Arial" w:hAnsi="Arial"/>
                <w:sz w:val="18"/>
                <w:szCs w:val="18"/>
                <w:b w:val="1"/>
                <w:bCs w:val="1"/>
                <w:color w:val="auto"/>
                <w:w w:val="96"/>
              </w:rPr>
              <w:t>Tax</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Effective Tax</w:t>
            </w:r>
          </w:p>
        </w:tc>
        <w:tc>
          <w:tcPr>
            <w:tcW w:w="0" w:type="dxa"/>
            <w:vAlign w:val="bottom"/>
          </w:tcPr>
          <w:p>
            <w:pPr>
              <w:spacing w:after="0"/>
              <w:rPr>
                <w:sz w:val="1"/>
                <w:szCs w:val="1"/>
                <w:color w:val="auto"/>
              </w:rPr>
            </w:pPr>
          </w:p>
        </w:tc>
      </w:tr>
      <w:tr>
        <w:trPr>
          <w:trHeight w:val="234"/>
        </w:trPr>
        <w:tc>
          <w:tcPr>
            <w:tcW w:w="6640" w:type="dxa"/>
            <w:vAlign w:val="bottom"/>
            <w:vMerge w:val="restart"/>
          </w:tcPr>
          <w:p>
            <w:pPr>
              <w:spacing w:after="0"/>
              <w:rPr>
                <w:sz w:val="20"/>
                <w:szCs w:val="20"/>
                <w:color w:val="auto"/>
              </w:rPr>
            </w:pPr>
            <w:r>
              <w:rPr>
                <w:rFonts w:ascii="Arial" w:cs="Arial" w:eastAsia="Arial" w:hAnsi="Arial"/>
                <w:sz w:val="18"/>
                <w:szCs w:val="18"/>
                <w:b w:val="1"/>
                <w:bCs w:val="1"/>
                <w:color w:val="auto"/>
              </w:rPr>
              <w:t>As reported amounts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Income</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6"/>
              </w:rPr>
              <w:t>Expense</w:t>
            </w:r>
          </w:p>
        </w:tc>
        <w:tc>
          <w:tcPr>
            <w:tcW w:w="440" w:type="dxa"/>
            <w:vAlign w:val="bottom"/>
          </w:tcPr>
          <w:p>
            <w:pPr>
              <w:spacing w:after="0"/>
              <w:rPr>
                <w:sz w:val="20"/>
                <w:szCs w:val="20"/>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Rate (c)</w:t>
            </w:r>
          </w:p>
        </w:tc>
        <w:tc>
          <w:tcPr>
            <w:tcW w:w="0" w:type="dxa"/>
            <w:vAlign w:val="bottom"/>
          </w:tcPr>
          <w:p>
            <w:pPr>
              <w:spacing w:after="0"/>
              <w:rPr>
                <w:sz w:val="1"/>
                <w:szCs w:val="1"/>
                <w:color w:val="auto"/>
              </w:rPr>
            </w:pPr>
          </w:p>
        </w:tc>
      </w:tr>
      <w:tr>
        <w:trPr>
          <w:trHeight w:val="228"/>
        </w:trPr>
        <w:tc>
          <w:tcPr>
            <w:tcW w:w="6640" w:type="dxa"/>
            <w:vAlign w:val="bottom"/>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173</w:t>
            </w:r>
          </w:p>
        </w:tc>
        <w:tc>
          <w:tcPr>
            <w:tcW w:w="440" w:type="dxa"/>
            <w:vAlign w:val="bottom"/>
          </w:tcPr>
          <w:p>
            <w:pPr>
              <w:spacing w:after="0"/>
              <w:rPr>
                <w:sz w:val="19"/>
                <w:szCs w:val="19"/>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37.6%</w:t>
            </w:r>
          </w:p>
        </w:tc>
        <w:tc>
          <w:tcPr>
            <w:tcW w:w="0" w:type="dxa"/>
            <w:vAlign w:val="bottom"/>
          </w:tcPr>
          <w:p>
            <w:pPr>
              <w:spacing w:after="0"/>
              <w:rPr>
                <w:sz w:val="1"/>
                <w:szCs w:val="1"/>
                <w:color w:val="auto"/>
              </w:rPr>
            </w:pPr>
          </w:p>
        </w:tc>
      </w:tr>
      <w:tr>
        <w:trPr>
          <w:trHeight w:val="522"/>
        </w:trPr>
        <w:tc>
          <w:tcPr>
            <w:tcW w:w="6640" w:type="dxa"/>
            <w:vAlign w:val="bottom"/>
          </w:tcPr>
          <w:p>
            <w:pPr>
              <w:spacing w:after="0"/>
              <w:rPr>
                <w:sz w:val="20"/>
                <w:szCs w:val="20"/>
                <w:color w:val="auto"/>
              </w:rPr>
            </w:pPr>
            <w:r>
              <w:rPr>
                <w:rFonts w:ascii="Arial" w:cs="Arial" w:eastAsia="Arial" w:hAnsi="Arial"/>
                <w:sz w:val="18"/>
                <w:szCs w:val="18"/>
                <w:b w:val="1"/>
                <w:bCs w:val="1"/>
                <w:color w:val="auto"/>
              </w:rPr>
              <w:t>Adjustments: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640" w:type="dxa"/>
            <w:vAlign w:val="bottom"/>
          </w:tcPr>
          <w:p>
            <w:pPr>
              <w:ind w:left="420"/>
              <w:spacing w:after="0"/>
              <w:rPr>
                <w:sz w:val="20"/>
                <w:szCs w:val="20"/>
                <w:color w:val="auto"/>
              </w:rPr>
            </w:pPr>
            <w:r>
              <w:rPr>
                <w:rFonts w:ascii="Arial" w:cs="Arial" w:eastAsia="Arial" w:hAnsi="Arial"/>
                <w:sz w:val="18"/>
                <w:szCs w:val="18"/>
                <w:color w:val="auto"/>
                <w:w w:val="96"/>
              </w:rPr>
              <w:t>Expense from divestitures, asset and investment impairments and unusual items</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40" w:type="dxa"/>
            <w:vAlign w:val="bottom"/>
          </w:tcPr>
          <w:p>
            <w:pPr>
              <w:ind w:left="600"/>
              <w:spacing w:after="0"/>
              <w:rPr>
                <w:sz w:val="20"/>
                <w:szCs w:val="20"/>
                <w:color w:val="auto"/>
              </w:rPr>
            </w:pPr>
            <w:r>
              <w:rPr>
                <w:rFonts w:ascii="Arial" w:cs="Arial" w:eastAsia="Arial" w:hAnsi="Arial"/>
                <w:sz w:val="18"/>
                <w:szCs w:val="18"/>
                <w:color w:val="auto"/>
              </w:rPr>
              <w:t>and restructuring charges</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40" w:type="dxa"/>
            <w:vAlign w:val="bottom"/>
          </w:tcPr>
          <w:p>
            <w:pPr>
              <w:spacing w:after="0"/>
              <w:rPr>
                <w:sz w:val="20"/>
                <w:szCs w:val="20"/>
                <w:color w:val="auto"/>
              </w:rPr>
            </w:pPr>
            <w:r>
              <w:rPr>
                <w:rFonts w:ascii="Arial" w:cs="Arial" w:eastAsia="Arial" w:hAnsi="Arial"/>
                <w:sz w:val="18"/>
                <w:szCs w:val="18"/>
                <w:b w:val="1"/>
                <w:bCs w:val="1"/>
                <w:color w:val="auto"/>
              </w:rPr>
              <w:t>As adjusted amounts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504</w:t>
            </w:r>
          </w:p>
        </w:tc>
        <w:tc>
          <w:tcPr>
            <w:tcW w:w="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176</w:t>
            </w:r>
          </w:p>
        </w:tc>
        <w:tc>
          <w:tcPr>
            <w:tcW w:w="17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34.7%</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40" w:hanging="432"/>
        <w:spacing w:after="0"/>
        <w:tabs>
          <w:tab w:leader="none" w:pos="4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Second quarter 2017 as reported earnings per diluted share increased $0.07, or almost 10%, as compared with adjusted results in second quarter 2016.</w:t>
      </w:r>
    </w:p>
    <w:p>
      <w:pPr>
        <w:spacing w:after="0" w:line="46" w:lineRule="exact"/>
        <w:rPr>
          <w:rFonts w:ascii="Arial" w:cs="Arial" w:eastAsia="Arial" w:hAnsi="Arial"/>
          <w:sz w:val="16"/>
          <w:szCs w:val="16"/>
          <w:b w:val="1"/>
          <w:bCs w:val="1"/>
          <w:color w:val="auto"/>
        </w:rPr>
      </w:pPr>
    </w:p>
    <w:p>
      <w:pPr>
        <w:ind w:left="440" w:hanging="432"/>
        <w:spacing w:after="0"/>
        <w:tabs>
          <w:tab w:leader="none" w:pos="44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As reported operating EBITDA increased $78 million, or about 8%, as compared with as reported operating EBITDA in second quarter 2016.</w:t>
      </w:r>
    </w:p>
    <w:p>
      <w:pPr>
        <w:spacing w:after="0" w:line="20" w:lineRule="exact"/>
        <w:rPr>
          <w:rFonts w:ascii="Arial" w:cs="Arial" w:eastAsia="Arial" w:hAnsi="Arial"/>
          <w:sz w:val="17"/>
          <w:szCs w:val="17"/>
          <w:b w:val="1"/>
          <w:bCs w:val="1"/>
          <w:color w:val="auto"/>
        </w:rPr>
      </w:pPr>
    </w:p>
    <w:p>
      <w:pPr>
        <w:ind w:left="420" w:right="140" w:hanging="412"/>
        <w:spacing w:after="0" w:line="261" w:lineRule="auto"/>
        <w:tabs>
          <w:tab w:leader="none" w:pos="434"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Company calculates its effective tax rate based on actual dollars. Rounding differences occurred when the effective tax rate was calculated using Pre-tax Income and Tax Expense amounts included in the table above, as these items have been rounded in millions.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Waste Management, Inc.</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(Dollars In Millions)</w:t>
      </w:r>
    </w:p>
    <w:p>
      <w:pPr>
        <w:spacing w:after="0" w:line="6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Income from Operations and Income from Operations Margin</w:t>
            </w:r>
          </w:p>
        </w:tc>
        <w:tc>
          <w:tcPr>
            <w:tcW w:w="280" w:type="dxa"/>
            <w:vAlign w:val="bottom"/>
          </w:tcPr>
          <w:p>
            <w:pPr>
              <w:spacing w:after="0"/>
              <w:rPr>
                <w:sz w:val="20"/>
                <w:szCs w:val="20"/>
                <w:color w:val="auto"/>
              </w:rPr>
            </w:pPr>
          </w:p>
        </w:tc>
        <w:tc>
          <w:tcPr>
            <w:tcW w:w="3100" w:type="dxa"/>
            <w:vAlign w:val="bottom"/>
            <w:gridSpan w:val="7"/>
          </w:tcPr>
          <w:p>
            <w:pPr>
              <w:ind w:left="160"/>
              <w:spacing w:after="0"/>
              <w:rPr>
                <w:sz w:val="20"/>
                <w:szCs w:val="20"/>
                <w:color w:val="auto"/>
              </w:rPr>
            </w:pPr>
            <w:r>
              <w:rPr>
                <w:rFonts w:ascii="Arial" w:cs="Arial" w:eastAsia="Arial" w:hAnsi="Arial"/>
                <w:sz w:val="18"/>
                <w:szCs w:val="18"/>
                <w:b w:val="1"/>
                <w:bCs w:val="1"/>
                <w:color w:val="auto"/>
              </w:rPr>
              <w:t>Quarter Ended June 30, 2017</w:t>
            </w:r>
          </w:p>
        </w:tc>
        <w:tc>
          <w:tcPr>
            <w:tcW w:w="0" w:type="dxa"/>
            <w:vAlign w:val="bottom"/>
          </w:tcPr>
          <w:p>
            <w:pPr>
              <w:spacing w:after="0"/>
              <w:rPr>
                <w:sz w:val="1"/>
                <w:szCs w:val="1"/>
                <w:color w:val="auto"/>
              </w:rPr>
            </w:pPr>
          </w:p>
        </w:tc>
      </w:tr>
      <w:tr>
        <w:trPr>
          <w:trHeight w:val="191"/>
        </w:trPr>
        <w:tc>
          <w:tcPr>
            <w:tcW w:w="782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20"/>
              <w:spacing w:after="0" w:line="191"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6"/>
              </w:rPr>
              <w:t>Revenues</w:t>
            </w:r>
          </w:p>
        </w:tc>
        <w:tc>
          <w:tcPr>
            <w:tcW w:w="0" w:type="dxa"/>
            <w:vAlign w:val="bottom"/>
          </w:tcPr>
          <w:p>
            <w:pPr>
              <w:spacing w:after="0"/>
              <w:rPr>
                <w:sz w:val="1"/>
                <w:szCs w:val="1"/>
                <w:color w:val="auto"/>
              </w:rPr>
            </w:pPr>
          </w:p>
        </w:tc>
      </w:tr>
      <w:tr>
        <w:trPr>
          <w:trHeight w:val="318"/>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revenues, as reported</w:t>
            </w:r>
          </w:p>
        </w:tc>
        <w:tc>
          <w:tcPr>
            <w:tcW w:w="28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ind w:left="660"/>
              <w:spacing w:after="0"/>
              <w:rPr>
                <w:sz w:val="20"/>
                <w:szCs w:val="20"/>
                <w:color w:val="auto"/>
              </w:rPr>
            </w:pPr>
            <w:r>
              <w:rPr>
                <w:rFonts w:ascii="Arial" w:cs="Arial" w:eastAsia="Arial" w:hAnsi="Arial"/>
                <w:sz w:val="18"/>
                <w:szCs w:val="18"/>
                <w:b w:val="1"/>
                <w:bCs w:val="1"/>
                <w:color w:val="auto"/>
              </w:rPr>
              <w:t>3,677</w:t>
            </w:r>
          </w:p>
        </w:tc>
        <w:tc>
          <w:tcPr>
            <w:tcW w:w="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782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2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640" w:type="dxa"/>
            <w:vAlign w:val="bottom"/>
            <w:gridSpan w:val="4"/>
          </w:tcPr>
          <w:p>
            <w:pPr>
              <w:ind w:left="780"/>
              <w:spacing w:after="0"/>
              <w:rPr>
                <w:sz w:val="20"/>
                <w:szCs w:val="20"/>
                <w:color w:val="auto"/>
              </w:rPr>
            </w:pPr>
            <w:r>
              <w:rPr>
                <w:rFonts w:ascii="Arial" w:cs="Arial" w:eastAsia="Arial" w:hAnsi="Arial"/>
                <w:sz w:val="18"/>
                <w:szCs w:val="18"/>
                <w:b w:val="1"/>
                <w:bCs w:val="1"/>
                <w:color w:val="auto"/>
              </w:rPr>
              <w:t>673  (a)</w:t>
            </w:r>
          </w:p>
        </w:tc>
        <w:tc>
          <w:tcPr>
            <w:tcW w:w="1460" w:type="dxa"/>
            <w:vAlign w:val="bottom"/>
            <w:gridSpan w:val="3"/>
          </w:tcPr>
          <w:p>
            <w:pPr>
              <w:ind w:left="620"/>
              <w:spacing w:after="0"/>
              <w:rPr>
                <w:sz w:val="20"/>
                <w:szCs w:val="20"/>
                <w:color w:val="auto"/>
              </w:rPr>
            </w:pPr>
            <w:r>
              <w:rPr>
                <w:rFonts w:ascii="Arial" w:cs="Arial" w:eastAsia="Arial" w:hAnsi="Arial"/>
                <w:sz w:val="18"/>
                <w:szCs w:val="18"/>
                <w:b w:val="1"/>
                <w:bCs w:val="1"/>
                <w:color w:val="auto"/>
              </w:rPr>
              <w:t>18.3% (b)</w:t>
            </w:r>
          </w:p>
        </w:tc>
        <w:tc>
          <w:tcPr>
            <w:tcW w:w="0" w:type="dxa"/>
            <w:vAlign w:val="bottom"/>
          </w:tcPr>
          <w:p>
            <w:pPr>
              <w:spacing w:after="0"/>
              <w:rPr>
                <w:sz w:val="1"/>
                <w:szCs w:val="1"/>
                <w:color w:val="auto"/>
              </w:rPr>
            </w:pPr>
          </w:p>
        </w:tc>
      </w:tr>
      <w:tr>
        <w:trPr>
          <w:trHeight w:val="648"/>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and Adjusted Income from Operations Margin</w:t>
            </w:r>
          </w:p>
        </w:tc>
        <w:tc>
          <w:tcPr>
            <w:tcW w:w="280" w:type="dxa"/>
            <w:vAlign w:val="bottom"/>
          </w:tcPr>
          <w:p>
            <w:pPr>
              <w:spacing w:after="0"/>
              <w:rPr>
                <w:sz w:val="24"/>
                <w:szCs w:val="24"/>
                <w:color w:val="auto"/>
              </w:rPr>
            </w:pPr>
          </w:p>
        </w:tc>
        <w:tc>
          <w:tcPr>
            <w:tcW w:w="3100" w:type="dxa"/>
            <w:vAlign w:val="bottom"/>
            <w:gridSpan w:val="7"/>
          </w:tcPr>
          <w:p>
            <w:pPr>
              <w:ind w:left="160"/>
              <w:spacing w:after="0"/>
              <w:rPr>
                <w:sz w:val="20"/>
                <w:szCs w:val="20"/>
                <w:color w:val="auto"/>
              </w:rPr>
            </w:pPr>
            <w:r>
              <w:rPr>
                <w:rFonts w:ascii="Arial" w:cs="Arial" w:eastAsia="Arial" w:hAnsi="Arial"/>
                <w:sz w:val="18"/>
                <w:szCs w:val="18"/>
                <w:b w:val="1"/>
                <w:bCs w:val="1"/>
                <w:color w:val="auto"/>
              </w:rPr>
              <w:t>Quarter Ended June 30, 2016</w:t>
            </w:r>
          </w:p>
        </w:tc>
        <w:tc>
          <w:tcPr>
            <w:tcW w:w="0" w:type="dxa"/>
            <w:vAlign w:val="bottom"/>
          </w:tcPr>
          <w:p>
            <w:pPr>
              <w:spacing w:after="0"/>
              <w:rPr>
                <w:sz w:val="1"/>
                <w:szCs w:val="1"/>
                <w:color w:val="auto"/>
              </w:rPr>
            </w:pPr>
          </w:p>
        </w:tc>
      </w:tr>
      <w:tr>
        <w:trPr>
          <w:trHeight w:val="191"/>
        </w:trPr>
        <w:tc>
          <w:tcPr>
            <w:tcW w:w="7820" w:type="dxa"/>
            <w:vAlign w:val="bottom"/>
            <w:vMerge w:val="continue"/>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 of</w:t>
            </w:r>
          </w:p>
        </w:tc>
        <w:tc>
          <w:tcPr>
            <w:tcW w:w="2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7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ind w:left="120"/>
              <w:spacing w:after="0"/>
              <w:rPr>
                <w:sz w:val="20"/>
                <w:szCs w:val="20"/>
                <w:color w:val="auto"/>
              </w:rPr>
            </w:pPr>
            <w:r>
              <w:rPr>
                <w:rFonts w:ascii="Arial" w:cs="Arial" w:eastAsia="Arial" w:hAnsi="Arial"/>
                <w:sz w:val="18"/>
                <w:szCs w:val="18"/>
                <w:b w:val="1"/>
                <w:bCs w:val="1"/>
                <w:color w:val="auto"/>
              </w:rPr>
              <w:t>Amount</w:t>
            </w:r>
          </w:p>
        </w:tc>
        <w:tc>
          <w:tcPr>
            <w:tcW w:w="14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Revenues</w:t>
            </w:r>
          </w:p>
        </w:tc>
        <w:tc>
          <w:tcPr>
            <w:tcW w:w="0" w:type="dxa"/>
            <w:vAlign w:val="bottom"/>
          </w:tcPr>
          <w:p>
            <w:pPr>
              <w:spacing w:after="0"/>
              <w:rPr>
                <w:sz w:val="1"/>
                <w:szCs w:val="1"/>
                <w:color w:val="auto"/>
              </w:rPr>
            </w:pPr>
          </w:p>
        </w:tc>
      </w:tr>
      <w:tr>
        <w:trPr>
          <w:trHeight w:val="351"/>
        </w:trPr>
        <w:tc>
          <w:tcPr>
            <w:tcW w:w="7820" w:type="dxa"/>
            <w:vAlign w:val="bottom"/>
          </w:tcPr>
          <w:p>
            <w:pPr>
              <w:spacing w:after="0"/>
              <w:rPr>
                <w:sz w:val="20"/>
                <w:szCs w:val="20"/>
                <w:color w:val="auto"/>
              </w:rPr>
            </w:pPr>
            <w:r>
              <w:rPr>
                <w:rFonts w:ascii="Arial" w:cs="Arial" w:eastAsia="Arial" w:hAnsi="Arial"/>
                <w:sz w:val="18"/>
                <w:szCs w:val="18"/>
                <w:b w:val="1"/>
                <w:bCs w:val="1"/>
                <w:color w:val="auto"/>
              </w:rPr>
              <w:t>Operating revenues, as reported</w:t>
            </w:r>
          </w:p>
        </w:tc>
        <w:tc>
          <w:tcPr>
            <w:tcW w:w="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top w:val="single" w:sz="8" w:color="auto"/>
            </w:tcBorders>
          </w:tcPr>
          <w:p>
            <w:pPr>
              <w:ind w:left="640"/>
              <w:spacing w:after="0"/>
              <w:rPr>
                <w:sz w:val="20"/>
                <w:szCs w:val="20"/>
                <w:color w:val="auto"/>
              </w:rPr>
            </w:pPr>
            <w:r>
              <w:rPr>
                <w:rFonts w:ascii="Arial" w:cs="Arial" w:eastAsia="Arial" w:hAnsi="Arial"/>
                <w:sz w:val="18"/>
                <w:szCs w:val="18"/>
                <w:b w:val="1"/>
                <w:bCs w:val="1"/>
                <w:color w:val="auto"/>
              </w:rPr>
              <w:t>3,425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820" w:type="dxa"/>
            <w:vAlign w:val="bottom"/>
          </w:tcPr>
          <w:p>
            <w:pPr>
              <w:spacing w:after="0"/>
              <w:rPr>
                <w:sz w:val="20"/>
                <w:szCs w:val="20"/>
                <w:color w:val="auto"/>
              </w:rPr>
            </w:pPr>
            <w:r>
              <w:rPr>
                <w:rFonts w:ascii="Arial" w:cs="Arial" w:eastAsia="Arial" w:hAnsi="Arial"/>
                <w:sz w:val="18"/>
                <w:szCs w:val="18"/>
                <w:b w:val="1"/>
                <w:bCs w:val="1"/>
                <w:color w:val="auto"/>
              </w:rPr>
              <w:t>Income from operations, as reported</w:t>
            </w:r>
          </w:p>
        </w:tc>
        <w:tc>
          <w:tcPr>
            <w:tcW w:w="24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b w:val="1"/>
                <w:bCs w:val="1"/>
                <w:color w:val="auto"/>
              </w:rPr>
              <w:t>611</w:t>
            </w: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7820" w:type="dxa"/>
            <w:vAlign w:val="bottom"/>
          </w:tcPr>
          <w:p>
            <w:pPr>
              <w:spacing w:after="0"/>
              <w:rPr>
                <w:sz w:val="20"/>
                <w:szCs w:val="20"/>
                <w:color w:val="auto"/>
              </w:rPr>
            </w:pPr>
            <w:r>
              <w:rPr>
                <w:rFonts w:ascii="Arial" w:cs="Arial" w:eastAsia="Arial" w:hAnsi="Arial"/>
                <w:sz w:val="18"/>
                <w:szCs w:val="18"/>
                <w:b w:val="1"/>
                <w:bCs w:val="1"/>
                <w:color w:val="auto"/>
              </w:rPr>
              <w:t>Adjustments to income from operations:</w:t>
            </w: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420"/>
              <w:spacing w:after="0"/>
              <w:rPr>
                <w:sz w:val="20"/>
                <w:szCs w:val="20"/>
                <w:color w:val="auto"/>
              </w:rPr>
            </w:pPr>
            <w:r>
              <w:rPr>
                <w:rFonts w:ascii="Arial" w:cs="Arial" w:eastAsia="Arial" w:hAnsi="Arial"/>
                <w:sz w:val="18"/>
                <w:szCs w:val="18"/>
                <w:color w:val="auto"/>
              </w:rPr>
              <w:t>Expense from divestitures, asset impairments and unusual items and restructuring charges</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Adjusted income from operations</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615</w:t>
            </w:r>
          </w:p>
        </w:tc>
        <w:tc>
          <w:tcPr>
            <w:tcW w:w="440" w:type="dxa"/>
            <w:vAlign w:val="bottom"/>
          </w:tcPr>
          <w:p>
            <w:pPr>
              <w:ind w:left="80"/>
              <w:spacing w:after="0"/>
              <w:rPr>
                <w:sz w:val="20"/>
                <w:szCs w:val="20"/>
                <w:color w:val="auto"/>
              </w:rPr>
            </w:pPr>
            <w:r>
              <w:rPr>
                <w:rFonts w:ascii="Arial" w:cs="Arial" w:eastAsia="Arial" w:hAnsi="Arial"/>
                <w:sz w:val="18"/>
                <w:szCs w:val="18"/>
                <w:b w:val="1"/>
                <w:bCs w:val="1"/>
                <w:color w:val="auto"/>
              </w:rPr>
              <w:t>(a)</w:t>
            </w:r>
          </w:p>
        </w:tc>
        <w:tc>
          <w:tcPr>
            <w:tcW w:w="200" w:type="dxa"/>
            <w:vAlign w:val="bottom"/>
          </w:tcPr>
          <w:p>
            <w:pPr>
              <w:spacing w:after="0"/>
              <w:rPr>
                <w:sz w:val="19"/>
                <w:szCs w:val="19"/>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b w:val="1"/>
                <w:bCs w:val="1"/>
                <w:color w:val="auto"/>
              </w:rPr>
              <w:t>18.0%</w:t>
            </w:r>
          </w:p>
        </w:tc>
        <w:tc>
          <w:tcPr>
            <w:tcW w:w="220" w:type="dxa"/>
            <w:vAlign w:val="bottom"/>
          </w:tcPr>
          <w:p>
            <w:pPr>
              <w:spacing w:after="0"/>
              <w:rPr>
                <w:sz w:val="20"/>
                <w:szCs w:val="20"/>
                <w:color w:val="auto"/>
              </w:rPr>
            </w:pPr>
            <w:r>
              <w:rPr>
                <w:rFonts w:ascii="Arial" w:cs="Arial" w:eastAsia="Arial" w:hAnsi="Arial"/>
                <w:sz w:val="18"/>
                <w:szCs w:val="18"/>
                <w:b w:val="1"/>
                <w:bCs w:val="1"/>
                <w:color w:val="auto"/>
                <w:w w:val="86"/>
              </w:rPr>
              <w:t>(b)</w:t>
            </w:r>
          </w:p>
        </w:tc>
        <w:tc>
          <w:tcPr>
            <w:tcW w:w="0" w:type="dxa"/>
            <w:vAlign w:val="bottom"/>
          </w:tcPr>
          <w:p>
            <w:pPr>
              <w:spacing w:after="0"/>
              <w:rPr>
                <w:sz w:val="1"/>
                <w:szCs w:val="1"/>
                <w:color w:val="auto"/>
              </w:rPr>
            </w:pPr>
          </w:p>
        </w:tc>
      </w:tr>
      <w:tr>
        <w:trPr>
          <w:trHeight w:val="20"/>
        </w:trPr>
        <w:tc>
          <w:tcPr>
            <w:tcW w:w="7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 xml:space="preserve">2017 Projected Free Cash Flow Reconciliation </w:t>
            </w:r>
            <w:r>
              <w:rPr>
                <w:rFonts w:ascii="Arial" w:cs="Arial" w:eastAsia="Arial" w:hAnsi="Arial"/>
                <w:sz w:val="18"/>
                <w:szCs w:val="18"/>
                <w:b w:val="1"/>
                <w:bCs w:val="1"/>
                <w:color w:val="auto"/>
              </w:rPr>
              <w:t>(c)</w:t>
            </w: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w w:val="94"/>
              </w:rPr>
              <w:t>Scenario 1</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0"/>
              </w:rPr>
              <w:t>Scenario 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20" w:type="dxa"/>
            <w:vAlign w:val="bottom"/>
            <w:vMerge w:val="restart"/>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20" w:type="dxa"/>
            <w:vAlign w:val="bottom"/>
            <w:vMerge w:val="continue"/>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2,900</w:t>
            </w:r>
          </w:p>
        </w:tc>
        <w:tc>
          <w:tcPr>
            <w:tcW w:w="4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(1,450)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20" w:type="dxa"/>
            <w:vAlign w:val="bottom"/>
          </w:tcPr>
          <w:p>
            <w:pPr>
              <w:ind w:left="34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4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20" w:type="dxa"/>
            <w:vAlign w:val="bottom"/>
          </w:tcPr>
          <w:p>
            <w:pPr>
              <w:ind w:left="340"/>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1,500</w:t>
            </w:r>
          </w:p>
        </w:tc>
        <w:tc>
          <w:tcPr>
            <w:tcW w:w="44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1,600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40" w:hanging="432"/>
        <w:spacing w:after="0"/>
        <w:tabs>
          <w:tab w:leader="none" w:pos="4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As reported income from operations increased $58 million, or 9.4%, as compared with adjusted results in second quarter 2016.</w:t>
      </w:r>
    </w:p>
    <w:p>
      <w:pPr>
        <w:spacing w:after="0" w:line="23" w:lineRule="exact"/>
        <w:rPr>
          <w:rFonts w:ascii="Arial" w:cs="Arial" w:eastAsia="Arial" w:hAnsi="Arial"/>
          <w:sz w:val="18"/>
          <w:szCs w:val="18"/>
          <w:b w:val="1"/>
          <w:bCs w:val="1"/>
          <w:color w:val="auto"/>
        </w:rPr>
      </w:pPr>
    </w:p>
    <w:p>
      <w:pPr>
        <w:ind w:left="440" w:hanging="432"/>
        <w:spacing w:after="0"/>
        <w:tabs>
          <w:tab w:leader="none" w:pos="44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As reported income from operations grew 30 basis points as a percent of revenues, as compared with adjusted results in second quarter 2016.</w:t>
      </w:r>
    </w:p>
    <w:p>
      <w:pPr>
        <w:spacing w:after="0" w:line="20" w:lineRule="exact"/>
        <w:rPr>
          <w:rFonts w:ascii="Arial" w:cs="Arial" w:eastAsia="Arial" w:hAnsi="Arial"/>
          <w:sz w:val="17"/>
          <w:szCs w:val="17"/>
          <w:b w:val="1"/>
          <w:bCs w:val="1"/>
          <w:color w:val="auto"/>
        </w:rPr>
      </w:pPr>
    </w:p>
    <w:p>
      <w:pPr>
        <w:ind w:left="420" w:hanging="412"/>
        <w:spacing w:after="0" w:line="290" w:lineRule="auto"/>
        <w:tabs>
          <w:tab w:leader="none" w:pos="434"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The reconciliation includes two scenarios that illustrate our projected free cash flow range for 2017. The amounts used in the reconciliation are subject to many variables, some of which are not under our control and, therefore, are not necessarily indicative of actual results.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36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3"/>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2019-12-05T15:46:57Z</dcterms:created>
  <dcterms:modified xsi:type="dcterms:W3CDTF">2019-12-05T15:46:57Z</dcterms:modified>
</cp:coreProperties>
</file>