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364" w:lineRule="exact"/>
        <w:rPr>
          <w:sz w:val="24"/>
          <w:szCs w:val="24"/>
          <w:color w:val="auto"/>
        </w:rPr>
      </w:pPr>
    </w:p>
    <w:p>
      <w:pPr>
        <w:ind w:left="563"/>
        <w:spacing w:after="0"/>
        <w:rPr>
          <w:sz w:val="20"/>
          <w:szCs w:val="20"/>
          <w:color w:val="auto"/>
        </w:rPr>
      </w:pPr>
      <w:r>
        <w:rPr>
          <w:rFonts w:ascii="Courier New" w:cs="Courier New" w:eastAsia="Courier New" w:hAnsi="Courier New"/>
          <w:sz w:val="16"/>
          <w:szCs w:val="16"/>
          <w:color w:val="auto"/>
        </w:rPr>
        <w:t>AS FILED WITH THE SECURITIES AND EXCHANGE COMMISSION ON MAY 18, 1995</w:t>
      </w:r>
    </w:p>
    <w:p>
      <w:pPr>
        <w:spacing w:after="0" w:line="364" w:lineRule="exact"/>
        <w:rPr>
          <w:sz w:val="24"/>
          <w:szCs w:val="24"/>
          <w:color w:val="auto"/>
        </w:rPr>
      </w:pPr>
    </w:p>
    <w:p>
      <w:pPr>
        <w:ind w:left="5203"/>
        <w:spacing w:after="0"/>
        <w:rPr>
          <w:sz w:val="20"/>
          <w:szCs w:val="20"/>
          <w:color w:val="auto"/>
        </w:rPr>
      </w:pPr>
      <w:r>
        <w:rPr>
          <w:rFonts w:ascii="Courier New" w:cs="Courier New" w:eastAsia="Courier New" w:hAnsi="Courier New"/>
          <w:sz w:val="16"/>
          <w:szCs w:val="16"/>
          <w:color w:val="auto"/>
        </w:rPr>
        <w:t>REGISTRATION NO. 33-59259</w:t>
      </w:r>
    </w:p>
    <w:p>
      <w:pPr>
        <w:spacing w:after="0" w:line="1"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364"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AMENDMENT NO. 2</w:t>
            </w:r>
          </w:p>
        </w:tc>
        <w:tc>
          <w:tcPr>
            <w:tcW w:w="12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64"/>
        </w:trPr>
        <w:tc>
          <w:tcPr>
            <w:tcW w:w="30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TO</w:t>
            </w: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82"/>
        </w:trPr>
        <w:tc>
          <w:tcPr>
            <w:tcW w:w="30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8"/>
              </w:rPr>
              <w:t>FORM S-4</w:t>
            </w:r>
          </w:p>
        </w:tc>
        <w:tc>
          <w:tcPr>
            <w:tcW w:w="12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64"/>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8"/>
              </w:rPr>
              <w:t>REGISTRATION STATEMENT</w:t>
            </w:r>
          </w:p>
        </w:tc>
        <w:tc>
          <w:tcPr>
            <w:tcW w:w="2660" w:type="dxa"/>
            <w:vAlign w:val="bottom"/>
          </w:tcPr>
          <w:p>
            <w:pPr>
              <w:spacing w:after="0"/>
              <w:rPr>
                <w:sz w:val="24"/>
                <w:szCs w:val="24"/>
                <w:color w:val="auto"/>
              </w:rPr>
            </w:pPr>
          </w:p>
        </w:tc>
      </w:tr>
      <w:tr>
        <w:trPr>
          <w:trHeight w:val="182"/>
        </w:trPr>
        <w:tc>
          <w:tcPr>
            <w:tcW w:w="302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UNDER</w:t>
            </w:r>
          </w:p>
        </w:tc>
        <w:tc>
          <w:tcPr>
            <w:tcW w:w="12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2"/>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7"/>
              </w:rPr>
              <w:t>THE SECURITIES ACT OF 1933</w:t>
            </w:r>
          </w:p>
        </w:tc>
        <w:tc>
          <w:tcPr>
            <w:tcW w:w="2660" w:type="dxa"/>
            <w:vAlign w:val="bottom"/>
          </w:tcPr>
          <w:p>
            <w:pPr>
              <w:spacing w:after="0"/>
              <w:rPr>
                <w:sz w:val="15"/>
                <w:szCs w:val="15"/>
                <w:color w:val="auto"/>
              </w:rPr>
            </w:pPr>
          </w:p>
        </w:tc>
      </w:tr>
      <w:tr>
        <w:trPr>
          <w:trHeight w:val="364"/>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8"/>
              </w:rPr>
              <w:t>------------------------</w:t>
            </w:r>
          </w:p>
        </w:tc>
        <w:tc>
          <w:tcPr>
            <w:tcW w:w="2660" w:type="dxa"/>
            <w:vAlign w:val="bottom"/>
          </w:tcPr>
          <w:p>
            <w:pPr>
              <w:spacing w:after="0"/>
              <w:rPr>
                <w:sz w:val="24"/>
                <w:szCs w:val="24"/>
                <w:color w:val="auto"/>
              </w:rPr>
            </w:pPr>
          </w:p>
        </w:tc>
      </w:tr>
      <w:tr>
        <w:trPr>
          <w:trHeight w:val="364"/>
        </w:trPr>
        <w:tc>
          <w:tcPr>
            <w:tcW w:w="3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USA</w:t>
            </w:r>
          </w:p>
        </w:tc>
        <w:tc>
          <w:tcPr>
            <w:tcW w:w="2740" w:type="dxa"/>
            <w:vAlign w:val="bottom"/>
            <w:gridSpan w:val="2"/>
          </w:tcPr>
          <w:p>
            <w:pPr>
              <w:spacing w:after="0"/>
              <w:rPr>
                <w:sz w:val="20"/>
                <w:szCs w:val="20"/>
                <w:color w:val="auto"/>
              </w:rPr>
            </w:pPr>
            <w:r>
              <w:rPr>
                <w:rFonts w:ascii="Courier New" w:cs="Courier New" w:eastAsia="Courier New" w:hAnsi="Courier New"/>
                <w:sz w:val="16"/>
                <w:szCs w:val="16"/>
                <w:color w:val="auto"/>
              </w:rPr>
              <w:t>WASTE SERVICES, INC.</w:t>
            </w:r>
          </w:p>
        </w:tc>
        <w:tc>
          <w:tcPr>
            <w:tcW w:w="2660" w:type="dxa"/>
            <w:vAlign w:val="bottom"/>
          </w:tcPr>
          <w:p>
            <w:pPr>
              <w:spacing w:after="0"/>
              <w:rPr>
                <w:sz w:val="24"/>
                <w:szCs w:val="24"/>
                <w:color w:val="auto"/>
              </w:rPr>
            </w:pPr>
          </w:p>
        </w:tc>
      </w:tr>
      <w:tr>
        <w:trPr>
          <w:trHeight w:val="182"/>
        </w:trPr>
        <w:tc>
          <w:tcPr>
            <w:tcW w:w="8420" w:type="dxa"/>
            <w:vAlign w:val="bottom"/>
            <w:gridSpan w:val="4"/>
          </w:tcPr>
          <w:p>
            <w:pPr>
              <w:jc w:val="center"/>
              <w:ind w:right="781"/>
              <w:spacing w:after="0"/>
              <w:rPr>
                <w:sz w:val="20"/>
                <w:szCs w:val="20"/>
                <w:color w:val="auto"/>
              </w:rPr>
            </w:pPr>
            <w:r>
              <w:rPr>
                <w:rFonts w:ascii="Courier New" w:cs="Courier New" w:eastAsia="Courier New" w:hAnsi="Courier New"/>
                <w:sz w:val="16"/>
                <w:szCs w:val="16"/>
                <w:color w:val="auto"/>
                <w:w w:val="98"/>
              </w:rPr>
              <w:t>(Exact name of Registrant as specified in its charter)</w:t>
            </w:r>
          </w:p>
        </w:tc>
      </w:tr>
      <w:tr>
        <w:trPr>
          <w:trHeight w:val="728"/>
        </w:trPr>
        <w:tc>
          <w:tcPr>
            <w:tcW w:w="3020" w:type="dxa"/>
            <w:vAlign w:val="bottom"/>
          </w:tcPr>
          <w:p>
            <w:pPr>
              <w:jc w:val="right"/>
              <w:ind w:right="1141"/>
              <w:spacing w:after="0"/>
              <w:rPr>
                <w:sz w:val="20"/>
                <w:szCs w:val="20"/>
                <w:color w:val="auto"/>
              </w:rPr>
            </w:pPr>
            <w:r>
              <w:rPr>
                <w:rFonts w:ascii="Courier New" w:cs="Courier New" w:eastAsia="Courier New" w:hAnsi="Courier New"/>
                <w:sz w:val="16"/>
                <w:szCs w:val="16"/>
                <w:color w:val="auto"/>
              </w:rPr>
              <w:t>OKLAHOMA</w:t>
            </w:r>
          </w:p>
        </w:tc>
        <w:tc>
          <w:tcPr>
            <w:tcW w:w="1520" w:type="dxa"/>
            <w:vAlign w:val="bottom"/>
          </w:tcPr>
          <w:p>
            <w:pPr>
              <w:ind w:left="1140"/>
              <w:spacing w:after="0"/>
              <w:rPr>
                <w:sz w:val="20"/>
                <w:szCs w:val="20"/>
                <w:color w:val="auto"/>
              </w:rPr>
            </w:pPr>
            <w:r>
              <w:rPr>
                <w:rFonts w:ascii="Courier New" w:cs="Courier New" w:eastAsia="Courier New" w:hAnsi="Courier New"/>
                <w:sz w:val="16"/>
                <w:szCs w:val="16"/>
                <w:color w:val="auto"/>
                <w:w w:val="93"/>
              </w:rPr>
              <w:t>4953</w:t>
            </w:r>
          </w:p>
        </w:tc>
        <w:tc>
          <w:tcPr>
            <w:tcW w:w="1220" w:type="dxa"/>
            <w:vAlign w:val="bottom"/>
          </w:tcPr>
          <w:p>
            <w:pPr>
              <w:spacing w:after="0"/>
              <w:rPr>
                <w:sz w:val="24"/>
                <w:szCs w:val="24"/>
                <w:color w:val="auto"/>
              </w:rPr>
            </w:pPr>
          </w:p>
        </w:tc>
        <w:tc>
          <w:tcPr>
            <w:tcW w:w="266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9"/>
              </w:rPr>
              <w:t>73-1309529</w:t>
            </w:r>
          </w:p>
        </w:tc>
      </w:tr>
      <w:tr>
        <w:trPr>
          <w:trHeight w:val="182"/>
        </w:trPr>
        <w:tc>
          <w:tcPr>
            <w:tcW w:w="30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(State or other jurisdiction of</w:t>
            </w:r>
          </w:p>
        </w:tc>
        <w:tc>
          <w:tcPr>
            <w:tcW w:w="27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(Primary Standard Industrial</w:t>
            </w:r>
          </w:p>
        </w:tc>
        <w:tc>
          <w:tcPr>
            <w:tcW w:w="266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(I.R.S. Employer</w:t>
            </w:r>
          </w:p>
        </w:tc>
      </w:tr>
      <w:tr>
        <w:trPr>
          <w:trHeight w:val="182"/>
        </w:trPr>
        <w:tc>
          <w:tcPr>
            <w:tcW w:w="30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incorporation or organization)</w:t>
            </w:r>
          </w:p>
        </w:tc>
        <w:tc>
          <w:tcPr>
            <w:tcW w:w="27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Classification Code Number)</w:t>
            </w:r>
          </w:p>
        </w:tc>
        <w:tc>
          <w:tcPr>
            <w:tcW w:w="266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Identification Number)</w:t>
            </w:r>
          </w:p>
        </w:tc>
      </w:tr>
      <w:tr>
        <w:trPr>
          <w:trHeight w:val="546"/>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8"/>
              </w:rPr>
              <w:t>------------------------</w:t>
            </w:r>
          </w:p>
        </w:tc>
        <w:tc>
          <w:tcPr>
            <w:tcW w:w="2660" w:type="dxa"/>
            <w:vAlign w:val="bottom"/>
          </w:tcPr>
          <w:p>
            <w:pPr>
              <w:spacing w:after="0"/>
              <w:rPr>
                <w:sz w:val="24"/>
                <w:szCs w:val="24"/>
                <w:color w:val="auto"/>
              </w:rPr>
            </w:pPr>
          </w:p>
        </w:tc>
      </w:tr>
      <w:tr>
        <w:trPr>
          <w:trHeight w:val="728"/>
        </w:trPr>
        <w:tc>
          <w:tcPr>
            <w:tcW w:w="3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EARL E. DEFRATES</w:t>
            </w:r>
          </w:p>
        </w:tc>
      </w:tr>
      <w:tr>
        <w:trPr>
          <w:trHeight w:val="182"/>
        </w:trPr>
        <w:tc>
          <w:tcPr>
            <w:tcW w:w="3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8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8"/>
              </w:rPr>
              <w:t>USA WASTE SERVICES, INC.</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5000 QUORUM DRIVE, SUITE 300</w:t>
            </w:r>
          </w:p>
        </w:tc>
        <w:tc>
          <w:tcPr>
            <w:tcW w:w="388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8"/>
              </w:rPr>
              <w:t>5000 QUORUM DRIVE, SUITE 300</w:t>
            </w:r>
          </w:p>
        </w:tc>
      </w:tr>
      <w:tr>
        <w:trPr>
          <w:trHeight w:val="182"/>
        </w:trPr>
        <w:tc>
          <w:tcPr>
            <w:tcW w:w="3020" w:type="dxa"/>
            <w:vAlign w:val="bottom"/>
          </w:tcPr>
          <w:p>
            <w:pPr>
              <w:jc w:val="center"/>
              <w:ind w:left="1141"/>
              <w:spacing w:after="0"/>
              <w:rPr>
                <w:sz w:val="20"/>
                <w:szCs w:val="20"/>
                <w:color w:val="auto"/>
              </w:rPr>
            </w:pPr>
            <w:r>
              <w:rPr>
                <w:rFonts w:ascii="Courier New" w:cs="Courier New" w:eastAsia="Courier New" w:hAnsi="Courier New"/>
                <w:sz w:val="16"/>
                <w:szCs w:val="16"/>
                <w:color w:val="auto"/>
                <w:w w:val="98"/>
              </w:rPr>
              <w:t>DALLAS, TEXAS 75240</w:t>
            </w:r>
          </w:p>
        </w:tc>
        <w:tc>
          <w:tcPr>
            <w:tcW w:w="1520" w:type="dxa"/>
            <w:vAlign w:val="bottom"/>
          </w:tcPr>
          <w:p>
            <w:pPr>
              <w:spacing w:after="0"/>
              <w:rPr>
                <w:sz w:val="15"/>
                <w:szCs w:val="15"/>
                <w:color w:val="auto"/>
              </w:rPr>
            </w:pP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DALLAS, TEXAS 75240</w:t>
            </w:r>
          </w:p>
        </w:tc>
      </w:tr>
      <w:tr>
        <w:trPr>
          <w:trHeight w:val="182"/>
        </w:trPr>
        <w:tc>
          <w:tcPr>
            <w:tcW w:w="3020" w:type="dxa"/>
            <w:vAlign w:val="bottom"/>
          </w:tcPr>
          <w:p>
            <w:pPr>
              <w:jc w:val="center"/>
              <w:ind w:left="1261"/>
              <w:spacing w:after="0"/>
              <w:rPr>
                <w:sz w:val="20"/>
                <w:szCs w:val="20"/>
                <w:color w:val="auto"/>
              </w:rPr>
            </w:pPr>
            <w:r>
              <w:rPr>
                <w:rFonts w:ascii="Courier New" w:cs="Courier New" w:eastAsia="Courier New" w:hAnsi="Courier New"/>
                <w:sz w:val="16"/>
                <w:szCs w:val="16"/>
                <w:color w:val="auto"/>
                <w:w w:val="98"/>
              </w:rPr>
              <w:t>(214) 383-7900</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(214) 383-7900</w:t>
            </w:r>
          </w:p>
        </w:tc>
      </w:tr>
      <w:tr>
        <w:trPr>
          <w:trHeight w:val="182"/>
        </w:trPr>
        <w:tc>
          <w:tcPr>
            <w:tcW w:w="4540" w:type="dxa"/>
            <w:vAlign w:val="bottom"/>
            <w:gridSpan w:val="2"/>
          </w:tcPr>
          <w:p>
            <w:pPr>
              <w:jc w:val="center"/>
              <w:ind w:right="201"/>
              <w:spacing w:after="0"/>
              <w:rPr>
                <w:sz w:val="20"/>
                <w:szCs w:val="20"/>
                <w:color w:val="auto"/>
              </w:rPr>
            </w:pPr>
            <w:r>
              <w:rPr>
                <w:rFonts w:ascii="Courier New" w:cs="Courier New" w:eastAsia="Courier New" w:hAnsi="Courier New"/>
                <w:sz w:val="16"/>
                <w:szCs w:val="16"/>
                <w:color w:val="auto"/>
                <w:w w:val="98"/>
              </w:rPr>
              <w:t>(Address, including zip code, and telephone</w:t>
            </w: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(Name, address, including zip code, and</w:t>
            </w:r>
          </w:p>
        </w:tc>
      </w:tr>
      <w:tr>
        <w:trPr>
          <w:trHeight w:val="182"/>
        </w:trPr>
        <w:tc>
          <w:tcPr>
            <w:tcW w:w="45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8"/>
              </w:rPr>
              <w:t>number, including area code, of Registrant's</w:t>
            </w:r>
          </w:p>
        </w:tc>
        <w:tc>
          <w:tcPr>
            <w:tcW w:w="1220" w:type="dxa"/>
            <w:vAlign w:val="bottom"/>
          </w:tcPr>
          <w:p>
            <w:pPr>
              <w:spacing w:after="0"/>
              <w:rPr>
                <w:sz w:val="15"/>
                <w:szCs w:val="15"/>
                <w:color w:val="auto"/>
              </w:rPr>
            </w:pPr>
          </w:p>
        </w:tc>
        <w:tc>
          <w:tcPr>
            <w:tcW w:w="2660" w:type="dxa"/>
            <w:vAlign w:val="bottom"/>
          </w:tcPr>
          <w:p>
            <w:pPr>
              <w:jc w:val="center"/>
              <w:ind w:right="1161"/>
              <w:spacing w:after="0"/>
              <w:rPr>
                <w:sz w:val="20"/>
                <w:szCs w:val="20"/>
                <w:color w:val="auto"/>
              </w:rPr>
            </w:pPr>
            <w:r>
              <w:rPr>
                <w:rFonts w:ascii="Courier New" w:cs="Courier New" w:eastAsia="Courier New" w:hAnsi="Courier New"/>
                <w:sz w:val="16"/>
                <w:szCs w:val="16"/>
                <w:color w:val="auto"/>
                <w:w w:val="99"/>
              </w:rPr>
              <w:t>telephone</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principal executive offices)</w:t>
            </w: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number, including area code, of agent for</w:t>
            </w:r>
          </w:p>
        </w:tc>
      </w:tr>
      <w:tr>
        <w:trPr>
          <w:trHeight w:val="182"/>
        </w:trPr>
        <w:tc>
          <w:tcPr>
            <w:tcW w:w="3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service)</w:t>
            </w:r>
          </w:p>
        </w:tc>
      </w:tr>
      <w:tr>
        <w:trPr>
          <w:trHeight w:val="546"/>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8"/>
              </w:rPr>
              <w:t>------------------------</w:t>
            </w:r>
          </w:p>
        </w:tc>
        <w:tc>
          <w:tcPr>
            <w:tcW w:w="2660" w:type="dxa"/>
            <w:vAlign w:val="bottom"/>
          </w:tcPr>
          <w:p>
            <w:pPr>
              <w:spacing w:after="0"/>
              <w:rPr>
                <w:sz w:val="24"/>
                <w:szCs w:val="24"/>
                <w:color w:val="auto"/>
              </w:rPr>
            </w:pPr>
          </w:p>
        </w:tc>
      </w:tr>
      <w:tr>
        <w:trPr>
          <w:trHeight w:val="364"/>
        </w:trPr>
        <w:tc>
          <w:tcPr>
            <w:tcW w:w="30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9"/>
              </w:rPr>
              <w:t>Copies to:</w:t>
            </w: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728"/>
        </w:trPr>
        <w:tc>
          <w:tcPr>
            <w:tcW w:w="3020" w:type="dxa"/>
            <w:vAlign w:val="bottom"/>
          </w:tcPr>
          <w:p>
            <w:pPr>
              <w:jc w:val="center"/>
              <w:ind w:left="1161"/>
              <w:spacing w:after="0"/>
              <w:rPr>
                <w:sz w:val="20"/>
                <w:szCs w:val="20"/>
                <w:color w:val="auto"/>
              </w:rPr>
            </w:pPr>
            <w:r>
              <w:rPr>
                <w:rFonts w:ascii="Courier New" w:cs="Courier New" w:eastAsia="Courier New" w:hAnsi="Courier New"/>
                <w:sz w:val="16"/>
                <w:szCs w:val="16"/>
                <w:color w:val="auto"/>
                <w:w w:val="98"/>
              </w:rPr>
              <w:t>DAVID J. GRAHAM</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jc w:val="center"/>
              <w:ind w:right="1161"/>
              <w:spacing w:after="0"/>
              <w:rPr>
                <w:sz w:val="20"/>
                <w:szCs w:val="20"/>
                <w:color w:val="auto"/>
              </w:rPr>
            </w:pPr>
            <w:r>
              <w:rPr>
                <w:rFonts w:ascii="Courier New" w:cs="Courier New" w:eastAsia="Courier New" w:hAnsi="Courier New"/>
                <w:sz w:val="16"/>
                <w:szCs w:val="16"/>
                <w:color w:val="auto"/>
                <w:w w:val="98"/>
              </w:rPr>
              <w:t>RICHARD R. HOWE</w:t>
            </w:r>
          </w:p>
        </w:tc>
      </w:tr>
      <w:tr>
        <w:trPr>
          <w:trHeight w:val="182"/>
        </w:trPr>
        <w:tc>
          <w:tcPr>
            <w:tcW w:w="45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8"/>
              </w:rPr>
              <w:t>ANDREWS &amp; KURTH L.L.P.</w:t>
            </w: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SULLIVAN &amp; CROMWELL</w:t>
            </w:r>
          </w:p>
        </w:tc>
      </w:tr>
      <w:tr>
        <w:trPr>
          <w:trHeight w:val="182"/>
        </w:trPr>
        <w:tc>
          <w:tcPr>
            <w:tcW w:w="4540" w:type="dxa"/>
            <w:vAlign w:val="bottom"/>
            <w:gridSpan w:val="2"/>
          </w:tcPr>
          <w:p>
            <w:pPr>
              <w:jc w:val="center"/>
              <w:ind w:right="221"/>
              <w:spacing w:after="0"/>
              <w:rPr>
                <w:sz w:val="20"/>
                <w:szCs w:val="20"/>
                <w:color w:val="auto"/>
              </w:rPr>
            </w:pPr>
            <w:r>
              <w:rPr>
                <w:rFonts w:ascii="Courier New" w:cs="Courier New" w:eastAsia="Courier New" w:hAnsi="Courier New"/>
                <w:sz w:val="16"/>
                <w:szCs w:val="16"/>
                <w:color w:val="auto"/>
                <w:w w:val="98"/>
              </w:rPr>
              <w:t>4200 TEXAS COMMERCE TOWER</w:t>
            </w: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125 BROAD STREET</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HOUSTON, TEXAS 77002</w:t>
            </w:r>
          </w:p>
        </w:tc>
        <w:tc>
          <w:tcPr>
            <w:tcW w:w="388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8"/>
              </w:rPr>
              <w:t>NEW YORK, NEW YORK 10004</w:t>
            </w:r>
          </w:p>
        </w:tc>
      </w:tr>
      <w:tr>
        <w:trPr>
          <w:trHeight w:val="182"/>
        </w:trPr>
        <w:tc>
          <w:tcPr>
            <w:tcW w:w="3020" w:type="dxa"/>
            <w:vAlign w:val="bottom"/>
          </w:tcPr>
          <w:p>
            <w:pPr>
              <w:jc w:val="center"/>
              <w:ind w:left="1261"/>
              <w:spacing w:after="0"/>
              <w:rPr>
                <w:sz w:val="20"/>
                <w:szCs w:val="20"/>
                <w:color w:val="auto"/>
              </w:rPr>
            </w:pPr>
            <w:r>
              <w:rPr>
                <w:rFonts w:ascii="Courier New" w:cs="Courier New" w:eastAsia="Courier New" w:hAnsi="Courier New"/>
                <w:sz w:val="16"/>
                <w:szCs w:val="16"/>
                <w:color w:val="auto"/>
                <w:w w:val="98"/>
              </w:rPr>
              <w:t>(713) 220-4200</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(212) 558-4000</w:t>
            </w:r>
          </w:p>
        </w:tc>
      </w:tr>
      <w:tr>
        <w:trPr>
          <w:trHeight w:val="364"/>
        </w:trPr>
        <w:tc>
          <w:tcPr>
            <w:tcW w:w="3020" w:type="dxa"/>
            <w:vAlign w:val="bottom"/>
          </w:tcPr>
          <w:p>
            <w:pPr>
              <w:jc w:val="center"/>
              <w:ind w:left="1161"/>
              <w:spacing w:after="0"/>
              <w:rPr>
                <w:sz w:val="20"/>
                <w:szCs w:val="20"/>
                <w:color w:val="auto"/>
              </w:rPr>
            </w:pPr>
            <w:r>
              <w:rPr>
                <w:rFonts w:ascii="Courier New" w:cs="Courier New" w:eastAsia="Courier New" w:hAnsi="Courier New"/>
                <w:sz w:val="16"/>
                <w:szCs w:val="16"/>
                <w:color w:val="auto"/>
                <w:w w:val="97"/>
              </w:rPr>
              <w:t>JOHN T. UNGER</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jc w:val="center"/>
              <w:ind w:right="1161"/>
              <w:spacing w:after="0"/>
              <w:rPr>
                <w:sz w:val="20"/>
                <w:szCs w:val="20"/>
                <w:color w:val="auto"/>
              </w:rPr>
            </w:pPr>
            <w:r>
              <w:rPr>
                <w:rFonts w:ascii="Courier New" w:cs="Courier New" w:eastAsia="Courier New" w:hAnsi="Courier New"/>
                <w:sz w:val="16"/>
                <w:szCs w:val="16"/>
                <w:color w:val="auto"/>
                <w:w w:val="98"/>
              </w:rPr>
              <w:t>RICHARD D. ROSE</w:t>
            </w:r>
          </w:p>
        </w:tc>
      </w:tr>
      <w:tr>
        <w:trPr>
          <w:trHeight w:val="182"/>
        </w:trPr>
        <w:tc>
          <w:tcPr>
            <w:tcW w:w="3020" w:type="dxa"/>
            <w:vAlign w:val="bottom"/>
          </w:tcPr>
          <w:p>
            <w:pPr>
              <w:jc w:val="center"/>
              <w:ind w:left="1141"/>
              <w:spacing w:after="0"/>
              <w:rPr>
                <w:sz w:val="20"/>
                <w:szCs w:val="20"/>
                <w:color w:val="auto"/>
              </w:rPr>
            </w:pPr>
            <w:r>
              <w:rPr>
                <w:rFonts w:ascii="Courier New" w:cs="Courier New" w:eastAsia="Courier New" w:hAnsi="Courier New"/>
                <w:sz w:val="16"/>
                <w:szCs w:val="16"/>
                <w:color w:val="auto"/>
                <w:w w:val="98"/>
              </w:rPr>
              <w:t>SNELL &amp; SMITH, P.C.</w:t>
            </w:r>
          </w:p>
        </w:tc>
        <w:tc>
          <w:tcPr>
            <w:tcW w:w="1520" w:type="dxa"/>
            <w:vAlign w:val="bottom"/>
          </w:tcPr>
          <w:p>
            <w:pPr>
              <w:spacing w:after="0"/>
              <w:rPr>
                <w:sz w:val="15"/>
                <w:szCs w:val="15"/>
                <w:color w:val="auto"/>
              </w:rPr>
            </w:pP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THORP, REED &amp; ARMSTRONG</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1000 LOUISIANA, SUITE 3650</w:t>
            </w: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ONE RIVERFRONT CENTER</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HOUSTON, TEXAS 77002</w:t>
            </w:r>
          </w:p>
        </w:tc>
        <w:tc>
          <w:tcPr>
            <w:tcW w:w="388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8"/>
              </w:rPr>
              <w:t>PITTSBURGH, PENNSYLVANIA 15222</w:t>
            </w:r>
          </w:p>
        </w:tc>
      </w:tr>
      <w:tr>
        <w:trPr>
          <w:trHeight w:val="182"/>
        </w:trPr>
        <w:tc>
          <w:tcPr>
            <w:tcW w:w="3020" w:type="dxa"/>
            <w:vAlign w:val="bottom"/>
          </w:tcPr>
          <w:p>
            <w:pPr>
              <w:jc w:val="center"/>
              <w:ind w:left="1261"/>
              <w:spacing w:after="0"/>
              <w:rPr>
                <w:sz w:val="20"/>
                <w:szCs w:val="20"/>
                <w:color w:val="auto"/>
              </w:rPr>
            </w:pPr>
            <w:r>
              <w:rPr>
                <w:rFonts w:ascii="Courier New" w:cs="Courier New" w:eastAsia="Courier New" w:hAnsi="Courier New"/>
                <w:sz w:val="16"/>
                <w:szCs w:val="16"/>
                <w:color w:val="auto"/>
                <w:w w:val="98"/>
              </w:rPr>
              <w:t>(713) 652-3300</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(412) 394-7711</w:t>
            </w:r>
          </w:p>
        </w:tc>
      </w:tr>
    </w:tbl>
    <w:p>
      <w:pPr>
        <w:spacing w:after="0" w:line="364"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659" w:firstLine="473"/>
        <w:spacing w:after="0" w:line="238"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this registration statement becomes effective and the conditions to consummation of the Merger have been satisfied or waived.</w:t>
      </w:r>
    </w:p>
    <w:p>
      <w:pPr>
        <w:spacing w:after="0" w:line="188" w:lineRule="exact"/>
        <w:rPr>
          <w:sz w:val="24"/>
          <w:szCs w:val="24"/>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184"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22"/>
          </w:cols>
          <w:pgMar w:left="237" w:top="235" w:right="1440" w:bottom="39" w:gutter="0" w:footer="0" w:header="0"/>
        </w:sectPr>
      </w:pPr>
    </w:p>
    <w:bookmarkStart w:id="1" w:name="page2"/>
    <w:bookmarkEnd w:id="1"/>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142" w:right="1440" w:bottom="1440" w:gutter="0" w:footer="0" w:header="0"/>
        </w:sectPr>
      </w:pPr>
    </w:p>
    <w:bookmarkStart w:id="2" w:name="page3"/>
    <w:bookmarkEnd w:id="2"/>
    <w:p>
      <w:pPr>
        <w:ind w:left="18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CROSS-REFERENCE SHEET</w:t>
      </w:r>
    </w:p>
    <w:p>
      <w:pPr>
        <w:spacing w:after="0" w:line="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PURSUANT TO ITEM 501(B) OF REGULATION S-K</w:t>
      </w:r>
    </w:p>
    <w:p>
      <w:pPr>
        <w:sectPr>
          <w:pgSz w:w="11900" w:h="16838" w:orient="portrait"/>
          <w:cols w:equalWidth="0" w:num="1">
            <w:col w:w="10119"/>
          </w:cols>
          <w:pgMar w:left="340" w:top="295"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left="360"/>
        <w:spacing w:after="0" w:line="237" w:lineRule="auto"/>
        <w:rPr>
          <w:sz w:val="20"/>
          <w:szCs w:val="20"/>
          <w:color w:val="auto"/>
        </w:rPr>
      </w:pPr>
      <w:r>
        <w:rPr>
          <w:rFonts w:ascii="Courier New" w:cs="Courier New" w:eastAsia="Courier New" w:hAnsi="Courier New"/>
          <w:sz w:val="16"/>
          <w:szCs w:val="16"/>
          <w:color w:val="auto"/>
        </w:rPr>
        <w:t>FORM S-4 ITEM NUMBER AND HEADING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LOCATION IN PROSPECTUS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1. Forepart of Registration Statement and Outside Front</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Cover Page of Prospectus.............................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239"/>
        <w:spacing w:after="0" w:line="239" w:lineRule="auto"/>
        <w:rPr>
          <w:sz w:val="20"/>
          <w:szCs w:val="20"/>
          <w:color w:val="auto"/>
        </w:rPr>
      </w:pPr>
      <w:r>
        <w:rPr>
          <w:rFonts w:ascii="Courier New" w:cs="Courier New" w:eastAsia="Courier New" w:hAnsi="Courier New"/>
          <w:sz w:val="16"/>
          <w:szCs w:val="16"/>
          <w:color w:val="auto"/>
        </w:rPr>
        <w:t>Facing Page of Registration Statement; Cross-Reference Sheet; Outside Front Cover Page of Prospectus</w:t>
      </w:r>
    </w:p>
    <w:p>
      <w:pPr>
        <w:spacing w:after="0" w:line="2"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2. Inside Front and Outside Back Cover Pages of</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Prospectus...........................................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419"/>
        <w:spacing w:after="0" w:line="239" w:lineRule="auto"/>
        <w:rPr>
          <w:sz w:val="20"/>
          <w:szCs w:val="20"/>
          <w:color w:val="auto"/>
        </w:rPr>
      </w:pPr>
      <w:r>
        <w:rPr>
          <w:rFonts w:ascii="Courier New" w:cs="Courier New" w:eastAsia="Courier New" w:hAnsi="Courier New"/>
          <w:sz w:val="16"/>
          <w:szCs w:val="16"/>
          <w:color w:val="auto"/>
        </w:rPr>
        <w:t>Available Information; Incorporation of Certain Information by Reference; Table of Contents</w:t>
      </w:r>
    </w:p>
    <w:p>
      <w:pPr>
        <w:spacing w:after="0" w:line="2"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3. Risk Factors, Ratio of Earnings to Fixed Charges and</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 Terms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 Pro Forma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 Material Contacts with the Company Being Acquired......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Summary; Risk Factors;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and Related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Description of USA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Description of Chambers;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 Summary; The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Related Transactions;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of Merger and Terms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Comparative Rights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of USA Waste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Summary; USA Waste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Combined Historical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Pro Forma Condensed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Information Relating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Pro Forma Statement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for the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and Related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w:t>
      </w:r>
    </w:p>
    <w:p>
      <w:pPr>
        <w:spacing w:after="0" w:line="5"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7. Additional Information Required for Reoffering by</w:t>
      </w:r>
    </w:p>
    <w:p>
      <w:pPr>
        <w:sectPr>
          <w:pgSz w:w="11900" w:h="16838" w:orient="portrait"/>
          <w:cols w:equalWidth="0" w:num="1">
            <w:col w:w="10119"/>
          </w:cols>
          <w:pgMar w:left="340" w:top="295" w:right="1440" w:bottom="1440" w:gutter="0" w:footer="0" w:header="0"/>
          <w:type w:val="continuous"/>
        </w:sectPr>
      </w:pP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Persons and Parties Deemed to be Underwriters........</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 Interests of Named Experts and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9. Disclosure of Commission Position on Indemnification</w:t>
      </w:r>
    </w:p>
    <w:p>
      <w:pPr>
        <w:sectPr>
          <w:pgSz w:w="11900" w:h="16838" w:orient="portrait"/>
          <w:cols w:equalWidth="0" w:num="1">
            <w:col w:w="10119"/>
          </w:cols>
          <w:pgMar w:left="340" w:top="295" w:right="1440" w:bottom="1440" w:gutter="0" w:footer="0" w:header="0"/>
          <w:type w:val="continuous"/>
        </w:sectPr>
      </w:pP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for Securities Act Liabilities.......................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Information with Respect to S-3 Registrants............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Outside Front Cover Page;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of Certain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by Reference;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and Related Transactions;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Plan of Merger and Terms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Comparative Rights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of USA Waste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Market Price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USA Waste;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USA Waste's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and Results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Description of USA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Capital Stock;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of USA Waste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USA Waste and Chambers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Historical Unaudited Pro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Forma Condensed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Supplemental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Relating to Pro Forma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ectPr>
          <w:pgSz w:w="11900" w:h="16838" w:orient="portrait"/>
          <w:cols w:equalWidth="0" w:num="2">
            <w:col w:w="5580" w:space="180"/>
            <w:col w:w="4359"/>
          </w:cols>
          <w:pgMar w:left="340" w:top="295" w:right="1440" w:bottom="1440" w:gutter="0" w:footer="0" w:header="0"/>
          <w:type w:val="continuous"/>
        </w:sectPr>
      </w:pPr>
    </w:p>
    <w:bookmarkStart w:id="3" w:name="page4"/>
    <w:bookmarkEnd w:id="3"/>
    <w:tbl>
      <w:tblPr>
        <w:tblLayout w:type="fixed"/>
        <w:tblInd w:w="103"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534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728"/>
        </w:trPr>
        <w:tc>
          <w:tcPr>
            <w:tcW w:w="320" w:type="dxa"/>
            <w:vAlign w:val="bottom"/>
          </w:tcPr>
          <w:p>
            <w:pPr>
              <w:spacing w:after="0"/>
              <w:rPr>
                <w:sz w:val="24"/>
                <w:szCs w:val="24"/>
                <w:color w:val="auto"/>
              </w:rPr>
            </w:pPr>
          </w:p>
        </w:tc>
        <w:tc>
          <w:tcPr>
            <w:tcW w:w="5340" w:type="dxa"/>
            <w:vAlign w:val="bottom"/>
          </w:tcPr>
          <w:p>
            <w:pPr>
              <w:ind w:left="1100"/>
              <w:spacing w:after="0"/>
              <w:rPr>
                <w:sz w:val="20"/>
                <w:szCs w:val="20"/>
                <w:color w:val="auto"/>
              </w:rPr>
            </w:pPr>
            <w:r>
              <w:rPr>
                <w:rFonts w:ascii="Courier New" w:cs="Courier New" w:eastAsia="Courier New" w:hAnsi="Courier New"/>
                <w:sz w:val="16"/>
                <w:szCs w:val="16"/>
                <w:color w:val="auto"/>
              </w:rPr>
              <w:t>FORM S-4 ITEM NUMBER AND HEADING</w:t>
            </w:r>
          </w:p>
        </w:tc>
        <w:tc>
          <w:tcPr>
            <w:tcW w:w="3220" w:type="dxa"/>
            <w:vAlign w:val="bottom"/>
          </w:tcPr>
          <w:p>
            <w:pPr>
              <w:ind w:left="580"/>
              <w:spacing w:after="0"/>
              <w:rPr>
                <w:sz w:val="20"/>
                <w:szCs w:val="20"/>
                <w:color w:val="auto"/>
              </w:rPr>
            </w:pPr>
            <w:r>
              <w:rPr>
                <w:rFonts w:ascii="Courier New" w:cs="Courier New" w:eastAsia="Courier New" w:hAnsi="Courier New"/>
                <w:sz w:val="16"/>
                <w:szCs w:val="16"/>
                <w:color w:val="auto"/>
              </w:rPr>
              <w:t>LOCATION IN PROSPECTUS</w:t>
            </w:r>
          </w:p>
        </w:tc>
      </w:tr>
      <w:tr>
        <w:trPr>
          <w:trHeight w:val="182"/>
        </w:trPr>
        <w:tc>
          <w:tcPr>
            <w:tcW w:w="320" w:type="dxa"/>
            <w:vAlign w:val="bottom"/>
          </w:tcPr>
          <w:p>
            <w:pPr>
              <w:spacing w:after="0"/>
              <w:rPr>
                <w:sz w:val="15"/>
                <w:szCs w:val="15"/>
                <w:color w:val="auto"/>
              </w:rPr>
            </w:pP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11.</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Incorporation of Certain Information by Reference......</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Incorporation of Certain</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Information by Reference</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12.</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Information with Respect to S-2 or S-3 Registrants.....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13.</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Incorporation of Certain Information by Reference......</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14.</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Information with Respect to Registrants Other Than S-2</w:t>
            </w:r>
          </w:p>
        </w:tc>
        <w:tc>
          <w:tcPr>
            <w:tcW w:w="322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5340" w:type="dxa"/>
            <w:vAlign w:val="bottom"/>
          </w:tcPr>
          <w:p>
            <w:pPr>
              <w:ind w:left="240"/>
              <w:spacing w:after="0"/>
              <w:rPr>
                <w:sz w:val="20"/>
                <w:szCs w:val="20"/>
                <w:color w:val="auto"/>
              </w:rPr>
            </w:pPr>
            <w:r>
              <w:rPr>
                <w:rFonts w:ascii="Courier New" w:cs="Courier New" w:eastAsia="Courier New" w:hAnsi="Courier New"/>
                <w:sz w:val="16"/>
                <w:szCs w:val="16"/>
                <w:color w:val="auto"/>
                <w:w w:val="99"/>
              </w:rPr>
              <w:t>or S-3 Registrants...................................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15.</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Information with Respect to S-3 Companies..............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Outside Front Cover Page;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Incorporation of Certain</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Information by Reference;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Prospectus Summary; The Merger</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and Related Transactions; The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Plan of Merger and Terms of the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Merger; Comparative Rights of</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Stockholders of USA Waste and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Chambers; Market Price Data;</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Description of Chambers;</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Management's Discussion and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Analysis of Chambers Financial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Condition and Results of</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Operations; Description of USA</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Waste Capital Stock; Principal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Stockholders of USA Waste and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Chambers; USA Waste and Chambers</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Combined Historical Unaudited Pro</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Forma Condensed Financial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Statements; Supplemental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Information Relating to Pro Forma</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Statement of Operations for the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Year Ended December 31, 1994;</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16.</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Information with Respect to S-2 or S-3 Companies.......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17.</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Information with Respect to Companies Other Than S-2 or</w:t>
            </w:r>
          </w:p>
        </w:tc>
        <w:tc>
          <w:tcPr>
            <w:tcW w:w="322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5340" w:type="dxa"/>
            <w:vAlign w:val="bottom"/>
          </w:tcPr>
          <w:p>
            <w:pPr>
              <w:ind w:left="240"/>
              <w:spacing w:after="0"/>
              <w:rPr>
                <w:sz w:val="20"/>
                <w:szCs w:val="20"/>
                <w:color w:val="auto"/>
              </w:rPr>
            </w:pPr>
            <w:r>
              <w:rPr>
                <w:rFonts w:ascii="Courier New" w:cs="Courier New" w:eastAsia="Courier New" w:hAnsi="Courier New"/>
                <w:sz w:val="16"/>
                <w:szCs w:val="16"/>
                <w:color w:val="auto"/>
                <w:w w:val="99"/>
              </w:rPr>
              <w:t>S-3 Companies........................................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18.</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Information if Proxies, Consents or Authorizations are</w:t>
            </w:r>
          </w:p>
        </w:tc>
        <w:tc>
          <w:tcPr>
            <w:tcW w:w="322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5340" w:type="dxa"/>
            <w:vAlign w:val="bottom"/>
          </w:tcPr>
          <w:p>
            <w:pPr>
              <w:ind w:left="240"/>
              <w:spacing w:after="0"/>
              <w:rPr>
                <w:sz w:val="20"/>
                <w:szCs w:val="20"/>
                <w:color w:val="auto"/>
              </w:rPr>
            </w:pPr>
            <w:r>
              <w:rPr>
                <w:rFonts w:ascii="Courier New" w:cs="Courier New" w:eastAsia="Courier New" w:hAnsi="Courier New"/>
                <w:sz w:val="16"/>
                <w:szCs w:val="16"/>
                <w:color w:val="auto"/>
                <w:w w:val="99"/>
              </w:rPr>
              <w:t>to be Solicited......................................</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Prospectus Summary; The Meetings;</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The Merger and Related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Transactions; The Plan of Merger</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and Terms of the Merger; Election</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of USA Waste Directors; Principal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Stockholders of USA Waste and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Chambers</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19.</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Information if Proxies, Consents or Authorizations are</w:t>
            </w:r>
          </w:p>
        </w:tc>
        <w:tc>
          <w:tcPr>
            <w:tcW w:w="322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5340" w:type="dxa"/>
            <w:vAlign w:val="bottom"/>
          </w:tcPr>
          <w:p>
            <w:pPr>
              <w:ind w:left="240"/>
              <w:spacing w:after="0"/>
              <w:rPr>
                <w:sz w:val="20"/>
                <w:szCs w:val="20"/>
                <w:color w:val="auto"/>
              </w:rPr>
            </w:pPr>
            <w:r>
              <w:rPr>
                <w:rFonts w:ascii="Courier New" w:cs="Courier New" w:eastAsia="Courier New" w:hAnsi="Courier New"/>
                <w:sz w:val="16"/>
                <w:szCs w:val="16"/>
                <w:color w:val="auto"/>
                <w:w w:val="99"/>
              </w:rPr>
              <w:t>not to be Solicited or in an Exchange Offer..........</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183" w:hanging="183"/>
        <w:spacing w:after="0"/>
        <w:tabs>
          <w:tab w:leader="none" w:pos="1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ectPr>
          <w:pgSz w:w="11900" w:h="16838" w:orient="portrait"/>
          <w:cols w:equalWidth="0" w:num="1">
            <w:col w:w="10222"/>
          </w:cols>
          <w:pgMar w:left="237" w:top="295" w:right="1440" w:bottom="1440" w:gutter="0" w:footer="0" w:header="0"/>
        </w:sectPr>
      </w:pPr>
    </w:p>
    <w:bookmarkStart w:id="4" w:name="page5"/>
    <w:bookmarkEnd w:id="4"/>
    <w:p>
      <w:pPr>
        <w:ind w:left="283"/>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DALLAS, TEXAS 75240</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May 19, 1995</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Dear Shareholder of USA Waste Services, Inc.:</w:t>
      </w:r>
    </w:p>
    <w:p>
      <w:pPr>
        <w:spacing w:after="0" w:line="186"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You are invited to attend the 1995 Annual Meeting of Shareholders of USA Waste Services, Inc. ("USA Waste") to be held June 27, 1995 at 2:00 p.m., Dallas, Texas time. The Annual Meeting will be held at The Grand Kempinski-Dallas Hotel, 15201 Dallas Parkway, in Dallas, Texas.</w:t>
      </w:r>
    </w:p>
    <w:p>
      <w:pPr>
        <w:spacing w:after="0" w:line="187"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At the Annual Meeting you will be asked to consider and vote upon seven proposals, including a proposal to approve and adopt the Amended and Restated Agreement and Plan of Merger dated as of November 28, 1994 (the "Merger Agreement"), by and among USA Waste, Chambers Acquisition Corporation ("Acquisition"), a wholly owned subsidiary of USA Waste, and Chambers Development Company, Inc. ("Chambers"). The other proposals include the election of directors for the ensuing year, a proposal to effect certain corporate changes, including changing the domicile of USA Waste from Oklahoma to Delaware, classifying the Board of Directors into three classes with staggered terms, increasing the number of authorized shares, increasing the number of shares that may be issued under the USA Waste 1993 Stock Incentive Plan and ratifying the appointment of USA Waste's auditors. Approval of the proposal to adopt the Merger Agreement is conditioned upon approval of the increase in authorized shares of USA Waste common stock.</w:t>
      </w:r>
    </w:p>
    <w:p>
      <w:pPr>
        <w:spacing w:after="0" w:line="191" w:lineRule="exact"/>
        <w:rPr>
          <w:sz w:val="20"/>
          <w:szCs w:val="20"/>
          <w:color w:val="auto"/>
        </w:rPr>
      </w:pPr>
    </w:p>
    <w:p>
      <w:pPr>
        <w:ind w:left="3" w:right="2839" w:firstLine="473"/>
        <w:spacing w:after="0" w:line="256" w:lineRule="auto"/>
        <w:rPr>
          <w:sz w:val="20"/>
          <w:szCs w:val="20"/>
          <w:color w:val="auto"/>
        </w:rPr>
      </w:pPr>
      <w:r>
        <w:rPr>
          <w:rFonts w:ascii="Courier New" w:cs="Courier New" w:eastAsia="Courier New" w:hAnsi="Courier New"/>
          <w:sz w:val="15"/>
          <w:szCs w:val="15"/>
          <w:color w:val="auto"/>
        </w:rPr>
        <w:t>The Merger Agreement provides, among other things, for the merger of Acquisition with and into Chambers (the "Merger"), pursuant to which Chambers would become a wholly owned subsidiary of USA Waste and each outstanding share of common stock and Class A common stock of Chambers would be converted into</w:t>
      </w:r>
    </w:p>
    <w:p>
      <w:pPr>
        <w:spacing w:after="0" w:line="3"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.41667 of a share of common stock of USA Waste (the "Exchange Ratio"). Upon consummation of the Merger, USA Waste would issue approximately 27.8 million shares of its common stock to the stockholders of Chambers. These shares would represent approximately 54.8% of the total shares of USA Waste's common stock outstanding immediately after the Merger. The Merger is subject to a number of conditions, including obtaining the approval of the shareholders of USA Waste and the stockholders of Chambers, final settlement of certain pending stockholder litigation and certain other proceedings involving Chambers, and obtaining any necessary regulatory waivers or approvals. A summary of the basic terms and conditions of the Merger, certain financial and other information relating to USA Waste and Chambers and a copy of the Merger Agreement are set forth in the accompanying Joint Proxy Statement and Prospectus. Please review and consider the enclosed materials carefully.</w:t>
      </w:r>
    </w:p>
    <w:p>
      <w:pPr>
        <w:spacing w:after="0" w:line="190"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Your Board of Directors has unanimously approved the Merger Agreement. In addition, the Board of Directors has received an opinion from Donaldson, Lufkin</w:t>
      </w:r>
    </w:p>
    <w:p>
      <w:pPr>
        <w:spacing w:after="0" w:line="1" w:lineRule="exact"/>
        <w:rPr>
          <w:sz w:val="20"/>
          <w:szCs w:val="20"/>
          <w:color w:val="auto"/>
        </w:rPr>
      </w:pPr>
    </w:p>
    <w:p>
      <w:pPr>
        <w:ind w:left="3" w:right="2759" w:hanging="3"/>
        <w:spacing w:after="0"/>
        <w:tabs>
          <w:tab w:leader="none" w:pos="19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Jenrette Securities Corporation (a copy of which is included in the accompanying Joint Proxy Statement and Prospectus) that the Exchange Ratio is fair to the shareholders of USA Waste from a financial point of view. THE BOARD OF DIRECTORS OF USA WASTE BELIEVES THAT THE PROPOSED MERGER AND THE OTHER PROPOSALS DESCRIBED ABOVE ARE IN THE BEST INTERESTS OF USA WASTE AND ITS SHAREHOLDERS AND UNANIMOUSLY RECOMMENDS THAT YOU VOTE FOR APPROVAL AND ADOPTION OF THE MERGER AGREEMENT AND THE OTHER PROPOSALS SET FORTH IN THE JOINT PROXY STATEMENT AND PROSPECTUS.</w:t>
      </w:r>
    </w:p>
    <w:p>
      <w:pPr>
        <w:spacing w:after="0" w:line="187" w:lineRule="exact"/>
        <w:rPr>
          <w:sz w:val="20"/>
          <w:szCs w:val="20"/>
          <w:color w:val="auto"/>
        </w:rPr>
      </w:pPr>
    </w:p>
    <w:p>
      <w:pPr>
        <w:ind w:left="3" w:right="2659" w:firstLine="473"/>
        <w:spacing w:after="0" w:line="260" w:lineRule="auto"/>
        <w:rPr>
          <w:sz w:val="20"/>
          <w:szCs w:val="20"/>
          <w:color w:val="auto"/>
        </w:rPr>
      </w:pPr>
      <w:r>
        <w:rPr>
          <w:rFonts w:ascii="Courier New" w:cs="Courier New" w:eastAsia="Courier New" w:hAnsi="Courier New"/>
          <w:sz w:val="15"/>
          <w:szCs w:val="15"/>
          <w:color w:val="auto"/>
        </w:rPr>
        <w:t>Regardless of the number of shares you hold or whether you plan to attend the Annual Meeting, we urge you to complete, sign, date, and return the enclosed proxy card immediately. If you attend the Annual Meeting, you may vote in person if you wish, even if you have previously returned your proxy card.</w:t>
      </w:r>
    </w:p>
    <w:p>
      <w:pPr>
        <w:spacing w:after="0" w:line="169"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Sincerely,</w:t>
      </w:r>
    </w:p>
    <w:p>
      <w:pPr>
        <w:spacing w:after="0" w:line="183"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/s/ DONALD F. MOOREHEAD, JR.</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Donald F. Moorehead, Jr.</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Chairman of the Board</w:t>
      </w:r>
    </w:p>
    <w:p>
      <w:pPr>
        <w:sectPr>
          <w:pgSz w:w="11900" w:h="16838" w:orient="portrait"/>
          <w:cols w:equalWidth="0" w:num="1">
            <w:col w:w="10222"/>
          </w:cols>
          <w:pgMar w:left="237" w:top="29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PITTSBURGH, PENNSYLVANIA 15235</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May 19,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Stockholder:</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You are cordially invited to attend the Special Meeting of Stockholders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 ("Chambers") to be held June 27, 1995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a.m. Dallas, Texas time at The Grand Kempinski-Dallas Hotel, 15201 Dallas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Parkway in Dallas, Texas. The sole purpose of the Special Meeting will be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 and vote upon a proposal to approve and adopt the Amended and Restated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and Plan of Merger, dated as of November 28, 1994 (the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by and among USA Waste Services, Inc. ("USA Waste"), Chambers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Corporation ("Acquisition"), a wholly owned subsidiary of USA Waste,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Chambers.</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The Merger Agreement provides, among other things, for the merger of Acquisition with and into Chambers (the "Merger") pursuant to which Chambers will become a wholly owned subsidiary of USA Waste and each outstanding share of Chambers Common Stock and Chambers Class A Common Stock will be converted into</w:t>
      </w:r>
    </w:p>
    <w:p>
      <w:pPr>
        <w:spacing w:after="0" w:line="3"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.41667 of a share of USA Waste's common stock. Based upon the 15,439,668 shares of Chambers Common Stock and the 51,349,459 shares of Chambers Class A Common Stock outstanding as of May 5, 1995, Chambers stockholders will collectively be issued approximately 27.8 million shares of common stock of USA Waste, representing approximately 54.8% of the total issued and outstanding shares of common stock of USA Waste after the Merger.</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Merger Agreement contains a number of conditions and other terms, all of which are summarized, along with certain financial and other information, in the accompanying Joint Proxy Statement and Prospectus. PLEASE READ AND CONSIDER THE JOINT PROXY STATEMENT AND PROSPECTUS CAREFULLY.</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Your Board of Directors has unanimously approved the Merger Agreement. In addition, the Board of Directors has received the written opinion from its investment advisor, J.P. Morgan Securities Inc. (a copy of which is included with the accompanying Joint Proxy Statement and Prospectus), that the consideration to be received by Chambers' stockholders in the Merger is fair, from a financial point of view, to Chambers' stockholders. YOUR BOARD OF DIRECTORS BELIEVES THAT THE PROPOSED MERGER IS IN THE BEST INTERESTS OF CHAMBERS AND ITS STOCKHOLDERS AND UNANIMOUSLY RECOMMENDS THAT YOU VOTE FOR THE APPROVAL AND ADOPTION OF THE MERGER AGREEMENT.</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Regardless of the number of shares you hold or whether you plan to attend the Special Meeting, you are urged to complete, sign, date and return the enclosed proxy card immediately. If you attend the Special Meeting, you may vote in person, if you wish, and revoke any previously returned proxy card.</w:t>
      </w:r>
    </w:p>
    <w:p>
      <w:pPr>
        <w:spacing w:after="0" w:line="187"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On behalf of your Board of Directors, I thank you for your support and look forward to the future together with USA Waste.</w:t>
      </w:r>
    </w:p>
    <w:p>
      <w:pPr>
        <w:spacing w:after="0" w:line="18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Sincerely,</w:t>
      </w:r>
    </w:p>
    <w:p>
      <w:pPr>
        <w:spacing w:after="0" w:line="183"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 JOHN G. RANGOS, SR.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John G. Rangos, Sr.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Chairman and Chief Executive Officer</w:t>
      </w:r>
    </w:p>
    <w:p>
      <w:pPr>
        <w:sectPr>
          <w:pgSz w:w="11900" w:h="16838" w:orient="portrait"/>
          <w:cols w:equalWidth="0" w:num="1">
            <w:col w:w="10219"/>
          </w:cols>
          <w:pgMar w:left="240" w:top="29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DALLAS, TEXAS 75240</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TO BE HELD ON JUNE 27,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Shareholders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Notice is hereby given that the 1995 Annual Meeting of Shareholders of USA Waste Services, Inc. ("USA Waste") will be held at The Grand Kempinski-Dallas Hotel, 15201 Dallas Parkway, Dallas, Texas 75248, on June 27, 1995, at 2:00 p.m., Dallas, Texas time, to consider and act upon the following proposals:</w:t>
      </w:r>
    </w:p>
    <w:p>
      <w:pPr>
        <w:spacing w:after="0" w:line="173" w:lineRule="exact"/>
        <w:rPr>
          <w:sz w:val="20"/>
          <w:szCs w:val="20"/>
          <w:color w:val="auto"/>
        </w:rPr>
      </w:pPr>
    </w:p>
    <w:p>
      <w:pPr>
        <w:jc w:val="both"/>
        <w:ind w:left="460" w:right="2659" w:firstLine="483"/>
        <w:spacing w:after="0" w:line="256" w:lineRule="auto"/>
        <w:tabs>
          <w:tab w:leader="none" w:pos="121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Amended and Restated Agreement and Plan of Merger dated as of November 28, 1994 (the "Merger Agreement"), by and among USA Waste, Chambers Acquisition Corporation ("Acquisition"), a wholly owned subsidiary of USA Waste, and Chambers Development Company, Inc.</w:t>
      </w:r>
    </w:p>
    <w:p>
      <w:pPr>
        <w:spacing w:after="0" w:line="2" w:lineRule="exact"/>
        <w:rPr>
          <w:rFonts w:ascii="Courier New" w:cs="Courier New" w:eastAsia="Courier New" w:hAnsi="Courier New"/>
          <w:sz w:val="15"/>
          <w:szCs w:val="15"/>
          <w:color w:val="auto"/>
        </w:rPr>
      </w:pPr>
    </w:p>
    <w:p>
      <w:pPr>
        <w:ind w:left="460" w:right="26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("Chambers") providing for, among other things, the merger of Acquisition with and into Chambers (the "Merger") and the conversion of each outstanding share of Chambers common stock, par value $.50 per share, and each outstanding share of Chambers Class A common stock, par value $.50 per share, into .41667 of a share of USA Waste common stock, par value $.01 per share ("USA Waste Common Stock").</w:t>
      </w:r>
    </w:p>
    <w:p>
      <w:pPr>
        <w:spacing w:after="0" w:line="190" w:lineRule="exact"/>
        <w:rPr>
          <w:rFonts w:ascii="Courier New" w:cs="Courier New" w:eastAsia="Courier New" w:hAnsi="Courier New"/>
          <w:sz w:val="15"/>
          <w:szCs w:val="15"/>
          <w:color w:val="auto"/>
        </w:rPr>
      </w:pPr>
    </w:p>
    <w:p>
      <w:pPr>
        <w:ind w:left="460" w:right="2659" w:firstLine="483"/>
        <w:spacing w:after="0" w:line="239" w:lineRule="auto"/>
        <w:tabs>
          <w:tab w:leader="none" w:pos="121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nine members to the Board of Directors of USA Waste for the ensuing year; provided, however, that if the Merger is consummated, four members of such Board will resign and four new members will fill the resulting vacancies as more fully described in the accompanying Joint Proxy Statement and Prospectus.</w:t>
      </w:r>
    </w:p>
    <w:p>
      <w:pPr>
        <w:spacing w:after="0" w:line="188" w:lineRule="exact"/>
        <w:rPr>
          <w:rFonts w:ascii="Courier New" w:cs="Courier New" w:eastAsia="Courier New" w:hAnsi="Courier New"/>
          <w:sz w:val="16"/>
          <w:szCs w:val="16"/>
          <w:color w:val="auto"/>
        </w:rPr>
      </w:pPr>
    </w:p>
    <w:p>
      <w:pPr>
        <w:ind w:left="460" w:right="2659" w:firstLine="483"/>
        <w:spacing w:after="0" w:line="238" w:lineRule="auto"/>
        <w:tabs>
          <w:tab w:leader="none" w:pos="121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the domicile of USA Waste from Oklahoma to Delaware by merging USA Waste into USA Waste Services, Inc., a Delaware corporation and a wholly owned subsidiary of USA Waste ("USA Delaware").</w:t>
      </w:r>
    </w:p>
    <w:p>
      <w:pPr>
        <w:spacing w:after="0" w:line="188" w:lineRule="exact"/>
        <w:rPr>
          <w:rFonts w:ascii="Courier New" w:cs="Courier New" w:eastAsia="Courier New" w:hAnsi="Courier New"/>
          <w:sz w:val="16"/>
          <w:szCs w:val="16"/>
          <w:color w:val="auto"/>
        </w:rPr>
      </w:pPr>
    </w:p>
    <w:p>
      <w:pPr>
        <w:ind w:left="460" w:right="2659" w:firstLine="483"/>
        <w:spacing w:after="0" w:line="239" w:lineRule="auto"/>
        <w:tabs>
          <w:tab w:leader="none" w:pos="121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Certificate of Incorporation of USA Waste to provide for a classified Board of Directors with three classes having staggered terms of three years each; the filling of vacancies on the Board of Directors; the removal of directors; and the establishment of a 66 2/3% voting requirement for shareholders to amend, alter or repeal the foregoing provisions.</w:t>
      </w:r>
    </w:p>
    <w:p>
      <w:pPr>
        <w:spacing w:after="0" w:line="190" w:lineRule="exact"/>
        <w:rPr>
          <w:rFonts w:ascii="Courier New" w:cs="Courier New" w:eastAsia="Courier New" w:hAnsi="Courier New"/>
          <w:sz w:val="16"/>
          <w:szCs w:val="16"/>
          <w:color w:val="auto"/>
        </w:rPr>
      </w:pPr>
    </w:p>
    <w:p>
      <w:pPr>
        <w:ind w:left="460" w:right="2759" w:firstLine="483"/>
        <w:spacing w:after="0" w:line="238" w:lineRule="auto"/>
        <w:tabs>
          <w:tab w:leader="none" w:pos="121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Certificate of Incorporation of USA Waste to increase the authorized shares of USA Waste Common Stock from 50,000,000 to 150,000,000 shares.</w:t>
      </w:r>
    </w:p>
    <w:p>
      <w:pPr>
        <w:spacing w:after="0" w:line="188" w:lineRule="exact"/>
        <w:rPr>
          <w:rFonts w:ascii="Courier New" w:cs="Courier New" w:eastAsia="Courier New" w:hAnsi="Courier New"/>
          <w:sz w:val="16"/>
          <w:szCs w:val="16"/>
          <w:color w:val="auto"/>
        </w:rPr>
      </w:pPr>
    </w:p>
    <w:p>
      <w:pPr>
        <w:ind w:left="460" w:right="2939" w:firstLine="483"/>
        <w:spacing w:after="0" w:line="238" w:lineRule="auto"/>
        <w:tabs>
          <w:tab w:leader="none" w:pos="121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USA Waste 1993 Stock Incentive Plan to increase the aggregate number of shares of USA Waste Common Stock that may be issued under such Plan from 1,000,000 to 4,000,000.</w:t>
      </w:r>
    </w:p>
    <w:p>
      <w:pPr>
        <w:spacing w:after="0" w:line="188" w:lineRule="exact"/>
        <w:rPr>
          <w:rFonts w:ascii="Courier New" w:cs="Courier New" w:eastAsia="Courier New" w:hAnsi="Courier New"/>
          <w:sz w:val="16"/>
          <w:szCs w:val="16"/>
          <w:color w:val="auto"/>
        </w:rPr>
      </w:pPr>
    </w:p>
    <w:p>
      <w:pPr>
        <w:ind w:left="460" w:right="3699" w:firstLine="483"/>
        <w:spacing w:after="0" w:line="237" w:lineRule="auto"/>
        <w:tabs>
          <w:tab w:leader="none" w:pos="121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Coopers &amp; Lybrand L.L.P. as independent auditors for the ensuing year.</w:t>
      </w:r>
    </w:p>
    <w:p>
      <w:pPr>
        <w:spacing w:after="0" w:line="187" w:lineRule="exact"/>
        <w:rPr>
          <w:rFonts w:ascii="Courier New" w:cs="Courier New" w:eastAsia="Courier New" w:hAnsi="Courier New"/>
          <w:sz w:val="16"/>
          <w:szCs w:val="16"/>
          <w:color w:val="auto"/>
        </w:rPr>
      </w:pPr>
    </w:p>
    <w:p>
      <w:pPr>
        <w:ind w:left="460" w:right="2839" w:firstLine="483"/>
        <w:spacing w:after="0" w:line="237" w:lineRule="auto"/>
        <w:tabs>
          <w:tab w:leader="none" w:pos="121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be properly brought before the meeting or any adjournments thereof.</w:t>
      </w:r>
    </w:p>
    <w:p>
      <w:pPr>
        <w:spacing w:after="0" w:line="188"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The implementation of Proposals No. 1 and No. 5 is conditioned on the approval of both such proposals.</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meeting may be recessed from time to time, and at any reconvened meeting actions with respect to the matters specified in this notice may be taken without further notice to shareholders unless required by the Bylaws of USA Waste.</w:t>
      </w:r>
    </w:p>
    <w:p>
      <w:pPr>
        <w:sectPr>
          <w:pgSz w:w="11900" w:h="16838" w:orient="portrait"/>
          <w:cols w:equalWidth="0" w:num="1">
            <w:col w:w="10219"/>
          </w:cols>
          <w:pgMar w:left="240" w:top="295"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Only shareholders of record at the close of business on May 5, 1995, are entitled to notice of and to vote on all matters at the meeting and any adjournments thereof. A list of all shareholders will be available at the Annual Meeting and, during the 10-day period prior to the Annual Meeting, at the offices of USA Waste, 5000 Quorum Drive, Suite 300, Dallas, Texas 75240, during ordinary business hours.</w:t>
      </w:r>
    </w:p>
    <w:p>
      <w:pPr>
        <w:spacing w:after="0" w:line="186"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3"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 GREGORY T. SANGALIS</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Gregory T. Sangalis</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Corporate Secretary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19, 1995</w:t>
      </w:r>
    </w:p>
    <w:p>
      <w:pPr>
        <w:spacing w:after="0" w:line="186" w:lineRule="exact"/>
        <w:rPr>
          <w:sz w:val="20"/>
          <w:szCs w:val="20"/>
          <w:color w:val="auto"/>
        </w:rPr>
      </w:pPr>
    </w:p>
    <w:p>
      <w:pPr>
        <w:jc w:val="center"/>
        <w:ind w:right="2659"/>
        <w:spacing w:after="0" w:line="238"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ANNUAL MEETING, YOU MAY VOTE EITHER IN PERSON OR BY YOUR PROXY.</w:t>
      </w:r>
    </w:p>
    <w:p>
      <w:pPr>
        <w:sectPr>
          <w:pgSz w:w="11900" w:h="16838" w:orient="portrait"/>
          <w:cols w:equalWidth="0" w:num="1">
            <w:col w:w="10219"/>
          </w:cols>
          <w:pgMar w:left="240" w:top="29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PITTSBURGH, PENNSYLVANIA 15235</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NOTICE OF SPECIAL MEETING OF STOCKHOLDERS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TO BE HELD ON JUNE 27,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Notice is hereby given that a Special Meeting of Stockholders of Chambers Development Company, Inc. ("Chambers") will be held at The Grand Kempinski-Dallas Hotel, 15201 Dallas Parkway, in Dallas, Texas 75248, on June 27, 1995, at 10:00 a.m., Dallas, Texas time, to consider and act upon the following matter:</w:t>
      </w:r>
    </w:p>
    <w:p>
      <w:pPr>
        <w:spacing w:after="0" w:line="189" w:lineRule="exact"/>
        <w:rPr>
          <w:sz w:val="20"/>
          <w:szCs w:val="20"/>
          <w:color w:val="auto"/>
        </w:rPr>
      </w:pPr>
    </w:p>
    <w:p>
      <w:pPr>
        <w:ind w:left="760" w:right="2659"/>
        <w:spacing w:after="0" w:line="258" w:lineRule="auto"/>
        <w:rPr>
          <w:sz w:val="20"/>
          <w:szCs w:val="20"/>
          <w:color w:val="auto"/>
        </w:rPr>
      </w:pPr>
      <w:r>
        <w:rPr>
          <w:rFonts w:ascii="Courier New" w:cs="Courier New" w:eastAsia="Courier New" w:hAnsi="Courier New"/>
          <w:sz w:val="15"/>
          <w:szCs w:val="15"/>
          <w:color w:val="auto"/>
        </w:rPr>
        <w:t>To consider and vote upon a proposal to approve and adopt the Amended and Restated Agreement and Plan of Merger dated as of November 28, 1994 (the "Merger Agreement"), among USA Waste Services, Inc. ("USA Waste"), Chambers Acquisition Corporation ("Acquisition"), and Chambers, providing for, among other things, the merger of Acquisition with and into Chambers (the "Merger"), and the conversion of each outstanding share of Chambers Common Stock, par value $.50 per share, and Chambers Class A Common Stock, par value $.50 per share, into .41667 of a share of USA Waste's common stock, par value $.01 per share, all as more fully described in the accompanying Joint Proxy Statement and Prospectus.</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meeting may be recessed from time to time, and at any reconvened meeting actions with respect to the matter specified in this notice may be taken without further notice to stockholders unless required by the Bylaws of Chambers.</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Only stockholders of record at the close of business on May 5, 1995, are entitled to notice of and to vote on all matters at the meeting and any adjournments thereof. A list of all stockholders will be available at the Special Meeting and, during the 10-day period prior to the Special Meeting, at the offices of Chambers, 10700 Frankstown Road, Pittsburgh, Pennsylvania 15235, and also at the offices of USA Waste, 5000 Quorum Drive, Suite 300, Dallas, Texas 75240, during ordinary business hours.</w:t>
      </w:r>
    </w:p>
    <w:p>
      <w:pPr>
        <w:spacing w:after="0" w:line="188"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3"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 JOHN G. RANGOS, JR.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John G. Rangos, Jr.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Secretary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19, 1995</w:t>
      </w:r>
    </w:p>
    <w:p>
      <w:pPr>
        <w:spacing w:after="0" w:line="186" w:lineRule="exact"/>
        <w:rPr>
          <w:sz w:val="20"/>
          <w:szCs w:val="20"/>
          <w:color w:val="auto"/>
        </w:rPr>
      </w:pPr>
    </w:p>
    <w:p>
      <w:pPr>
        <w:jc w:val="center"/>
        <w:ind w:right="2659"/>
        <w:spacing w:after="0" w:line="238"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SPECIAL MEETING, YOU MAY VOTE EITHER IN PERSON OR BY YOUR PROXY.</w:t>
      </w:r>
    </w:p>
    <w:p>
      <w:pPr>
        <w:sectPr>
          <w:pgSz w:w="11900" w:h="16838" w:orient="portrait"/>
          <w:cols w:equalWidth="0" w:num="1">
            <w:col w:w="10219"/>
          </w:cols>
          <w:pgMar w:left="240"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JOINT PROXY STATEMENT AND PROSPECTUS</w:t>
      </w:r>
    </w:p>
    <w:p>
      <w:pPr>
        <w:sectPr>
          <w:pgSz w:w="11900" w:h="16838" w:orient="portrait"/>
          <w:cols w:equalWidth="0" w:num="1">
            <w:col w:w="10219"/>
          </w:cols>
          <w:pgMar w:left="240" w:top="295"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STATEMENT, ANNUAL REPORT</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AND PROSPECTUS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DALLAS, TEXAS 75240</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STATEMENT AND ANNUAL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CHAMBERS DEVELOPMENT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COMPANY, INC.</w:t>
      </w: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PITTSBURGH, PENNSYLVANIA 15235</w:t>
      </w:r>
    </w:p>
    <w:p>
      <w:pPr>
        <w:spacing w:after="0" w:line="183" w:lineRule="exact"/>
        <w:rPr>
          <w:sz w:val="20"/>
          <w:szCs w:val="20"/>
          <w:color w:val="auto"/>
        </w:rPr>
      </w:pPr>
    </w:p>
    <w:p>
      <w:pPr>
        <w:sectPr>
          <w:pgSz w:w="11900" w:h="16838" w:orient="portrait"/>
          <w:cols w:equalWidth="0" w:num="2">
            <w:col w:w="3120" w:space="180"/>
            <w:col w:w="6919"/>
          </w:cols>
          <w:pgMar w:left="240" w:top="295"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This Joint Proxy Statement and Prospectus is being furnished to the shareholders of USA Waste Services, Inc., an Oklahoma corporation ("USA Waste"), in connection with the solicitation of proxies by its Board of Directors to be voted at the Annual Meeting of Shareholders of USA Waste (the "USA Waste Annual Meeting") scheduled to be held on Thursday, June 27, 1995, at 2:00 p.m., Dallas, Texas time, at The Grand Kempinski-Dallas Hotel, 15201 Dallas Parkway, Dallas, Texas 75248, and at any adjournment or postponement thereof, and to the stockholders of Chambers Development Company, Inc., a Delaware corporation ("Chambers"), in connection with the solicitation of proxies by its Board of Directors to be voted at the Special Meeting of Stockholders of Chambers (the</w:t>
      </w:r>
    </w:p>
    <w:p>
      <w:pPr>
        <w:spacing w:after="0" w:line="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"Chambers Special Meeting") scheduled to be held on Thursday, June 27, 1995, at 10:00 a.m., Dallas, Texas time, at The Grand Kempinski -- Dallas Hotel, 15201 Dallas Parkway, Dallas, Texas 75248, and at any adjournment or postponement thereof.</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At the USA Waste Annual Meeting and the Chambers Special Meeting, the holders of common stock, par value $.01 per share ("USA Waste Common Stock"), of USA Waste and the holders of Common Stock, par value $.50 per share ("Chambers Common Stock"), and Class A Common Stock, par value $.50 per share ("Chambers Class A Common Stock"), respectively, of Chambers will be asked to consider and vote upon a proposal to approve and adopt the Amended and Restated Agreement and Plan of Merger dated as of November 28, 1994 (the "Merger Agreement"), among USA Waste, Chambers Acquisition Corporation, a wholly owned subsidiary of USA Waste ("Acquisition"), and Chambers providing for the merger of Acquisition with and into Chambers (the "Merger"). Such approvals are a condition to consummating the Merger. Upon consummation of the Merger, Chambers will become a wholly owned subsidiary of USA Waste and the holders of the issued and outstanding shares of Chambers Common Stock and Chambers Class A Common Stock will receive, at the effective time of the Merger, .41667 of a share of USA Waste Common Stock for each share of Chambers Common Stock or Chambers Class A Common Stock held by them. See "The Plan of Merger and Terms of the Merger." A copy of the Merger Agreement is attached hereto as Appendix A and incorporated herein by reference.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May 15, 1995, the closing sale price of USA Waste Common Stock on the New York Stock Exchange was $15.38 per share. Based on such closing price, the consideration to be received by stockholders of Chambers pursuant to the Merger would be approximately $6.41 per share of Chambers Common Stock and Chambers Class A Common Stock. Approximately 50.8 million shares of USA Waste Common Stock will be outstanding after the Merger is consummated, of which approximately 54.8% will be owned by former stockholders of Chambers and approximately 45.2% will be owned by current shareholders of USA Waste. This Joint Proxy Statement and Prospectus also constitutes the prospectus of USA Waste that is a part of the Registration Statement of USA Waste filed with the Securities and Exchange Commission with respect to the issuance and exchange of up to approximately 27.8 million shares of USA Waste Common Stock to be issued pursuant to the Merger. This Joint Proxy Statement and Prospectus is first being mailed to the shareholders of USA Waste and the stockholders of Chambers on or about May 19, 1995.</w:t>
      </w:r>
    </w:p>
    <w:p>
      <w:pPr>
        <w:spacing w:after="0" w:line="191" w:lineRule="exact"/>
        <w:rPr>
          <w:sz w:val="20"/>
          <w:szCs w:val="20"/>
          <w:color w:val="auto"/>
        </w:rPr>
      </w:pPr>
    </w:p>
    <w:p>
      <w:pPr>
        <w:ind w:left="460" w:right="2759" w:hanging="472"/>
        <w:spacing w:after="0" w:line="256" w:lineRule="auto"/>
        <w:rPr>
          <w:sz w:val="20"/>
          <w:szCs w:val="20"/>
          <w:color w:val="auto"/>
        </w:rPr>
      </w:pPr>
      <w:r>
        <w:rPr>
          <w:rFonts w:ascii="Courier New" w:cs="Courier New" w:eastAsia="Courier New" w:hAnsi="Courier New"/>
          <w:sz w:val="15"/>
          <w:szCs w:val="15"/>
          <w:color w:val="auto"/>
        </w:rPr>
        <w:t>THE SHARES OF USA WASTE COMMON STOCK TO BE ISSUED IN CONNECTION WITH THE MERGER HAVE NOT BEEN APPROVED OR DISAPPROVED BY THE SECURITIES AND EXCHANGE</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COMMISSION OR ANY STATE SECURITIES COMMISSION NOR HAS THE SECURITIES AND EXCHANGE COMMISSION OR ANY STATE SECURITIES COMMISSION PASSED UPON THE ACCURACY OR ADEQUACY OF THIS JOINT PROXY STATEMENT AND PROSPECTUS. ANY REPRESENTATION TO THE CONTRARY IS A CRIMINAL OFFENSE.</w:t>
      </w:r>
    </w:p>
    <w:p>
      <w:pPr>
        <w:spacing w:after="0" w:line="36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DATE OF THIS JOINT PROXY STATEMENT AND PROSPECTUS IS MAY 19, 1995</w:t>
      </w:r>
    </w:p>
    <w:p>
      <w:pPr>
        <w:sectPr>
          <w:pgSz w:w="11900" w:h="16838" w:orient="portrait"/>
          <w:cols w:equalWidth="0" w:num="1">
            <w:col w:w="10219"/>
          </w:cols>
          <w:pgMar w:left="240" w:top="295"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Chambers.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Chambers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Chambers has been furnished by Chambers.</w:t>
      </w:r>
    </w:p>
    <w:p>
      <w:pPr>
        <w:spacing w:after="0" w:line="359"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AVAILABLE INFORMATION</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USA Waste and Chambers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Northwestern Atrium Center, 500 W. Madison, Suite 1400, Chicago, Illinois</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60661-2511 and in New York, New York at 7 World Trade Center, Suite 1300, New York, New York 10048. Copies of such materials may be obtained from the Public Reference Section of the Commission at Judiciary Plaza, 450 Fifth Street, N.W., Washington, D.C. 20549 at prescribed rates. Furthermore, USA Waste's securities are listed on the New York Stock Exchange (the "NYSE") and the reports, proxy statements, and other information of USA Waste described above may also be inspected at the NYSE at 20 Broad Street, New York, New York 10005. Chambers' securities are listed on the American Stock Exchange (the "AMEX") and the reports, proxy statements, and other information of Chambers described above may also be inspected at the AMEX at 86 Trinity Place, New York, New York 10006. Upon consummation of the Merger, listing of the Chambers' securities on the AMEX will be terminated.</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has filed with the Commission a registration statement (the "Registration Statement") under the Securities Act of 1933, as amended (the "Securities Act") on Form S-4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Chambers Common Stock and Chambers Class A Common Stock under the Exchange Act will be terminated.</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USA Waste incorporates herein by reference the following documents filed by it with the Commission (File No. 1-12154) pursuant to the Exchange Act: (i) its Annual Report on Form 10-K for the year ended December 31, 1994, (ii) its Quarterly Report on Form 10-Q for the quarter ended March 31, 1995; (iii) the description of USA Waste Common Stock contained in USA Waste's Registration Statement on Form 8-A dated July 1, 1993 and (iv) the Current Report on Form 8-K dated February 28, 1994 as filed by Envirofil Inc. ("Envirofil") and as amended by Form 8-K/A dated May 11, 1994, including the combined financial statements of the Acquired New Jersey Solid Waste Companies as of December 31, 1992 and 1993 and for each of the three years in the period ended December 31, 1993.</w:t>
      </w:r>
    </w:p>
    <w:p>
      <w:pPr>
        <w:spacing w:after="0" w:line="174"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Chambers incorporates herein by reference (i) its Annual Report or Form 10-K for the year ended December 31, 1994 and (ii) its Quarterly Report on Form 10-Q for the quarter ended March 31, 1995.</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All documents filed by USA Waste and Chambers pursuant to Section 13(a), 13(c), 14, or 15(d) of the Exchange Act subsequent to the date of this Joint Proxy Statement and Prospectus and prior to the date of the USA Waste Annual Meeting and the Chambers Special Meeting shall be deemed to be incorporated by reference in this Joint Proxy Statement and Prospectus and to be part hereof from the date of filing of such documents. All information appearing in this Joint Proxy Statement and Prospectus is qualified in its entirety by the information and financial statements (including notes thereto) appearing in the documents incorporated by reference herein.</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THIS JOINT PROXY STATEMENT AND PROSPECTUS INCORPORATES DOCUMENTS BY REFERENCE THAT ARE NOT PRESENTED HEREIN OR DELIVERED HEREWITH. USA WASTE AND CHAMBERS HEREBY UNDERTAKE TO PROVIDE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5000 QUORUM DRIVE, SUITE 300, DALLAS, TEXAS 75240, ATTENTION: EXECUTIVE VICE PRESIDENT AND CHIEF FINANCIAL OFFICER, TELEPHONE NUMBER 214-383-7900. DOCUMENTS RELATING TO CHAMBERS ARE AVAILABLE UPON REQUEST FROM CHAMBERS DEVELOPMENT COMPANY, INC., 10700 FRANKSTOWN ROAD, PITTSBURGH, PENNSYLVANIA 15235, ATTENTION: SENIOR VICE PRESIDENT AND CHIEF FINANCIAL OFFICER, TELEPHONE NUMBER 412-242-6237. IN ORDER TO ENSURE TIMELY DELIVERY OF THE DOCUMENTS, ANY REQUEST SHOULD BE RECEIVED BY JUNE 20, 1995.</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295" w:right="1440" w:bottom="1440" w:gutter="0" w:footer="0" w:header="0"/>
        </w:sectPr>
      </w:pPr>
    </w:p>
    <w:bookmarkStart w:id="12" w:name="page13"/>
    <w:bookmarkEnd w:id="12"/>
    <w:p>
      <w:pPr>
        <w:spacing w:after="0" w:line="2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tcPr>
          <w:p>
            <w:pPr>
              <w:jc w:val="right"/>
              <w:spacing w:after="0"/>
              <w:rPr>
                <w:sz w:val="20"/>
                <w:szCs w:val="20"/>
                <w:color w:val="auto"/>
              </w:rPr>
            </w:pPr>
            <w:r>
              <w:rPr>
                <w:rFonts w:ascii="Courier New" w:cs="Courier New" w:eastAsia="Courier New" w:hAnsi="Courier New"/>
                <w:sz w:val="16"/>
                <w:szCs w:val="16"/>
                <w:color w:val="auto"/>
              </w:rPr>
              <w:t>TABLE OF CONTENTS</w:t>
            </w:r>
          </w:p>
        </w:tc>
        <w:tc>
          <w:tcPr>
            <w:tcW w:w="520" w:type="dxa"/>
            <w:vAlign w:val="bottom"/>
          </w:tcPr>
          <w:p>
            <w:pPr>
              <w:spacing w:after="0"/>
              <w:rPr>
                <w:sz w:val="15"/>
                <w:szCs w:val="15"/>
                <w:color w:val="auto"/>
              </w:rPr>
            </w:pPr>
          </w:p>
        </w:tc>
      </w:tr>
      <w:tr>
        <w:trPr>
          <w:trHeight w:val="728"/>
        </w:trPr>
        <w:tc>
          <w:tcPr>
            <w:tcW w:w="4580" w:type="dxa"/>
            <w:vAlign w:val="bottom"/>
          </w:tcPr>
          <w:p>
            <w:pPr>
              <w:spacing w:after="0"/>
              <w:rPr>
                <w:sz w:val="24"/>
                <w:szCs w:val="24"/>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4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AVAILABLE INFORMATION..........................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ii</w:t>
            </w:r>
          </w:p>
        </w:tc>
      </w:tr>
      <w:tr>
        <w:trPr>
          <w:trHeight w:val="182"/>
        </w:trPr>
        <w:tc>
          <w:tcPr>
            <w:tcW w:w="458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7"/>
              </w:rPr>
              <w:t>INCORPORATION OF CERTAIN INFORMATION BY</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iii</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SUMMARY........................................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The Companies................................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The Shareholders' Meetings...................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Stockholders' Comparative Rights.............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Market Price Data............................</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Summary Financial Information................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Other Proposals to be Presented at the USA</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Waste Annual Meeting.......................</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RISK FACTORS...................................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Reliance on Future Acquisitions for Growth...</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Limitation on Use of Net Operating Loss</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Carryforwards..............................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High Degree of Leverage......................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Potential for Additional Claims in Connection</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with Chambers Shareholder Litigation.......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Operations Could be Adversely Affected by</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Government Regulation and Potential</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Litigation.................................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Potential Liability for Environmental</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Damage.....................................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Profitability May be Affected by</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Competition................................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Expected Benefits of Combined Business May</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Not be Achieved............................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Exchange Ratio Will Not Reflect Any Change in</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Stock Prices...............................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Chambers' Existing Financing Requirements....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THE MEETINGS...................................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Date, Time, and Place of the Meetings........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Purpose of the Meetings......................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Record Date and Outstanding Shares...........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Voting and Revocation of Proxies.............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Vote Required for Approval...................</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Solicitation of Proxies......................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Matters................................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2"/>
        </w:trPr>
        <w:tc>
          <w:tcPr>
            <w:tcW w:w="4580" w:type="dxa"/>
            <w:vAlign w:val="bottom"/>
          </w:tcPr>
          <w:p>
            <w:pPr>
              <w:jc w:val="right"/>
              <w:ind w:right="2421"/>
              <w:spacing w:after="0"/>
              <w:rPr>
                <w:sz w:val="20"/>
                <w:szCs w:val="20"/>
                <w:color w:val="auto"/>
              </w:rPr>
            </w:pPr>
            <w:r>
              <w:rPr>
                <w:rFonts w:ascii="Courier New" w:cs="Courier New" w:eastAsia="Courier New" w:hAnsi="Courier New"/>
                <w:sz w:val="16"/>
                <w:szCs w:val="16"/>
                <w:color w:val="auto"/>
                <w:w w:val="97"/>
              </w:rPr>
              <w:t>THE MERGER AND RELATED</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TRANSACTIONS.................................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General Description of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Background of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USA Waste's Reasons for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USA Waste..................................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Chambers' Reasons for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Chambers...................................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Opinion of Financial Advisor to USA Waste....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Opinion of Financial Advisor to Chambers.....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Conflicts of Interests.......................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Shareholders Agreement.......................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Financing Arrangements.......................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Certain Federal Income Tax Consequences......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Operating Loss Carryforwards.............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Accounting Treatment.........................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Government and Regulatory Approvals..........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Settlement of Certain Chambers Litigation....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Restrictions on Resales by Affiliates........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ELECTION OF USA WASTE DIRECTORS................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546"/>
        </w:trPr>
        <w:tc>
          <w:tcPr>
            <w:tcW w:w="4580" w:type="dxa"/>
            <w:vAlign w:val="bottom"/>
          </w:tcPr>
          <w:p>
            <w:pPr>
              <w:spacing w:after="0"/>
              <w:rPr>
                <w:sz w:val="24"/>
                <w:szCs w:val="24"/>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4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Nominees for Election as Directors...........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Board of Directors After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Meetings, Committees and Compensation........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Beneficial Ownership of USA Waste</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Common Stock...............................</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Executive Compensation.......................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Compensation Committee Interlocks and Insider</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Participation in Compensation Decisions....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Certain Relationships and Related</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Transactions...............................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Filing of Reports of Stock Ownership.........</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THE REINCORPORATION............................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Principal Reason for Reincorporation.........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Director Liability...........................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Indemnification of Directors, Officers and</w:t>
            </w:r>
          </w:p>
        </w:tc>
        <w:tc>
          <w:tcPr>
            <w:tcW w:w="520" w:type="dxa"/>
            <w:vAlign w:val="bottom"/>
          </w:tcPr>
          <w:p>
            <w:pPr>
              <w:spacing w:after="0"/>
              <w:rPr>
                <w:sz w:val="15"/>
                <w:szCs w:val="15"/>
                <w:color w:val="auto"/>
              </w:rPr>
            </w:pPr>
          </w:p>
        </w:tc>
      </w:tr>
    </w:tbl>
    <w:p>
      <w:pPr>
        <w:sectPr>
          <w:pgSz w:w="11900" w:h="16864" w:orient="portrait"/>
          <w:cols w:equalWidth="0" w:num="1">
            <w:col w:w="10219"/>
          </w:cols>
          <w:pgMar w:left="240" w:top="295" w:right="1440" w:bottom="0" w:gutter="0" w:footer="0" w:header="0"/>
        </w:sectPr>
      </w:pPr>
    </w:p>
    <w:bookmarkStart w:id="13" w:name="page14"/>
    <w:bookmarkEnd w:id="13"/>
    <w:p>
      <w:pPr>
        <w:ind w:left="380"/>
        <w:spacing w:after="0"/>
        <w:tabs>
          <w:tab w:leader="dot" w:pos="4900" w:val="left"/>
        </w:tabs>
        <w:rPr>
          <w:sz w:val="20"/>
          <w:szCs w:val="20"/>
          <w:color w:val="auto"/>
        </w:rPr>
      </w:pPr>
      <w:r>
        <w:rPr>
          <w:rFonts w:ascii="Courier New" w:cs="Courier New" w:eastAsia="Courier New" w:hAnsi="Courier New"/>
          <w:sz w:val="16"/>
          <w:szCs w:val="16"/>
          <w:color w:val="auto"/>
        </w:rPr>
        <w:t>Other Agents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Contests for Corporate Control</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Possible Negative Considerations</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Other Concerns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CLASSIFICATION OF THE USA WASTE BOARD AND</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RELATED MATTERS</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Classified Board</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Filling Vacancies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Removal of Directors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Amendment, Alteration or Repeal of These</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Provisions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TO INCREASE THE NUMBER OF AUTHORIZED</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THE USA WASTE 1993 STOCK INCENTIVE</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PLAN</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dot" w:pos="4900" w:val="left"/>
        </w:tabs>
        <w:rPr>
          <w:sz w:val="20"/>
          <w:szCs w:val="20"/>
          <w:color w:val="auto"/>
        </w:rPr>
      </w:pPr>
      <w:r>
        <w:rPr>
          <w:rFonts w:ascii="Courier New" w:cs="Courier New" w:eastAsia="Courier New" w:hAnsi="Courier New"/>
          <w:sz w:val="16"/>
          <w:szCs w:val="16"/>
          <w:color w:val="auto"/>
        </w:rPr>
        <w:t>RATIFICATION OF APPOINTMENT OF AUDITORS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spacing w:after="0"/>
        <w:tabs>
          <w:tab w:leader="dot" w:pos="4900" w:val="left"/>
        </w:tabs>
        <w:rPr>
          <w:sz w:val="20"/>
          <w:szCs w:val="20"/>
          <w:color w:val="auto"/>
        </w:rPr>
      </w:pPr>
      <w:r>
        <w:rPr>
          <w:rFonts w:ascii="Courier New" w:cs="Courier New" w:eastAsia="Courier New" w:hAnsi="Courier New"/>
          <w:sz w:val="16"/>
          <w:szCs w:val="16"/>
          <w:color w:val="auto"/>
        </w:rPr>
        <w:t>THE PLAN OF MERGER AND TERMS OF THE MERGER</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Effective Time of the Merger</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Manner and Basis for Converting Shares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Chambers Options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Conditions to the Merger</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Representations and Warranties of USA Waste</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and Chambers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Conduct of the Business of USA Waste and</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Chambers Prior to the Merger</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 Solicitation of Acquisition</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Transactions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Conduct of the Business of the Combined</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Companies Following the Merger</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Termination or Amendment</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Termination Fees</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Arrangements with Certain Individuals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RIGHTS OF STOCKHOLDERS OF USA WASTE</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AND CHAMBERS</w:t>
      </w:r>
      <w:r>
        <w:rPr>
          <w:sz w:val="20"/>
          <w:szCs w:val="20"/>
          <w:color w:val="auto"/>
        </w:rPr>
        <w:tab/>
      </w:r>
      <w:r>
        <w:rPr>
          <w:rFonts w:ascii="Courier New" w:cs="Courier New" w:eastAsia="Courier New" w:hAnsi="Courier New"/>
          <w:sz w:val="15"/>
          <w:szCs w:val="15"/>
          <w:color w:val="auto"/>
        </w:rPr>
        <w:t>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AND CHAMBERS COMBINED HISTORICAL</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UNAUDITED PRO FORMA CONDENSED FINANCIAL</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76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INFORMATION RELATING TO PRO FORMA</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STATEMENT OF OPERATIONS FOR THE YEAR ENDED</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DECEMBER 31, 1994</w:t>
      </w:r>
      <w:r>
        <w:rPr>
          <w:sz w:val="20"/>
          <w:szCs w:val="20"/>
          <w:color w:val="auto"/>
        </w:rPr>
        <w:tab/>
      </w:r>
      <w:r>
        <w:rPr>
          <w:rFonts w:ascii="Courier New" w:cs="Courier New" w:eastAsia="Courier New" w:hAnsi="Courier New"/>
          <w:sz w:val="15"/>
          <w:szCs w:val="15"/>
          <w:color w:val="auto"/>
        </w:rPr>
        <w:t>86</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13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1"/>
        </w:trPr>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13</w:t>
            </w:r>
          </w:p>
        </w:tc>
        <w:tc>
          <w:tcPr>
            <w:tcW w:w="32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728"/>
        </w:trPr>
        <w:tc>
          <w:tcPr>
            <w:tcW w:w="1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1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PRINCIPAL STOCKHOLDERS OF USA WASTE AND</w:t>
            </w:r>
          </w:p>
        </w:tc>
        <w:tc>
          <w:tcPr>
            <w:tcW w:w="560" w:type="dxa"/>
            <w:vAlign w:val="bottom"/>
          </w:tcPr>
          <w:p>
            <w:pPr>
              <w:spacing w:after="0"/>
              <w:rPr>
                <w:sz w:val="24"/>
                <w:szCs w:val="24"/>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CHAMBERS.....................................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MARKET PRICE DATA..............................</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Market Information...........................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Dividend Information.........................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DESCRIPTION OF USA WASTE.......................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Industry Background..........................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Strategy.....................................</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91</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Marketing and Sales..........................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Competition..................................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Pricing......................................</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Employees....................................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Insurance and Performance Bonds..............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Regulation...................................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Properties...................................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Legal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Selected Historical Consolidated Financial</w:t>
            </w:r>
          </w:p>
        </w:tc>
        <w:tc>
          <w:tcPr>
            <w:tcW w:w="560" w:type="dxa"/>
            <w:vAlign w:val="bottom"/>
          </w:tcPr>
          <w:p>
            <w:pPr>
              <w:spacing w:after="0"/>
              <w:rPr>
                <w:sz w:val="15"/>
                <w:szCs w:val="15"/>
                <w:color w:val="auto"/>
              </w:rPr>
            </w:pPr>
          </w:p>
        </w:tc>
      </w:tr>
      <w:tr>
        <w:trPr>
          <w:trHeight w:val="182"/>
        </w:trPr>
        <w:tc>
          <w:tcPr>
            <w:tcW w:w="4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Data of USA Waste..........................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MANAGEMENT'S DISCUSSION AND ANALYSIS OF USA</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WASTE'S FINANCIAL CONDITION AND RESULTS OF</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82"/>
        </w:trPr>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w w:val="97"/>
              </w:rPr>
              <w:t>Introduction</w:t>
            </w:r>
          </w:p>
        </w:tc>
        <w:tc>
          <w:tcPr>
            <w:tcW w:w="3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Results of Operations for the Three Months</w:t>
            </w:r>
          </w:p>
        </w:tc>
        <w:tc>
          <w:tcPr>
            <w:tcW w:w="560" w:type="dxa"/>
            <w:vAlign w:val="bottom"/>
          </w:tcPr>
          <w:p>
            <w:pPr>
              <w:spacing w:after="0"/>
              <w:rPr>
                <w:sz w:val="15"/>
                <w:szCs w:val="15"/>
                <w:color w:val="auto"/>
              </w:rPr>
            </w:pPr>
          </w:p>
        </w:tc>
      </w:tr>
      <w:tr>
        <w:trPr>
          <w:trHeight w:val="182"/>
        </w:trPr>
        <w:tc>
          <w:tcPr>
            <w:tcW w:w="4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Ended March 31, 1994 and 1995..............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Results of Operations for the Three Years</w:t>
            </w:r>
          </w:p>
        </w:tc>
        <w:tc>
          <w:tcPr>
            <w:tcW w:w="560" w:type="dxa"/>
            <w:vAlign w:val="bottom"/>
          </w:tcPr>
          <w:p>
            <w:pPr>
              <w:spacing w:after="0"/>
              <w:rPr>
                <w:sz w:val="15"/>
                <w:szCs w:val="15"/>
                <w:color w:val="auto"/>
              </w:rPr>
            </w:pPr>
          </w:p>
        </w:tc>
      </w:tr>
      <w:tr>
        <w:trPr>
          <w:trHeight w:val="182"/>
        </w:trPr>
        <w:tc>
          <w:tcPr>
            <w:tcW w:w="4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Ended December 31, 1994....................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Liquidity and Capital Resources..............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Environmental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Seasonality and Inflation....................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DESCRIPTION OF CHAMBERS........................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Competition..................................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Marketing....................................</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Regulation...................................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Bonding and Insurance........................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Employees....................................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Properties...................................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Legal Proceedings............................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r>
        <w:trPr>
          <w:trHeight w:val="546"/>
        </w:trPr>
        <w:tc>
          <w:tcPr>
            <w:tcW w:w="1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1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Selected Historical Consolidated Financial</w:t>
            </w:r>
          </w:p>
        </w:tc>
        <w:tc>
          <w:tcPr>
            <w:tcW w:w="560" w:type="dxa"/>
            <w:vAlign w:val="bottom"/>
          </w:tcPr>
          <w:p>
            <w:pPr>
              <w:spacing w:after="0"/>
              <w:rPr>
                <w:sz w:val="24"/>
                <w:szCs w:val="24"/>
                <w:color w:val="auto"/>
              </w:rPr>
            </w:pPr>
          </w:p>
        </w:tc>
      </w:tr>
      <w:tr>
        <w:trPr>
          <w:trHeight w:val="182"/>
        </w:trPr>
        <w:tc>
          <w:tcPr>
            <w:tcW w:w="4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Data of Chambers...........................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125</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MANAGEMENT'S DISCUSSION AND ANALYSIS OF</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CHAMBERS' FINANCIAL CONDITION AND RESULTS OF</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Results of Operations for the Three Months</w:t>
            </w:r>
          </w:p>
        </w:tc>
        <w:tc>
          <w:tcPr>
            <w:tcW w:w="560" w:type="dxa"/>
            <w:vAlign w:val="bottom"/>
          </w:tcPr>
          <w:p>
            <w:pPr>
              <w:spacing w:after="0"/>
              <w:rPr>
                <w:sz w:val="15"/>
                <w:szCs w:val="15"/>
                <w:color w:val="auto"/>
              </w:rPr>
            </w:pPr>
          </w:p>
        </w:tc>
      </w:tr>
      <w:tr>
        <w:trPr>
          <w:trHeight w:val="182"/>
        </w:trPr>
        <w:tc>
          <w:tcPr>
            <w:tcW w:w="4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Ended March 31, 1994 and 1995..............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Results of Operations for the Three Years</w:t>
            </w:r>
          </w:p>
        </w:tc>
        <w:tc>
          <w:tcPr>
            <w:tcW w:w="560" w:type="dxa"/>
            <w:vAlign w:val="bottom"/>
          </w:tcPr>
          <w:p>
            <w:pPr>
              <w:spacing w:after="0"/>
              <w:rPr>
                <w:sz w:val="15"/>
                <w:szCs w:val="15"/>
                <w:color w:val="auto"/>
              </w:rPr>
            </w:pPr>
          </w:p>
        </w:tc>
      </w:tr>
      <w:tr>
        <w:trPr>
          <w:trHeight w:val="182"/>
        </w:trPr>
        <w:tc>
          <w:tcPr>
            <w:tcW w:w="4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Ended December 31, 1994....................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Liquidity and Capital Resources..............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Capital Expenditures.........................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Environmental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137</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DESCRIPTION OF USA WASTE CAPITAL STOCK.........</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r>
      <w:tr>
        <w:trPr>
          <w:trHeight w:val="182"/>
        </w:trPr>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w w:val="97"/>
              </w:rPr>
              <w:t>Common Stock</w:t>
            </w:r>
          </w:p>
        </w:tc>
        <w:tc>
          <w:tcPr>
            <w:tcW w:w="3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Preferred Stock..............................</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Authorized But Unissued Shares...............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Transfer Agent and Registrar.................</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Limited Liability and Indemnification of</w:t>
            </w:r>
          </w:p>
        </w:tc>
        <w:tc>
          <w:tcPr>
            <w:tcW w:w="560" w:type="dxa"/>
            <w:vAlign w:val="bottom"/>
          </w:tcPr>
          <w:p>
            <w:pPr>
              <w:spacing w:after="0"/>
              <w:rPr>
                <w:sz w:val="15"/>
                <w:szCs w:val="15"/>
                <w:color w:val="auto"/>
              </w:rPr>
            </w:pPr>
          </w:p>
        </w:tc>
      </w:tr>
      <w:tr>
        <w:trPr>
          <w:trHeight w:val="182"/>
        </w:trPr>
        <w:tc>
          <w:tcPr>
            <w:tcW w:w="4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Officers and Directors.....................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LEGAL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EXPERTS........................................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PROPOSALS OF SHAREHOLDERS FOR</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ANNUAL MEETINGS..............................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OTHER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INDEX TO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A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Amended and Restated Agreement</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and Plan of Merger...........................</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AA-1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B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Fairness Opinion of Donaldson,</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Lufkin &amp; Jenrette Securities Corporation.....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BB-1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C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Fairness Opinion of J.P. Morgan</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Securities Inc...............................</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CC-1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D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Reincorporation Merger</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Agreement....................................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DD-1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E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Certificate of Incorporation of</w:t>
            </w:r>
          </w:p>
        </w:tc>
        <w:tc>
          <w:tcPr>
            <w:tcW w:w="560" w:type="dxa"/>
            <w:vAlign w:val="bottom"/>
          </w:tcPr>
          <w:p>
            <w:pPr>
              <w:spacing w:after="0"/>
              <w:rPr>
                <w:sz w:val="15"/>
                <w:szCs w:val="15"/>
                <w:color w:val="auto"/>
              </w:rPr>
            </w:pPr>
          </w:p>
        </w:tc>
      </w:tr>
      <w:tr>
        <w:trPr>
          <w:trHeight w:val="182"/>
        </w:trPr>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w w:val="97"/>
              </w:rPr>
              <w:t>USA Delaware</w:t>
            </w:r>
          </w:p>
        </w:tc>
        <w:tc>
          <w:tcPr>
            <w:tcW w:w="3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EE-1</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APPENDIX F -- Bylaws of USA Delaware...........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FF-1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G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Articles of Amendment of USA</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Waste........................................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GG-1</w:t>
            </w:r>
          </w:p>
        </w:tc>
      </w:tr>
    </w:tbl>
    <w:p>
      <w:pPr>
        <w:sectPr>
          <w:pgSz w:w="11900" w:h="16838" w:orient="portrait"/>
          <w:cols w:equalWidth="0" w:num="1">
            <w:col w:w="10219"/>
          </w:cols>
          <w:pgMar w:left="240" w:top="295" w:right="1440" w:bottom="0" w:gutter="0" w:footer="0" w:header="0"/>
        </w:sectPr>
      </w:pPr>
    </w:p>
    <w:bookmarkStart w:id="15" w:name="page16"/>
    <w:bookmarkEnd w:id="15"/>
    <w:p>
      <w:pPr>
        <w:ind w:left="258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9019"/>
          </w:cols>
          <w:pgMar w:left="1440" w:top="501" w:right="1440" w:bottom="1440" w:gutter="0" w:footer="0" w:header="0"/>
        </w:sectPr>
      </w:pPr>
    </w:p>
    <w:bookmarkStart w:id="16" w:name="page17"/>
    <w:bookmarkEnd w:id="16"/>
    <w:p>
      <w:pPr>
        <w:ind w:left="283"/>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SUMMARY</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following is a summary of certain information contained elsewhere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185"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THE COMPANIES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USA Waste Services, Inc. ("USA Waste") is an integrated solid waste management company operating in the non-hazardous segment of the industry, including collection, transfer, recycling, disposal and soil remediation. USA Waste provides solid waste management services to the full spectrum of municipal, commercial, industrial and residential customers with operations in California, Illinois, Indiana, Missouri, New Jersey, North Dakota, Ohio, Oklahoma, Pennsylvania, Texas, Washington and West Virginia. Based on 1994 revenues, USA Waste is currently the sixth largest publicly traded non-hazardous solid waste management company in the United States and Chambers Development Company, Inc. is the fourth. Upon consummation of the Merger, USA Waste will become the third largest such company, based on information currently available to management. Chambers Acquisition Corporation ("Acquisition") is a wholly owned subsidiary of USA Waste organized for the purpose of effecting the Merger pursuant to the Merger Agreement. Acquisition has no material assets and has not engaged in any activities except in connection with the Merger.</w:t>
      </w:r>
    </w:p>
    <w:p>
      <w:pPr>
        <w:spacing w:after="0" w:line="181"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The principal executive offices of USA Waste and Acquisition are located at 5000 Quorum Drive, Suite 300, Dallas, Texas 75240, and the telephone number is</w:t>
      </w:r>
    </w:p>
    <w:p>
      <w:pPr>
        <w:spacing w:after="0" w:line="1" w:lineRule="exact"/>
        <w:rPr>
          <w:sz w:val="20"/>
          <w:szCs w:val="20"/>
          <w:color w:val="auto"/>
        </w:rPr>
      </w:pPr>
    </w:p>
    <w:p>
      <w:pPr>
        <w:ind w:left="3" w:right="2839" w:hanging="3"/>
        <w:spacing w:after="0" w:line="239" w:lineRule="auto"/>
        <w:tabs>
          <w:tab w:leader="none" w:pos="57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383-7900. References to USA Waste at the time of consummation of the Merger and thereafter shall mean the surviving Delaware corporation into which USA Waste merges for purposes of changing the domicile of USA Waste from Oklahoma to Delaware. See "The Reincorporation."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Chambers Development Company, Inc. ("Chambers") provides integrated solid waste services in the United States, with operations or properties at the end of 1994 in selected areas of Florida, Georgia, Illinois, Maryland, Mississippi, New Jersey, North Carolina, Ohio, Pennsylvania, South Carolina, Tennessee, Virginia, and West Virginia. Major elements of the business include the operation, management, construction and engineering of solid waste sanitary landfills, transfer stations, recycling facilities, and related operations. Chambers also provides the services of collecting, hauling and recycling solid waste for municipal, commercial, industrial and residential customers. The principal executive offices of Chambers are located at 10700 Frankstown Road, Pittsburgh, Pennsylvania 15235, and the telephone number is (412) 242-6237. See "Description of Chambers."</w:t>
      </w:r>
    </w:p>
    <w:p>
      <w:pPr>
        <w:spacing w:after="0" w:line="185"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THE SHAREHOLDERS' MEETINGS</w:t>
      </w:r>
    </w:p>
    <w:p>
      <w:pPr>
        <w:spacing w:after="0" w:line="186" w:lineRule="exact"/>
        <w:rPr>
          <w:sz w:val="20"/>
          <w:szCs w:val="20"/>
          <w:color w:val="auto"/>
        </w:rPr>
      </w:pPr>
    </w:p>
    <w:p>
      <w:pPr>
        <w:ind w:left="3" w:right="2759" w:firstLine="473"/>
        <w:spacing w:after="0" w:line="257" w:lineRule="auto"/>
        <w:rPr>
          <w:sz w:val="20"/>
          <w:szCs w:val="20"/>
          <w:color w:val="auto"/>
        </w:rPr>
      </w:pPr>
      <w:r>
        <w:rPr>
          <w:rFonts w:ascii="Courier New" w:cs="Courier New" w:eastAsia="Courier New" w:hAnsi="Courier New"/>
          <w:sz w:val="15"/>
          <w:szCs w:val="15"/>
          <w:color w:val="auto"/>
        </w:rPr>
        <w:t>The USA Waste Annual Meeting will be held at 2:00 p.m., Dallas, Texas time on June 27, 1995, at The Grand Kempinski-Dallas Hotel, 15201 Dallas Parkway, Dallas, Texas, for the purpose of considering and acting upon proposals to (i) approve and adopt the Merger Agreement, (ii) elect directors for the ensuing year, (iii) change the domicile of USA Waste from Oklahoma to Delaware, (iv) provide for a classified Board of Directors, (v) increase the number of authorized shares of USA Waste Common Stock, (vi) increase the number of shares that may be issued under the USA Waste 1993 Stock Incentive Plan and (vii) ratify the appointment of USA Waste's auditors for the ensuing year. The Chambers Special Meeting will be held at 10:00 a.m., Dallas, Texas time on June 27, 1995, at The Grand Kempinski-Dallas Hotel, 15201 Dallas Parkway, Dallas, Texas, for the sole purpose of approving and adopting the Merger Agreement.</w:t>
      </w:r>
    </w:p>
    <w:p>
      <w:pPr>
        <w:spacing w:after="0" w:line="177"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2"/>
          </w:cols>
          <w:pgMar w:left="237"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Only those shareholders of USA Waste and stockholders of Chambers of record at the close of business on May 5, 1995 (the "Record Date"), are entitled to notice of, and to vote at, the USA Waste Annual Meeting and the Chambers Special Meeting, respectively.</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Pursuant to the rules of the NYSE, approval and adoption of the Merger Agreement require the affirmative vote of the holders of a majority of the shares of USA Waste Common Stock voted, in person or by proxy, at the USA Waste Annual Meeting, provided that the total vote cast on the proposal represents a majority of the shares entitled to vote thereon. At the close of business on the Record Date, there were 22,967,256 shares of USA Waste Common Stock outstanding and entitled to vote at the USA Waste Annual Meeting. All executive officers and directors of USA Waste who are shareholders of USA Waste, who collectively have the right to vote approximately 2,958,500 shares of USA Common Stock, representing approximately 12.9% of the shares outstanding as of the Record Date, have indicated to USA Waste that they intend to vote the shares of USA Waste Common Stock over which they have voting control in favor of the Merger Agreement. See "The Meetings -- Vote Required for Approval."</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Delaware law and the terms of the Certificate of Incorporation of Chambers, approval and adoption of the Merger Agreement require the affirmative vote of a majority of the votes to which holders of shares of Chambers Common Stock and Chambers Class A Common Stock outstanding on the Record Date are entitled, voting together as a single class. At the close of business on the Record Date, there were 15,439,668 shares of Chambers Common Stock and 51,349,459 shares of Chambers Class A Common Stock outstanding and entitled to vote at the Chambers Special Meeting. Holders of Chambers Common Stock are entitled to ten votes per share and holders of Chambers Class A Common Stock are entitled to one vote per share. The executive officers and directors of Chambers who are stockholders of Chambers and certain principal stockholders of Chambers, who collectively have the right to vote approximately 13,478,850 shares of Chambers Common Stock and 11,706,980 shares of Chambers Class A Common Stock, representing approximately 71.2% of the votes outstanding as of the Record Date, have indicated to Chambers that they intend to vote such shares in favor of the Merger Agreement. The affirmative vote of such persons would be sufficient to approve the Merger Agreement. See "The Meetings -- Vote Required for Approval."</w:t>
      </w:r>
    </w:p>
    <w:p>
      <w:pPr>
        <w:spacing w:after="0" w:line="18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THE MERGER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RECOMMENDATIONS OF THE BOARDS OF DIRECTORS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USA Waste has approved the Merger Agreement and has directed that it be submitted to the shareholders of USA Waste. The Board of Directors of USA Waste unanimously recommends that the shareholders of USA Waste approve and adopt the Merger Agreement. See "The Merger and Related Transactions -- Background of the Merger," "-- USA Waste's Reasons for the Merger" and "-- Recommendation of the Board of Directors of USA Waste." In considering the recommendation of the USA Waste Board of Directors with respect to the Merger, USA Waste shareholders should be aware that certain officers and directors of USA Waste have employment agreements that may require severance payments upon a change of control such as the Merger. See "The Merger and Related Transactions -- Conflicts of Interest."</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Chambers has approved the Merger Agreement and has directed that it be submitted to the stockholders of Chambers. The Board of Directors of Chambers unanimously recommends that the stockholders of Chambers approve and adopt the Merger Agreement. See "The Merger and Related Transactions -- Background of the Merger," "-- Chambers' Reasons for the Merger" and "-- Recommendation of the Board of Directors of Chambers." In considering the recommendation of the Chambers' Board of Directors with respect to the Merger, Chambers stockholders should be aware that certain officers and directors of Chambers have direct or indirect interests in recommending the Merger, apart from their interests as stockholders of Chambers, which are not identical to those of unaffiliated stockholders of Chambers. See "The Merger and Related Transactions -- Conflicts of Interest."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5"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CONFLICTS OF INTEREST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Certain members of the Board of Directors and management of USA Waste and Chambers have certain interests separate from their interests as stockholders. Such conflicts of interest include: (i) certain officers of Chambers will become directors and/or officers of USA Waste upon consummation of the Merger, (ii) certain officers of Chambers and USA Waste have employment agreements that may require severance payments in the event of a "change of control" such as the Merger, (iii) upon consummation of the Merger, USA Waste has agreed to exercise an option to purchase certain land from John G. Rangos, Sr. and certain other affiliated persons, (iv) upon settlement of the Chambers shareholder litigation, certain officers of Chambers, doing business as Synergy Associates, have agreed to contribute a building, currently used as Chambers' headquarters, to Chambers, resulting in the extinguishment of future lease obligations of Chambers and the assumption by Chambers of the loan obligation of Synergy Associates as to which Chambers is guarantor, and (v) certain executive officers of Chambers hold options to acquire Chambers Class A Common Stock, which will become fully vested and exercisable immediately into shares of USA Waste Common Stock upon consummation of the Merger. For more information on such conflicts of interest, see "The Merger and Related Transactions -- Conflicts of Interest."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FINANCIAL ADVISORS</w:t>
      </w:r>
    </w:p>
    <w:p>
      <w:pPr>
        <w:spacing w:after="0" w:line="36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December 19, 1994, the Board of Directors of USA Waste received a verbal opinion from Donaldson, Lufkin &amp; Jenrette Securities Corporation ("DLJ") to the effect that the Exchange Ratio (as hereinafter defined) is fair to the shareholders of USA Waste from a financial point of view, and on the date hereof received a written opinion to such effect. On December 19, 1994, the Board of Directors of Chambers received a written opinion from J.P. Morgan Securities Inc. ("J.P. Morgan") to the effect that the consideration to be received by the stockholders of Chambers in the Merger is fair from a financial point of view. J.P. Morgan confirmed, as of the date hereof, its opinion of December 19, 1994. The full text of the written opinions of DLJ and J.P. Morgan are attached to this Joint Proxy Statement and Prospectus as Appendices B and C, respectively. See "The Merger and Related Transactions -- Opinion of Financial Advisor to USA Waste" and "-- Opinion of Financial Advisor to Chambers."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TERMS OF THE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Exchange Ratio. At the Effective Time (as hereinafter defined), Acquisition will merge with and into Chambers and Chambers will become a wholly owned subsidiary of USA Waste. In the Merger, each outstanding share of Chambers Common Stock and Chambers Class A Common Stock will be converted into .41667 of a share of USA Waste Common Stock (the "Exchange Ratio").</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Based upon the number of shares of common stock of USA Waste and Chambers outstanding as of the Record Date, approximately 50.8 million shares of USA Waste Common Stock will be outstanding immediately after the Effective Time, of which approximately 27.8 million shares, representing 54.8% of the total, will be held by former holders of Chambers Common Stock and Chambers Class A Common Stock.</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Fractional Shares. No fractional shares of USA Waste Common Stock will be issued pursuant to the Merger. In lieu of such fractional shares, each holder who would otherwise receive a fractional share will receive cash (without interest) in an amount equal to the product of such fractional part of a share of USA Waste Common Stock multiplied by the closing price of the USA Waste Common Stock on the last trading day preceding the Effective Time.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Effective Time of the Merger. The Merger will become effective upon the issuance of a certificate of merger by the Secretary of State of Delaware (the "Effective Time"). Assuming the requisite shareholder approval of the Merger Agreement is obtained, it is anticipated that the Effective Time of the Merger will occur as soon as practicable following the Meetings. If all other conditions to the Merger have not been satisfied prior to the Meetings, however, it is expected that the Merger will occur as soon as practicable after such conditions have been satisfied or waived.</w:t>
      </w:r>
    </w:p>
    <w:p>
      <w:pPr>
        <w:spacing w:after="0" w:line="187"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Exchange of Chambers Common Stock Certificates. Promptly after consummation of the Merger, The First National Bank of Boston (the "Exchange Agent") will mail a letter of transmittal with instructions to</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5"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17</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each holder of record of Chambers Common Stock and Chambers Class A Common Stock for use in exchanging certificates representing shares of Chambers Common Stock and Chambers Class A Common Stock for certificates representing shares of USA Waste Common Stock and cash in lieu of any fractional shares. CERTIFICATES SHOULD NOT BE SURRENDERED BY THE HOLDERS OF CHAMBERS COMMON STOCK AND CHAMBERS CLASS A COMMON STOCK UNTIL THEY HAVE RECEIVED THE LETTER OF TRANSMITTAL FROM THE EXCHANGE AGENT. See "The Plan of Merger and Terms of the Merger -- Manner and Basis for Converting Shares."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Assumption of Chambers Options. Pursuant to the Merger Agreement and immediately after the Effective Time, USA Waste will assume the obligations under each outstanding option to purchase Chambers Class A Common Stock (a "Chambers Option") that remains unexercised in whole or in part. Accordingly, each Chambers Option will remain outstanding as an option to purchase, in place of the shares of Chambers Class A Common Stock previously subject to such Chambers Option, that number of shares of USA Waste Common Stock equal to the product of the number of shares of Chambers Class A Common Stock subject to the Chambers Option multiplied by the Exchange Ratio. The exercise price per share of USA Waste Common Stock will be equal to the previous exercise price per share under the Chambers Option divided by the Exchange Ratio. See "The Plan of Merger and Terms of the Merger -- Chambers Options." Ten of the executive officers of Chambers hold options to acquire 860,600 shares of Chambers Class A Common Stock pursuant to the terms of certain stock option agreements, at exercise prices ranging from $2.25 to $17.44. See "The Merger and Related Transactions -- Conflicts of Interest."</w:t>
      </w:r>
    </w:p>
    <w:p>
      <w:pPr>
        <w:spacing w:after="0" w:line="192"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Indemnification. The Merger Agreement provides that the officers, directors, employees and agents of Chambers will be indemnified against certain liabilities and costs, including those arising out of, relating to or in connection with any action or omission occurring prior to the Effective Time or arising out of or pertaining to the transactions contemplated by the Merger Agreement. See "The Plan of Merger and Terms of the Merger -- Indemnification."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Certain Federal Income Tax Consequences. USA Waste has received an opinion of its counsel to the effect that no gain or loss will be recognized by USA Waste or Acquisition for federal income tax purposes as a result of consummation of the Merger. Chambers has received an opinion of its counsel to the effect that no gain or loss will be recognized for federal income tax purposes by Chambers or holders of Chambers Common Stock or Chambers Class A Common Stock as a result of consummation of the Merger, except for gain or loss attributable to cash received in lieu of fractional shares. Receipt of these opinions is a condition precedent to the consummation of the Merger. See "The Merger and Related Transactions -- Certain Federal Income Tax Consequences."</w:t>
      </w:r>
    </w:p>
    <w:p>
      <w:pPr>
        <w:spacing w:after="0" w:line="17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Accounting Treatment. It is a condition precedent to the closing of the Merger that USA Waste will receive a letter from Coopers &amp; Lybrand L.L.P., independent public accountants, that the Merger will qualify as a "pooling of interests" for accounting and financial reporting purposes. See "The Merger and Related Transactions -- Accounting Treatment."</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Certain Chambers Litigation. In 1992, Chambers and its affiliates became defendants in a number of federal and state lawsuits arising from an announcement of a change in Chambers' accounting method in March 1992 and a subsequent $362 million reduction in retained earnings as of December 31, 1991. In addition, in 1992, the Commission initiated an investigation with respect to Chambers' accounting method and the accuracy of its financial statements and into the possibility that persons or entities had traded in Chambers' securities on the basis of inside information prior to the announcement of the change in accounting policies. On February 24, 1995, Chambers and shareholder representatives executed definitive agreements providing for the settlement and dismissal of the shareholder litigation and the payment of up to $85.9 million by Chambers. On March 22, 1995, the court granted preliminary approval of the settlements and the distribution of notices to Chambers' stockholders and the plaintiff class members regarding the settlements. A hearing upon the fairness, reasonableness and adequacy of the proposed settlements has been scheduled for May 19, 1995. In connection with the Commission investigation, on May 9, 1995, the Commission announced the filing of a complaint against Chambers alleging that Chambers violated the antifraud provisions of the</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5" w:right="1440" w:bottom="1440" w:gutter="0" w:footer="0" w:header="0"/>
          <w:type w:val="continuous"/>
        </w:sectPr>
      </w:pPr>
    </w:p>
    <w:bookmarkStart w:id="20" w:name="page21"/>
    <w:bookmarkEnd w:id="20"/>
    <w:p>
      <w:pPr>
        <w:ind w:left="283"/>
        <w:spacing w:after="0"/>
        <w:rPr>
          <w:sz w:val="20"/>
          <w:szCs w:val="20"/>
          <w:color w:val="auto"/>
        </w:rPr>
      </w:pPr>
      <w:r>
        <w:rPr>
          <w:rFonts w:ascii="Courier New" w:cs="Courier New" w:eastAsia="Courier New" w:hAnsi="Courier New"/>
          <w:sz w:val="16"/>
          <w:szCs w:val="16"/>
          <w:color w:val="auto"/>
        </w:rPr>
        <w:t>18</w:t>
      </w:r>
    </w:p>
    <w:p>
      <w:pPr>
        <w:spacing w:after="0" w:line="368"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Securities Act and the antifraud, reporting, internal controls and recordkeeping provisions of the Exchange Act. Chambers simultaneously consented, without admitting or denying the allegations, to the entry of an order enjoining it from violating certain provisions of the Securities Act and the Exchange Act and requiring Chambers to pay a civil penalty of $500,000. For a description of the lawsuits, the settlement agreements and the Commission investigation, see "Description of Chambers -- Legal Proceedings." Consummation of the Merger is conditioned upon the shareholder litigation having been fully and irrevocably settled and receipt of approval of the Commission to a consent order with respect to the Commission's investigation as to Chambers' accounting method and the accuracy of its financial statements upon terms and conditions satisfactory to USA Waste. In connection with the shareholder litigation settlement proceedings, certain potential class members have requested exclusion from the settlement. As a result of such requests for exclusion, there can be no assurance that the Merger condition relating to settlement of the shareholder litigation will be satisfied. In the event, however, that the Board of Directors of USA Waste elects to proceed with the Merger notwithstanding such exclusions, the condition concerning settlement of the Chambers shareholder litigation will have been satisfied, despite the potential for ongoing or additional claims that may be asserted by the excluded shareholders. See "The Merger and Related Transactions -- Settlement of Certain Chambers Litigation" and "Description of Chambers -- Legal Proceedings."</w:t>
      </w:r>
    </w:p>
    <w:p>
      <w:pPr>
        <w:spacing w:after="0" w:line="200" w:lineRule="exact"/>
        <w:rPr>
          <w:sz w:val="20"/>
          <w:szCs w:val="20"/>
          <w:color w:val="auto"/>
        </w:rPr>
      </w:pPr>
    </w:p>
    <w:p>
      <w:pPr>
        <w:spacing w:after="0" w:line="344"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Governmental and Regulatory Approvals. Consummation of the Merger is conditioned upon the expiration or termination of the waiting period applicable under the Hart-Scott-Rodino Antitrust Improvements Act of 1976, as amended (the "HSR Act"). On March 1, 1995, and March 10, 1995, USA Waste and Chambers, respectively, filed notification reports under the HSR Act with the Federal Trade Commission and the Antitrust Division of the Department of Justice. The waiting period expired on April 9, 1995. See "The Merger and Related Transactions -- Government and Regulatory Approvals." USA Waste and Chambers are aware of no other governmental or regulatory approvals required for consummation of the Merger, other than as required to comply with applicable federal and state securities laws.</w:t>
      </w:r>
    </w:p>
    <w:p>
      <w:pPr>
        <w:spacing w:after="0" w:line="18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No Injunction Preventing Merger. Consummation of the Merger is subject to the condition that no injunction or decree by any federal or state court that prevents the consummation of the Merger shall have been issued and remain in effect. Between December 1994 and February 1995, three class action lawsuits naming Chambers and its officers and directors and USA Waste and Envirofil, Inc. ("Envirofil"), a subsidiary of USA Waste, which was originally a party to the Merger Agreement in place of Acquisition, as defendants were filed in the State of Delaware seeking an injunction to the consummation of the Merger. Counsel for the parties have engaged in settlement discussions and, based thereon, USA Waste and Chambers anticipate a definitive agreement, subject to court approval, will be finalized before the USA Waste Annual Meeting and the Chambers Special Meeting. See "Description of USA Waste -- Legal Proceedings" and "Description of Chambers -- Legal Proceedings."</w:t>
      </w:r>
    </w:p>
    <w:p>
      <w:pPr>
        <w:spacing w:after="0" w:line="190"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Other Conditions to the Merger. In addition to the approval and adoption of the Merger Agreement by the requisite votes of USA Waste shareholders and Chambers stockholders and the satisfaction of the conditions described above, the respective obligations of USA Waste and Chambers to effect the Merger are subject to the satisfaction or waiver, where permissible, of certain other conditions, including, without limitation, (i) the shares of USA Waste Common Stock issuable in the Merger shall have been authorized for listing on the NYSE, subject to official notice of issuance; (ii) receipt of letters from each of Coopers &amp; Lybrand L.L.P. and Deloitte &amp; Touche LLP, certified public accountants, to USA Waste and Chambers' respectively, with respect to certain financial information included in this Joint Proxy Statement and Prospectus;</w:t>
      </w:r>
    </w:p>
    <w:p>
      <w:pPr>
        <w:spacing w:after="0" w:line="7" w:lineRule="exact"/>
        <w:rPr>
          <w:sz w:val="20"/>
          <w:szCs w:val="20"/>
          <w:color w:val="auto"/>
        </w:rPr>
      </w:pPr>
    </w:p>
    <w:p>
      <w:pPr>
        <w:ind w:left="3" w:right="2659" w:hanging="3"/>
        <w:spacing w:after="0" w:line="258" w:lineRule="auto"/>
        <w:tabs>
          <w:tab w:leader="none" w:pos="5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lenders of USA Waste and Chambers or the refinancing of Chambers' outstanding bank indebtedness; and (iv) the opinions of the financial advisors shall not have been withdrawn. With respect to the required consents of lenders or refinancing, USA Waste and Chambers currently intend to obtain a new credit facility effective upon consummation of the Merger pursuant to which the outstanding indebtedness of each company would be refinanced. There can be no assurance that such a facility will be obtained or that all of the conditions set forth in the Merger Agreement will be satisfied. See "The Plan of Merger and Terms of the Merger -- Conditions to the Merger."</w:t>
      </w:r>
    </w:p>
    <w:p>
      <w:pPr>
        <w:sectPr>
          <w:pgSz w:w="11900" w:h="16838" w:orient="portrait"/>
          <w:cols w:equalWidth="0" w:num="1">
            <w:col w:w="10222"/>
          </w:cols>
          <w:pgMar w:left="237" w:top="295" w:right="1440" w:bottom="1440" w:gutter="0" w:footer="0" w:header="0"/>
        </w:sectPr>
      </w:pPr>
    </w:p>
    <w:p>
      <w:pPr>
        <w:spacing w:after="0" w:line="17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295" w:right="1440" w:bottom="1440" w:gutter="0" w:footer="0" w:header="0"/>
          <w:type w:val="continuous"/>
        </w:sectPr>
      </w:pPr>
    </w:p>
    <w:bookmarkStart w:id="21" w:name="page22"/>
    <w:bookmarkEnd w:id="21"/>
    <w:p>
      <w:pPr>
        <w:ind w:left="283"/>
        <w:spacing w:after="0"/>
        <w:rPr>
          <w:sz w:val="20"/>
          <w:szCs w:val="20"/>
          <w:color w:val="auto"/>
        </w:rPr>
      </w:pPr>
      <w:r>
        <w:rPr>
          <w:rFonts w:ascii="Courier New" w:cs="Courier New" w:eastAsia="Courier New" w:hAnsi="Courier New"/>
          <w:sz w:val="16"/>
          <w:szCs w:val="16"/>
          <w:color w:val="auto"/>
        </w:rPr>
        <w:t>19</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 SOLICITATION</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Merger Agreement provides that neither Chambers nor USA Waste will initiate, solicit, negotiate, encourage, or provide confidential information to facilitate, and each of Chambers and USA Waste will (i) cause any officer, director, or employee of, or any attorney, accountant, or other agent retained by it and (ii) use its reasonable best efforts to cause any financial advisor or investment banker retained by it, not to initiate, solicit, negotiate, encourage, or provide non-public or confidential information to facilitate, any proposal or offer to acquire all or any substantial part of the business and properties or any capital stock of Chambers or USA Waste. Notwithstanding the foregoing, Chambers or USA Waste may, under certain circumstances, furnish confidential or non-public information concerning its business, properties, or assets in response to an unsolicited request therefor. Chambers or USA Waste may enter into a definitive agreement for such acquisition with a potential acquiror with which it is permitted to negotiate, but only if (i) its board of directors has duly determined that such transaction would yield a materially higher value to its stockholders than the Merger and that execution of such definitive agreement is in the best interests of its stockholders, (ii) at least ten business days prior to the execution of such definitive agreement, it has furnished the other party with a copy of such definitive agreement, and (iii) such other party has failed within such ten-day period to offer to amend the terms of the Merger Agreement in order that the Merger would yield a value to such party's stockholders at least equal to the third party acquisition transaction. See "The Merger Agreement and Terms of the Merger -- No Solicitation of Acquisition Transactions."</w:t>
      </w:r>
    </w:p>
    <w:p>
      <w:pPr>
        <w:spacing w:after="0" w:line="19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TERMINATION OR AMENDMENT OF MERGER AGREEMENT</w:t>
      </w:r>
    </w:p>
    <w:p>
      <w:pPr>
        <w:spacing w:after="0" w:line="186"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Termination. The Merger Agreement may be terminated under certain circumstances, including (a) with the mutual consent of USA Waste and Chambers or (b) either by USA Waste or Chambers at any time prior to the consummation of the Merger (i) if the Merger is not completed by July 31, 1995 for reasons other than delay on the part of the party requesting termination (the "Terminating Party") or any of its 5% stockholders or any of their affiliates or associates,</w:t>
      </w:r>
    </w:p>
    <w:p>
      <w:pPr>
        <w:spacing w:after="0" w:line="4" w:lineRule="exact"/>
        <w:rPr>
          <w:sz w:val="20"/>
          <w:szCs w:val="20"/>
          <w:color w:val="auto"/>
        </w:rPr>
      </w:pPr>
    </w:p>
    <w:p>
      <w:pPr>
        <w:ind w:left="3" w:right="2659" w:hanging="3"/>
        <w:spacing w:after="0" w:line="256" w:lineRule="auto"/>
        <w:tabs>
          <w:tab w:leader="none" w:pos="47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into at the request or with the support of the Terminating Party or any of its 5% stockholders or any of their affiliates or associates, (iii) if (x) the Terminating Party receives an offer from any third party with respect to a merger, sale of substantial assets or other business combination, (y) the Board of Directors of the Terminating Party determines, in good faith and after consultation with an independent financial advisor, that such offer would yield a materially higher value for the Terminating Party or its stockholders than the Merger, and (z) the other party fails, within ten business days after notice, to match such offer, (iv) if (x) a tender offer or exchange offer is commenced by a third party for all of the outstanding shares of the Terminating Party's stock,</w:t>
      </w:r>
    </w:p>
    <w:p>
      <w:pPr>
        <w:spacing w:after="0" w:line="6" w:lineRule="exact"/>
        <w:rPr>
          <w:rFonts w:ascii="Courier New" w:cs="Courier New" w:eastAsia="Courier New" w:hAnsi="Courier New"/>
          <w:sz w:val="15"/>
          <w:szCs w:val="15"/>
          <w:color w:val="auto"/>
        </w:rPr>
      </w:pPr>
    </w:p>
    <w:p>
      <w:pPr>
        <w:ind w:left="3" w:right="2659" w:hanging="3"/>
        <w:spacing w:after="0"/>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Terminating Party determines, in good faith and after consultation with an independent financial advisor, that such offer would yield a materially higher value for the Terminating Party or its stockholders than the Merger, and (z) the other party fails, within ten business days after notice of such determination and of the terms of the offer, to match such offer; or (v) if the party other than the Terminating Party (x) fails to perform any material covenant contained in the Merger Agreement in any material respect and (y) does not so perform within 30 days after the Terminating Party delivers written notice of the alleged failure. As of the date of this Joint Proxy Statement and Prospectus, neither party has received an acquisition offer of the nature described in clause (iii) above nor is either party aware of the commencement of a tender offer or exchange offer of the nature described in clause (iv) above.</w:t>
      </w:r>
    </w:p>
    <w:p>
      <w:pPr>
        <w:spacing w:after="0" w:line="190"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Amendment. The Merger Agreement may be amended or supplemented by an instrument in writing signed on behalf of each party and in compliance with applicable law. Such amendment may occur at any time, including after the Merger Agreement has been approved by the shareholders of USA Waste and the stockholders of Chambers at the Meetings. See "The Plan of Merger and Terms of the Merger -- Termination or Amendment."</w:t>
      </w:r>
    </w:p>
    <w:p>
      <w:pPr>
        <w:spacing w:after="0" w:line="190"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Termination Fees; Expenses. Under certain circumstances, USA Waste or Chambers may be required to pay the other a fee and to reimburse the other for its expenses upon termination of the Merger Agreement. Certain expenses incurred in connection with this Joint Proxy Statement and Prospectus will be shared equally by USA Waste and Chambers. All other costs and expenses incurred in connection with the Merger Agreement and the transactions contemplated thereby shall be paid by the party incurring such expenses,</w:t>
      </w:r>
    </w:p>
    <w:p>
      <w:pPr>
        <w:sectPr>
          <w:pgSz w:w="11900" w:h="16838" w:orient="portrait"/>
          <w:cols w:equalWidth="0" w:num="1">
            <w:col w:w="10222"/>
          </w:cols>
          <w:pgMar w:left="237" w:top="295" w:right="1440" w:bottom="1440" w:gutter="0" w:footer="0" w:header="0"/>
        </w:sectPr>
      </w:pPr>
    </w:p>
    <w:p>
      <w:pPr>
        <w:spacing w:after="0" w:line="188"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295"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20</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whether or not the Merger is consummated. See "The Plan of Merger and Terms of the Merger -- Termination Fees" and " -- Expenses."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AGREEMENT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Certain of the principal shareholders of USA Waste and Chambers will enter into a Shareholders Agreement (the "Shareholders Agreement") at the Effective Time of the Merger. The Shareholders Agreement will provide, among other things, for certain matters to require the approval of a two-thirds vote of the Board of Directors and for certain members of the Rangos family, principal shareholders of Chambers ("Rangos Shareholders"), to participate in the naming of members of USA Waste's Board of Directors and Executive Committee. The Shareholders Agreement will remain in effect until the aggregate number of shares of USA Waste Common Stock beneficially held by the Rangos Shareholders and their affiliates is less than 5% of the outstanding shares of USA Waste Common Stock. Pursuant to the Shareholders Agreement, USA Waste and Messrs. Moorehead and Drury will agree to use their best efforts to cause two representatives of the Rangos Shareholders (who initially will be John G. Rangos, Sr. and Alexander W. Rangos) to be appointed as directors of USA Waste. In addition, during the term of the Shareholders Agreement, USA Waste, Messrs. Moorehead and Drury, and the Rangos Shareholders will use their best efforts to cause the Board of Directors to include at all times (in addition to the two directors designated by the Rangos Shareholders) four independent directors who are approved by at least four members of the Executive Committee of the Board of Directors. The Shareholders Agreement will also provide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 It is currently anticipated that the four independent directors to be approved by the Executive Committee will be George L. Ball, Richard J. Heckmann, William E. Moffett and Peter J. Gibbons. See "Election of USA Waste Directors -- Nominees for Election as Directors."</w:t>
      </w:r>
    </w:p>
    <w:p>
      <w:pPr>
        <w:spacing w:after="0" w:line="36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Following the Merger, John E. Drury will be Chairman of USA Waste, Donald F. Moorehead, Jr. and John G. Rangos, Sr. will become Vice Chairmen, and Alexander W. Rangos will become Executive Vice President for Landfill Development. See "The Plan of Merger and Terms of the Merger -- Conduct of the Business of the Combined Companies Following the Merger."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APPRAISAL RIGHTS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Neither Oklahoma law nor Delaware law requires that holders of USA Waste Common Stock or Chambers Common Stock or Chambers Class A Common Stock who object to the Merger and who vote against or abstain from voting in favor of the Merger be afforded any appraisal rights or the right to receive cash for their shares. Neither USA Waste nor Chambers intends to make available any such rights to its shareholders or stockholders.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ADOPTION OF THE MERGER PROPOSAL</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to the Merger proposal, shareholders of USA Waste are being asked to approve several other proposals, including an increase in authorized shares of USA Waste Common Stock from 50,000,000 to 150,000,000. Adoption of the Merger proposal is conditioned upon approval of the increase in authorized shares of USA Waste Common Stock by the USA Waste shareholders. See "-- Other Proposals to be Presented at the USA Waste Annual Meeting." Adoption of the proposal approving an increase in authorized shares is also conditioned upon approval of the Merger.</w:t>
      </w:r>
    </w:p>
    <w:p>
      <w:pPr>
        <w:spacing w:after="0" w:line="18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STOCKHOLDERS' COMPARATIVE RIGHTS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rights of stockholders of Chambers are currently governed by Delaware law, Chambers' Certificate of Incorporation, as amended, and Chambers' Bylaws, as amended. Approval of the reincorporation proposal by USA Waste shareholders will change USA Waste's domicile from Oklahoma to Delaware through a merger (the "Reincorporation Merger") of USA Waste into USA Delaware. The merger agreement governing the Reincorporation Merger permits the Board of Directors of USA Waste or USA Delaware to abandon the Reincorporation Merger. Assuming that the Reincorporation Merger is consummated, the rights</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5"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21</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of USA Waste's shareholders after the Merger (including those persons who were stockholders in Chambers prior to the Merger) will be governed by Delaware law and the Certificate of Incorporation and Bylaws of USA Delaware. If the Reincorporation Merger is not approved or is abandoned, the rights of USA Waste's shareholders after the Merger (including those persons who were stockholders in Chambers prior to the Merger) will be governed by Oklahoma law, and USA Waste's Certificate of Incorporation and USA Waste's Bylaws, as amended. In addition, all holders of USA Waste's Common Stock hold shares of a single class, whereas Chambers maintains a two class equity structure. As a result, holders of Chambers Class A Common Stock will lose their preferential dividend rights and the exclusive right to elect one-fourth of the number (or next higher whole number) of directors while participating in the election of the remaining directors; holders of Chambers Common Stock will lose their preferential voting rights upon consummation of the Merger. See "Comparative Rights of Stockholders of USA Waste and Chambers."</w:t>
      </w:r>
    </w:p>
    <w:p>
      <w:pPr>
        <w:spacing w:after="0" w:line="187"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MARKET PRICE DATA</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USA Waste Common Stock is traded on the NYSE under the symbol "UW." Prior to July 20, 1993, USA Waste Common Stock was quoted on the Nasdaq National Market ("Nasdaq"). Chambers Common Stock and Chambers Class A Common Stock are traded on the AMEX under the symbols "CDVB" and "CDVA," respectively. The following table sets forth the range of high and low closing sale prices for USA Waste Common Stock as reported on the NYSE and Chambers Common Stock and Chambers Class A Common Stock as reported on the AMEX for the calendar quarters indicated. For periods prior to July 20, 1993, prices indicated for USA Waste Common Stock reflect high and low closing sales prices as quoted on the Nasdaq.</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CHAMBERS</w:t>
            </w:r>
          </w:p>
        </w:tc>
        <w:tc>
          <w:tcPr>
            <w:tcW w:w="1180" w:type="dxa"/>
            <w:vAlign w:val="bottom"/>
          </w:tcPr>
          <w:p>
            <w:pPr>
              <w:spacing w:after="0"/>
              <w:rPr>
                <w:sz w:val="15"/>
                <w:szCs w:val="15"/>
                <w:color w:val="auto"/>
              </w:rPr>
            </w:pPr>
          </w:p>
        </w:tc>
      </w:tr>
      <w:tr>
        <w:trPr>
          <w:trHeight w:val="182"/>
        </w:trPr>
        <w:tc>
          <w:tcPr>
            <w:tcW w:w="3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CLASS A COMMON</w:t>
            </w:r>
          </w:p>
        </w:tc>
      </w:tr>
      <w:tr>
        <w:trPr>
          <w:trHeight w:val="182"/>
        </w:trPr>
        <w:tc>
          <w:tcPr>
            <w:tcW w:w="3600" w:type="dxa"/>
            <w:vAlign w:val="bottom"/>
          </w:tcPr>
          <w:p>
            <w:pPr>
              <w:spacing w:after="0"/>
              <w:rPr>
                <w:sz w:val="15"/>
                <w:szCs w:val="15"/>
                <w:color w:val="auto"/>
              </w:rPr>
            </w:pPr>
          </w:p>
        </w:tc>
        <w:tc>
          <w:tcPr>
            <w:tcW w:w="18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USA WASTE</w:t>
            </w:r>
          </w:p>
        </w:tc>
        <w:tc>
          <w:tcPr>
            <w:tcW w:w="174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COMMON STOCK</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3600" w:type="dxa"/>
            <w:vAlign w:val="bottom"/>
          </w:tcPr>
          <w:p>
            <w:pPr>
              <w:spacing w:after="0"/>
              <w:rPr>
                <w:sz w:val="15"/>
                <w:szCs w:val="15"/>
                <w:color w:val="auto"/>
              </w:rPr>
            </w:pPr>
          </w:p>
        </w:tc>
        <w:tc>
          <w:tcPr>
            <w:tcW w:w="18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HIGH</w:t>
            </w: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LOW</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HIGH</w:t>
            </w:r>
          </w:p>
        </w:tc>
        <w:tc>
          <w:tcPr>
            <w:tcW w:w="240" w:type="dxa"/>
            <w:vAlign w:val="bottom"/>
          </w:tcPr>
          <w:p>
            <w:pPr>
              <w:spacing w:after="0"/>
              <w:rPr>
                <w:sz w:val="15"/>
                <w:szCs w:val="15"/>
                <w:color w:val="auto"/>
              </w:rPr>
            </w:pPr>
          </w:p>
        </w:tc>
        <w:tc>
          <w:tcPr>
            <w:tcW w:w="4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0"/>
              </w:rPr>
              <w:t>LOW</w:t>
            </w:r>
          </w:p>
        </w:tc>
        <w:tc>
          <w:tcPr>
            <w:tcW w:w="580" w:type="dxa"/>
            <w:vAlign w:val="bottom"/>
          </w:tcPr>
          <w:p>
            <w:pPr>
              <w:spacing w:after="0"/>
              <w:rPr>
                <w:sz w:val="15"/>
                <w:szCs w:val="15"/>
                <w:color w:val="auto"/>
              </w:rPr>
            </w:pPr>
          </w:p>
        </w:tc>
        <w:tc>
          <w:tcPr>
            <w:tcW w:w="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HIGH</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LOW</w:t>
            </w:r>
          </w:p>
        </w:tc>
      </w:tr>
      <w:tr>
        <w:trPr>
          <w:trHeight w:val="182"/>
        </w:trPr>
        <w:tc>
          <w:tcPr>
            <w:tcW w:w="36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$13.25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$ 7.38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$ 4.69</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13.75</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11.75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4.81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3.13</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11.50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5.25</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5.38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9.75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$11.38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$ 5.50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5.50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$ 3.50</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13.38</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10.58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4.00</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15.13</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11.50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2.88</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2.06</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2.75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15.13</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11.00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4.25</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4.25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$12.25</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$10.13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$ 4.69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4.75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$ 3.63</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Second Quarter (through May 15)......</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11.50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5.88</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r>
    </w:tbl>
    <w:p>
      <w:pPr>
        <w:spacing w:after="0" w:line="3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25, 1994, the last trading day prior to announcement by USA Waste and Chambers that they had reached an agreement concerning the Merger, the closing sale price of USA Waste Common Stock as reported on the NYSE was $14.00 per share and the closing sale prices of Chambers Common Stock and Chambers Class A Common Stock as reported on the AMEX were $3.13 and $3.00 per share, respectively. The equivalent per share price of Chambers Common Stock and Chambers Class A Common Stock on November 25, 1994, calculated by multiplying the closing sale price of USA Waste Common Stock on the same date by the Exchange Ratio, was $5.83.</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On May 15, 1995, the closing sale price of USA Waste Common Stock as reported on the NYSE was $15.38 per share; and the closing sale prices of Chambers Common Stock and Chambers Class A Common Stock on the AMEX were $5.88 and $5.75, respectively. Following the Merger, USA Waste Common Stock will continue to be traded on the NYSE under the symbol "UW", and the listing of Chambers Common Stock and Chambers Class A Common Stock on the AMEX will be terminated.</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5" w:right="1440" w:bottom="1440" w:gutter="0" w:footer="0" w:header="0"/>
          <w:type w:val="continuous"/>
        </w:sectPr>
      </w:pPr>
    </w:p>
    <w:bookmarkStart w:id="24" w:name="page25"/>
    <w:bookmarkEnd w:id="24"/>
    <w:p>
      <w:pPr>
        <w:spacing w:after="0" w:line="26"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22</w:t>
      </w:r>
    </w:p>
    <w:p>
      <w:pPr>
        <w:spacing w:after="0" w:line="183"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SUMMARY FINANCIAL INFORMATION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86" w:lineRule="exact"/>
        <w:rPr>
          <w:sz w:val="20"/>
          <w:szCs w:val="20"/>
          <w:color w:val="auto"/>
        </w:rPr>
      </w:pPr>
    </w:p>
    <w:p>
      <w:pPr>
        <w:ind w:left="3" w:right="2740" w:firstLine="473"/>
        <w:spacing w:after="0"/>
        <w:rPr>
          <w:sz w:val="20"/>
          <w:szCs w:val="20"/>
          <w:color w:val="auto"/>
        </w:rPr>
      </w:pPr>
      <w:r>
        <w:rPr>
          <w:rFonts w:ascii="Courier New" w:cs="Courier New" w:eastAsia="Courier New" w:hAnsi="Courier New"/>
          <w:sz w:val="16"/>
          <w:szCs w:val="16"/>
          <w:color w:val="auto"/>
        </w:rPr>
        <w:t>The following summary historical consolidated financial data of USA Waste and Chambers for each of the three years in the period ended December 31, 1994, have been derived from their respective historical audited consolidated financial statements and for the three-month periods ended March 31, 1994 and 1995, have been derived from their respective historical unaudited consolidated financial statements. Such unaudited data for USA Waste include, in the opinion of USA Waste's management, and such unaudited data for Chambers include, in the opinion of Chambers' management, all adjustments necessary to present fairly the information for such periods. The historical financial data is not necessarily indicative of results to be expected after the Merger is consummated. The financial data should be read in conjunction with the separate audited consolidated financial statements and the notes thereto and with Management's Discussion and Analysis of Financial Condition and Results of Operations of USA Waste and Chambers located elsewhere herein.</w:t>
      </w:r>
    </w:p>
    <w:p>
      <w:pPr>
        <w:spacing w:after="0" w:line="18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920" w:type="dxa"/>
            <w:vAlign w:val="bottom"/>
          </w:tcPr>
          <w:p>
            <w:pPr>
              <w:jc w:val="right"/>
              <w:spacing w:after="0"/>
              <w:rPr>
                <w:sz w:val="20"/>
                <w:szCs w:val="20"/>
                <w:color w:val="auto"/>
              </w:rPr>
            </w:pPr>
            <w:r>
              <w:rPr>
                <w:rFonts w:ascii="Courier New" w:cs="Courier New" w:eastAsia="Courier New" w:hAnsi="Courier New"/>
                <w:sz w:val="16"/>
                <w:szCs w:val="16"/>
                <w:color w:val="auto"/>
              </w:rPr>
              <w:t>USA WASTE SERVICES, INC.</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w w:val="97"/>
              </w:rPr>
              <w:t>THREE MONTHS ENDED</w:t>
            </w:r>
          </w:p>
        </w:tc>
      </w:tr>
      <w:tr>
        <w:trPr>
          <w:trHeight w:val="18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5"/>
          </w:tcPr>
          <w:p>
            <w:pPr>
              <w:jc w:val="right"/>
              <w:ind w:right="641"/>
              <w:spacing w:after="0"/>
              <w:rPr>
                <w:sz w:val="20"/>
                <w:szCs w:val="20"/>
                <w:color w:val="auto"/>
              </w:rPr>
            </w:pPr>
            <w:r>
              <w:rPr>
                <w:rFonts w:ascii="Courier New" w:cs="Courier New" w:eastAsia="Courier New" w:hAnsi="Courier New"/>
                <w:sz w:val="16"/>
                <w:szCs w:val="16"/>
                <w:color w:val="auto"/>
              </w:rPr>
              <w:t>YEAR ENDED DECEMBER 31,</w:t>
            </w:r>
          </w:p>
        </w:tc>
        <w:tc>
          <w:tcPr>
            <w:tcW w:w="240" w:type="dxa"/>
            <w:vAlign w:val="bottom"/>
          </w:tcPr>
          <w:p>
            <w:pPr>
              <w:spacing w:after="0"/>
              <w:rPr>
                <w:sz w:val="15"/>
                <w:szCs w:val="15"/>
                <w:color w:val="auto"/>
              </w:rPr>
            </w:pPr>
          </w:p>
        </w:tc>
        <w:tc>
          <w:tcPr>
            <w:tcW w:w="188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49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7"/>
                <w:szCs w:val="7"/>
                <w:color w:val="auto"/>
                <w:w w:val="71"/>
              </w:rPr>
              <w: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2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2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1994</w:t>
            </w:r>
          </w:p>
        </w:tc>
        <w:tc>
          <w:tcPr>
            <w:tcW w:w="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6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STATEMENT OF OPERATIONS DATA(1):</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$ 57,049</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$ 93,753</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$176,235</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$ 38,205</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$ 46,508</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Operating......................................</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28,128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49,251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101,069</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21,915</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25,496</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General and administrative.....................</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11,612</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17,497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23,463</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5,321</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6,087</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Nonrecurring charges...........................</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6,756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923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3,782</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Depreciation and amortization..................</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5,776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10,558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18,785</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4,393</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5,408</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52,272</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78,229</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147,099</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31,629</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36,991</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Income from operations...........................</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4,777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15,524</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29,136</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6,576</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9,517</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Interest expense...............................</w:t>
            </w:r>
          </w:p>
        </w:tc>
        <w:tc>
          <w:tcPr>
            <w:tcW w:w="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(4,212)</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(6,856)</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(10,385)</w:t>
            </w:r>
          </w:p>
        </w:tc>
        <w:tc>
          <w:tcPr>
            <w:tcW w:w="2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(2,457)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(3,152)</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Interest income................................</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610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591</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116</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288</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 net.....................................</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822</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2,249</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105</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947</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(3,587)</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(4,921)</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(7,545)</w:t>
            </w:r>
          </w:p>
        </w:tc>
        <w:tc>
          <w:tcPr>
            <w:tcW w:w="2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(2,236)</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(1,917)</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Income before income taxes.......................</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1,190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10,603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21,591</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4,340</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7,600</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Income tax provision.............................</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3,955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5,413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7,760</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1,636</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2,812</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(2,765)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5,190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13,831</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2,704</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4,788</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Gain on discontinued operations, net of income</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taxes..........................................</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897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Extraordinary income from debt forgiveness, net</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of income taxes................................</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10,066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Net income.......................................</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8,198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5,190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13,831</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2,704</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4,788</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Preferred dividends..............................</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152</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565</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380</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Income available to common shareholders..........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8,046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4,608</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$ 13,266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2,324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4,788</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per</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common 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(0.20)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0.26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0.61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0.21</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Income per common 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0.54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0.26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0.61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0.21</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equivalent shares..............................</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14,878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18,056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21,842</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19,408</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23,259</w:t>
            </w:r>
          </w:p>
        </w:tc>
      </w:tr>
      <w:tr>
        <w:trPr>
          <w:trHeight w:val="182"/>
        </w:trPr>
        <w:tc>
          <w:tcPr>
            <w:tcW w:w="4920" w:type="dxa"/>
            <w:vAlign w:val="bottom"/>
          </w:tcPr>
          <w:p>
            <w:pPr>
              <w:spacing w:after="0"/>
              <w:rPr>
                <w:sz w:val="15"/>
                <w:szCs w:val="15"/>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PERIOD)(1):</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Working capital (deficit)........................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8,828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8,619</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6"/>
              </w:rPr>
              <w:t>$ 19,042</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Intangible assets, net...........................</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26,645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49,631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87,680</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88,161</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Total assets.....................................</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8"/>
              </w:rPr>
              <w:t>141,466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238,819</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323,167</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338,224</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Long-term debt, including current maturities.....</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58,505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115,174</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155,733</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169,450</w:t>
            </w:r>
          </w:p>
        </w:tc>
      </w:tr>
      <w:tr>
        <w:trPr>
          <w:trHeight w:val="182"/>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Stockholders' equity.............................</w:t>
            </w:r>
          </w:p>
        </w:tc>
        <w:tc>
          <w:tcPr>
            <w:tcW w:w="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56,677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78,081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107,986</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113,346</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740" w:hanging="463"/>
        <w:spacing w:after="0" w:line="239" w:lineRule="auto"/>
        <w:tabs>
          <w:tab w:leader="none" w:pos="36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statement of operations and balance sheet data have been restated to include certain acquisitions accounted for as poolings of interests. See Note 2 to the Consolidated Financial Statements of USA Waste, located elsewhere herein.</w:t>
      </w:r>
    </w:p>
    <w:p>
      <w:pPr>
        <w:sectPr>
          <w:pgSz w:w="11900" w:h="16864" w:orient="portrait"/>
          <w:cols w:equalWidth="0" w:num="1">
            <w:col w:w="10303"/>
          </w:cols>
          <w:pgMar w:left="237" w:top="295" w:right="1359" w:bottom="0" w:gutter="0" w:footer="0" w:header="0"/>
        </w:sectPr>
      </w:pP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9</w:t>
      </w:r>
    </w:p>
    <w:p>
      <w:pPr>
        <w:sectPr>
          <w:pgSz w:w="11900" w:h="16864" w:orient="portrait"/>
          <w:cols w:equalWidth="0" w:num="1">
            <w:col w:w="10303"/>
          </w:cols>
          <w:pgMar w:left="237" w:top="295" w:right="1359" w:bottom="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w w:val="97"/>
              </w:rPr>
              <w:t>THREE MONTHS ENDED</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0" w:type="dxa"/>
            <w:vAlign w:val="bottom"/>
            <w:gridSpan w:val="5"/>
          </w:tcPr>
          <w:p>
            <w:pPr>
              <w:jc w:val="right"/>
              <w:ind w:right="781"/>
              <w:spacing w:after="0"/>
              <w:rPr>
                <w:sz w:val="20"/>
                <w:szCs w:val="20"/>
                <w:color w:val="auto"/>
              </w:rPr>
            </w:pPr>
            <w:r>
              <w:rPr>
                <w:rFonts w:ascii="Courier New" w:cs="Courier New" w:eastAsia="Courier New" w:hAnsi="Courier New"/>
                <w:sz w:val="16"/>
                <w:szCs w:val="16"/>
                <w:color w:val="auto"/>
              </w:rPr>
              <w:t>YEAR ENDED DECEMBER 31,</w:t>
            </w:r>
          </w:p>
        </w:tc>
        <w:tc>
          <w:tcPr>
            <w:tcW w:w="280" w:type="dxa"/>
            <w:vAlign w:val="bottom"/>
          </w:tcPr>
          <w:p>
            <w:pPr>
              <w:spacing w:after="0"/>
              <w:rPr>
                <w:sz w:val="15"/>
                <w:szCs w:val="15"/>
                <w:color w:val="auto"/>
              </w:rPr>
            </w:pPr>
          </w:p>
        </w:tc>
        <w:tc>
          <w:tcPr>
            <w:tcW w:w="198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1"/>
              </w:rPr>
              <w:t>----------------------------------</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6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1992</w:t>
            </w:r>
          </w:p>
        </w:tc>
        <w:tc>
          <w:tcPr>
            <w:tcW w:w="42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1993</w:t>
            </w:r>
          </w:p>
        </w:tc>
        <w:tc>
          <w:tcPr>
            <w:tcW w:w="30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1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18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2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w w:val="98"/>
              </w:rPr>
              <w:t>(IN THOUSANDS, EXCEPT PER SHARE AMOUNTS)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$294,310</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$288,481</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$257,989</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$ 59,766</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$ 54,734</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206,761</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194,355</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179,542</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41,776</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38,442</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37,853</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23,210</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24,796</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5,356</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5,837</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38,363</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41,764</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37,568</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9,319</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7,737</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44,291</w:t>
            </w:r>
          </w:p>
        </w:tc>
        <w:tc>
          <w:tcPr>
            <w:tcW w:w="4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(11,851)</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8,863</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327,268</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247,478</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250,769</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56,451</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52,016</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(loss) from operations.................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(32,958)</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41,003</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7,220</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3,315</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2,718</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26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7"/>
              </w:rPr>
              <w:t>shareholder litigation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settlement and other litigation related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costs.....................................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(10,853)</w:t>
            </w:r>
          </w:p>
        </w:tc>
        <w:tc>
          <w:tcPr>
            <w:tcW w:w="4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(5,500)</w:t>
            </w:r>
          </w:p>
        </w:tc>
        <w:tc>
          <w:tcPr>
            <w:tcW w:w="3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(79,400)</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(31,628)</w:t>
            </w:r>
          </w:p>
        </w:tc>
        <w:tc>
          <w:tcPr>
            <w:tcW w:w="4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(29,163)</w:t>
            </w:r>
          </w:p>
        </w:tc>
        <w:tc>
          <w:tcPr>
            <w:tcW w:w="3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(23,843)</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(5,726)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(8,591)</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4,825</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2,470</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2,220</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505</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462</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1,684</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1,093</w:t>
            </w:r>
          </w:p>
        </w:tc>
        <w:tc>
          <w:tcPr>
            <w:tcW w:w="3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(372)</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167</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(35,972)</w:t>
            </w:r>
          </w:p>
        </w:tc>
        <w:tc>
          <w:tcPr>
            <w:tcW w:w="4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(31,100)</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(101,395)</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(5,166)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(7,962)</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(loss) before income taxes.............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(68,930)</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9,903</w:t>
            </w:r>
          </w:p>
        </w:tc>
        <w:tc>
          <w:tcPr>
            <w:tcW w:w="3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(94,175)</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(1,851)</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(5,244)</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tax provision (benefit)................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1,325</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1,600</w:t>
            </w:r>
          </w:p>
        </w:tc>
        <w:tc>
          <w:tcPr>
            <w:tcW w:w="3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(3,931)</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124</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(70,255)</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8,303</w:t>
            </w:r>
          </w:p>
        </w:tc>
        <w:tc>
          <w:tcPr>
            <w:tcW w:w="3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(90,244)</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(1,975)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(5,269)</w:t>
            </w: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Discontinued operations: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Loss from operations........................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(1,407)</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Gain on sale of assets......................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939</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Net income (loss).............................</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$(70,723)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8,303</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$(90,244)</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(1,975)</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(5,269)</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per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common share................................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w w:val="98"/>
              </w:rPr>
              <w:t>equivalent shares</w:t>
            </w:r>
          </w:p>
        </w:tc>
        <w:tc>
          <w:tcPr>
            <w:tcW w:w="26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66,788</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66,788</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66,789</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66,789</w:t>
            </w: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66,789</w:t>
            </w:r>
          </w:p>
        </w:tc>
      </w:tr>
      <w:tr>
        <w:trPr>
          <w:trHeight w:val="182"/>
        </w:trPr>
        <w:tc>
          <w:tcPr>
            <w:tcW w:w="1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Working capital (deficit).....................</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$ 52,631</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$ 30,067</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$(12,220)</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(8,961)</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Intangible assets, net........................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18,404</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21,995</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15,811</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15,372</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Total assets..................................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592,790</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533,622</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488,498</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476,363</w:t>
            </w: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maturities..................................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352,836</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291,551</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257,481</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247,673</w:t>
            </w:r>
          </w:p>
        </w:tc>
      </w:tr>
      <w:tr>
        <w:trPr>
          <w:trHeight w:val="182"/>
        </w:trPr>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Stockholders' equity..........................</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145,870</w:t>
            </w:r>
          </w:p>
        </w:tc>
        <w:tc>
          <w:tcPr>
            <w:tcW w:w="4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154,173</w:t>
            </w:r>
          </w:p>
        </w:tc>
        <w:tc>
          <w:tcPr>
            <w:tcW w:w="3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63,932</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58,663</w:t>
            </w:r>
          </w:p>
        </w:tc>
      </w:tr>
      <w:tr>
        <w:trPr>
          <w:trHeight w:val="546"/>
        </w:trPr>
        <w:tc>
          <w:tcPr>
            <w:tcW w:w="1800" w:type="dxa"/>
            <w:vAlign w:val="bottom"/>
          </w:tcPr>
          <w:p>
            <w:pPr>
              <w:spacing w:after="0"/>
              <w:rPr>
                <w:sz w:val="24"/>
                <w:szCs w:val="24"/>
                <w:color w:val="auto"/>
              </w:rPr>
            </w:pPr>
          </w:p>
        </w:tc>
        <w:tc>
          <w:tcPr>
            <w:tcW w:w="26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300"/>
          </w:cols>
          <w:pgMar w:left="240" w:top="295" w:right="1359" w:bottom="1440" w:gutter="0" w:footer="0" w:header="0"/>
        </w:sectPr>
      </w:pPr>
    </w:p>
    <w:bookmarkStart w:id="26" w:name="page27"/>
    <w:bookmarkEnd w:id="26"/>
    <w:p>
      <w:pPr>
        <w:ind w:left="283"/>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SUMMARY COMBINED HISTORICAL UNAUDITED PRO FORMA CONDENSED FINANCIAL INFORMATION</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following summary combined historical unaudited pro forma condensed financial information of USA Waste and Chambers gives effect to the Merger under the "pooling of interests" method of accounting as if the Merger had been consummated as of the beginning of the periods presented. This pro forma information is not necessarily indicative of the results that would have been obtained if the Merger had been consummated at the beginning of the periods presented and should not be construed as representative of future operating results, nor does it give effect to adjustments for certain nonrecurring and other items considered by USA Waste and Chambers in evaluating the Merger. For a description of such adjustments and their impact on the pro forma data, see "Supplemental Information Relating to Pro Forma Statement of Operations for the Year Ended December 31, 1994."</w:t>
      </w:r>
    </w:p>
    <w:p>
      <w:pPr>
        <w:spacing w:after="0" w:line="185"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USA WASTE AND CHAMBERS COMBINED HISTORICAL</w:t>
      </w:r>
    </w:p>
    <w:p>
      <w:pPr>
        <w:spacing w:after="0" w:line="1"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UNAUDITED PRO FORMA CONDENSED FINANCIAL INFORMATION</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w w:val="97"/>
              </w:rPr>
              <w:t>THREE MONTHS ENDED</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540" w:type="dxa"/>
            <w:vAlign w:val="bottom"/>
            <w:gridSpan w:val="4"/>
          </w:tcPr>
          <w:p>
            <w:pPr>
              <w:jc w:val="right"/>
              <w:ind w:right="861"/>
              <w:spacing w:after="0"/>
              <w:rPr>
                <w:sz w:val="20"/>
                <w:szCs w:val="20"/>
                <w:color w:val="auto"/>
              </w:rPr>
            </w:pPr>
            <w:r>
              <w:rPr>
                <w:rFonts w:ascii="Courier New" w:cs="Courier New" w:eastAsia="Courier New" w:hAnsi="Courier New"/>
                <w:sz w:val="16"/>
                <w:szCs w:val="16"/>
                <w:color w:val="auto"/>
              </w:rPr>
              <w:t>YEAR ENDED DECEMBER 31,</w:t>
            </w:r>
          </w:p>
        </w:tc>
        <w:tc>
          <w:tcPr>
            <w:tcW w:w="200" w:type="dxa"/>
            <w:vAlign w:val="bottom"/>
          </w:tcPr>
          <w:p>
            <w:pPr>
              <w:spacing w:after="0"/>
              <w:rPr>
                <w:sz w:val="15"/>
                <w:szCs w:val="15"/>
                <w:color w:val="auto"/>
              </w:rPr>
            </w:pPr>
          </w:p>
        </w:tc>
        <w:tc>
          <w:tcPr>
            <w:tcW w:w="198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8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1992</w:t>
            </w:r>
          </w:p>
        </w:tc>
        <w:tc>
          <w:tcPr>
            <w:tcW w:w="380" w:type="dxa"/>
            <w:vAlign w:val="bottom"/>
          </w:tcPr>
          <w:p>
            <w:pPr>
              <w:spacing w:after="0"/>
              <w:rPr>
                <w:sz w:val="15"/>
                <w:szCs w:val="15"/>
                <w:color w:val="auto"/>
              </w:rPr>
            </w:pPr>
          </w:p>
        </w:tc>
        <w:tc>
          <w:tcPr>
            <w:tcW w:w="9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1993</w:t>
            </w:r>
          </w:p>
        </w:tc>
        <w:tc>
          <w:tcPr>
            <w:tcW w:w="1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7"/>
              </w:rPr>
              <w:t>(IN THOUSANDS, EXCEPT PER SHARE AMOUNTS)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64"/>
        </w:trPr>
        <w:tc>
          <w:tcPr>
            <w:tcW w:w="1800" w:type="dxa"/>
            <w:vAlign w:val="bottom"/>
          </w:tcPr>
          <w:p>
            <w:pPr>
              <w:spacing w:after="0"/>
              <w:rPr>
                <w:sz w:val="20"/>
                <w:szCs w:val="20"/>
                <w:color w:val="auto"/>
              </w:rPr>
            </w:pPr>
            <w:r>
              <w:rPr>
                <w:rFonts w:ascii="Courier New" w:cs="Courier New" w:eastAsia="Courier New" w:hAnsi="Courier New"/>
                <w:sz w:val="16"/>
                <w:szCs w:val="16"/>
                <w:color w:val="auto"/>
              </w:rPr>
              <w:t>OPERATIONS DATA:</w:t>
            </w: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$351,359</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$382,234</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$434,224</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$ 97,971</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$ 101,242</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1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Operating...........................</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208,928</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217,345</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257,370</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58,232</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58,279</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75,426</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66,968</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71,500</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16,136</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17,583</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Merger costs........................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3,782</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Nonrecurring expenses...............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6,756</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923</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Unusual items -- operations.........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44,291</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1,749</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8,863</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44,139</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52,222</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56,139</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13,660</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12,980</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379,540</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339,207</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397,654</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88,028</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88,842</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Income (loss) from operations.........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(28,181)</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43,027</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36,570(1)</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9,943</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12,400</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1840" w:type="dxa"/>
            <w:vAlign w:val="bottom"/>
          </w:tcPr>
          <w:p>
            <w:pPr>
              <w:jc w:val="right"/>
              <w:ind w:right="721"/>
              <w:spacing w:after="0"/>
              <w:rPr>
                <w:sz w:val="20"/>
                <w:szCs w:val="20"/>
                <w:color w:val="auto"/>
              </w:rPr>
            </w:pPr>
            <w:r>
              <w:rPr>
                <w:rFonts w:ascii="Courier New" w:cs="Courier New" w:eastAsia="Courier New" w:hAnsi="Courier New"/>
                <w:sz w:val="16"/>
                <w:szCs w:val="16"/>
                <w:color w:val="auto"/>
                <w:w w:val="96"/>
              </w:rPr>
              <w:t>shareholder</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litigation settlement and other</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litigation related costs.........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(10,853)</w:t>
            </w:r>
          </w:p>
        </w:tc>
        <w:tc>
          <w:tcPr>
            <w:tcW w:w="3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(5,500)</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(79,400)</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(35,840)</w:t>
            </w:r>
          </w:p>
        </w:tc>
        <w:tc>
          <w:tcPr>
            <w:tcW w:w="3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(35,975)</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(34,058)</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(8,139)</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(11,724)</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5,435</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3,539</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2,641</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577</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731</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net..........................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1,699</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1,915</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1,877</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160</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1,114</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(39,559)</w:t>
            </w:r>
          </w:p>
        </w:tc>
        <w:tc>
          <w:tcPr>
            <w:tcW w:w="3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(36,021)</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(108,940)</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(7,402)</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(9,879)</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Income (loss) before income tax</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provision...........................</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(67,740)</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7,006</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(72,370)</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2,541</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2,521</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Income tax provision..................</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479</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6,018</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3,908</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1,419</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2,337</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operations..........................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$(68,219)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988</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$(76,278)(1)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1,122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operations per common share.........</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(1.60)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0.01</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(1.55)(1)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0.02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0.00</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w w:val="98"/>
              </w:rPr>
              <w:t>common equivalent</w:t>
            </w:r>
          </w:p>
        </w:tc>
        <w:tc>
          <w:tcPr>
            <w:tcW w:w="1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42,707</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45,885</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49,671</w:t>
            </w:r>
          </w:p>
        </w:tc>
        <w:tc>
          <w:tcPr>
            <w:tcW w:w="20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47,237</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51,088</w:t>
            </w:r>
          </w:p>
        </w:tc>
      </w:tr>
      <w:tr>
        <w:trPr>
          <w:trHeight w:val="182"/>
        </w:trPr>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BALANCE SHEET DATA (AT END OF PERIOD):</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Working capital (deficit).............</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(6,101)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10,081</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Intangible assets, net................</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93,416</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93,458</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Total assets..........................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785,616</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787,091</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maturities..........................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410,714</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417,123</w:t>
            </w:r>
          </w:p>
        </w:tc>
      </w:tr>
      <w:tr>
        <w:trPr>
          <w:trHeight w:val="182"/>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Stockholders' equity..................</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164,349</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165,105</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759" w:hanging="463"/>
        <w:spacing w:after="0" w:line="238" w:lineRule="auto"/>
        <w:tabs>
          <w:tab w:leader="none" w:pos="3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"Supplemental Information Relating to Pro Forma Statement of Operations for the Year Ended December 31, 1994" for the effect of adjustments for certain nonrecurring and other items.</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2"/>
          </w:cols>
          <w:pgMar w:left="237" w:top="295" w:right="1440" w:bottom="701"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INFORMATION RELATING TO PRO FORMA STATEMENT OF OPERATIONS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combined historical unaudited pro forma condensed financial information for the year ended December 31, 1994 included elsewhere herein gives effect to certain pro forma adjustments as described in the notes to such information. In evaluating the Merger, the respective managements of USA Waste and Chambers considered the impact of certain cost and expense savings and other economic benefits that are expected to be realized as a result of the Merger. These adjustments do not include additional cost reductions relating to landfill and collection operations or additional revenues that may result from volume or price increases.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Application of the supplemental adjustments described below to the combined historical unaudited pro forma statement of operations for the year ended December 31, 1994 would result in the following (in thousands, except per share amount):</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$434,224</w:t>
            </w:r>
          </w:p>
        </w:tc>
      </w:tr>
      <w:tr>
        <w:trPr>
          <w:trHeight w:val="182"/>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w w:val="99"/>
              </w:rPr>
              <w:t>Income from operations....................................................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69,097</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6000" w:type="dxa"/>
            <w:vAlign w:val="bottom"/>
          </w:tcPr>
          <w:p>
            <w:pPr>
              <w:ind w:left="60"/>
              <w:spacing w:after="0"/>
              <w:rPr>
                <w:sz w:val="20"/>
                <w:szCs w:val="20"/>
                <w:color w:val="auto"/>
              </w:rPr>
            </w:pPr>
            <w:r>
              <w:rPr>
                <w:rFonts w:ascii="Courier New" w:cs="Courier New" w:eastAsia="Courier New" w:hAnsi="Courier New"/>
                <w:sz w:val="16"/>
                <w:szCs w:val="16"/>
                <w:color w:val="auto"/>
                <w:w w:val="99"/>
              </w:rPr>
              <w:t>continuing operations.........................................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36,976</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6000" w:type="dxa"/>
            <w:vAlign w:val="bottom"/>
          </w:tcPr>
          <w:p>
            <w:pPr>
              <w:ind w:left="60"/>
              <w:spacing w:after="0"/>
              <w:rPr>
                <w:sz w:val="20"/>
                <w:szCs w:val="20"/>
                <w:color w:val="auto"/>
              </w:rPr>
            </w:pPr>
            <w:r>
              <w:rPr>
                <w:rFonts w:ascii="Courier New" w:cs="Courier New" w:eastAsia="Courier New" w:hAnsi="Courier New"/>
                <w:sz w:val="16"/>
                <w:szCs w:val="16"/>
                <w:color w:val="auto"/>
                <w:w w:val="99"/>
              </w:rPr>
              <w:t>continuing operations per common share........................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0.73</w:t>
            </w:r>
          </w:p>
        </w:tc>
      </w:tr>
    </w:tbl>
    <w:p>
      <w:pPr>
        <w:spacing w:after="0" w:line="36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adjustments to the pro forma financial information give effect to the following:</w:t>
      </w:r>
    </w:p>
    <w:p>
      <w:pPr>
        <w:spacing w:after="0" w:line="188" w:lineRule="exact"/>
        <w:rPr>
          <w:sz w:val="20"/>
          <w:szCs w:val="20"/>
          <w:color w:val="auto"/>
        </w:rPr>
      </w:pPr>
    </w:p>
    <w:p>
      <w:pPr>
        <w:ind w:left="560" w:right="2759" w:hanging="90"/>
        <w:spacing w:after="0" w:line="239" w:lineRule="auto"/>
        <w:tabs>
          <w:tab w:leader="none" w:pos="65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cost savings and efficiencies of approximately $16 million that may have been achieved if the combination of USA Waste and Chambers had occurred as of January 1, 1994. These cost savings and efficiencies are directly attributable or related to the Merger and are expected to have a continuing impact on the combined company.</w:t>
      </w:r>
    </w:p>
    <w:p>
      <w:pPr>
        <w:spacing w:after="0" w:line="188" w:lineRule="exact"/>
        <w:rPr>
          <w:rFonts w:ascii="Courier New" w:cs="Courier New" w:eastAsia="Courier New" w:hAnsi="Courier New"/>
          <w:sz w:val="16"/>
          <w:szCs w:val="16"/>
          <w:color w:val="auto"/>
        </w:rPr>
      </w:pPr>
    </w:p>
    <w:p>
      <w:pPr>
        <w:ind w:left="560" w:right="2659" w:hanging="90"/>
        <w:spacing w:after="0" w:line="237" w:lineRule="auto"/>
        <w:tabs>
          <w:tab w:leader="none" w:pos="65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shareholder litigation settlement and other litigation related costs of approximately $79.4 million.</w:t>
      </w:r>
    </w:p>
    <w:p>
      <w:pPr>
        <w:spacing w:after="0" w:line="369" w:lineRule="exact"/>
        <w:rPr>
          <w:rFonts w:ascii="Courier New" w:cs="Courier New" w:eastAsia="Courier New" w:hAnsi="Courier New"/>
          <w:sz w:val="16"/>
          <w:szCs w:val="16"/>
          <w:color w:val="auto"/>
        </w:rPr>
      </w:pPr>
    </w:p>
    <w:p>
      <w:pPr>
        <w:ind w:left="560" w:right="3039" w:hanging="90"/>
        <w:spacing w:after="0" w:line="267" w:lineRule="auto"/>
        <w:tabs>
          <w:tab w:leader="none" w:pos="65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approximately $3.8 million in costs incurred in connection with the merger of USA Waste and Envirofil on May 27, 1994.</w:t>
      </w:r>
    </w:p>
    <w:p>
      <w:pPr>
        <w:spacing w:after="0" w:line="349" w:lineRule="exact"/>
        <w:rPr>
          <w:rFonts w:ascii="Courier New" w:cs="Courier New" w:eastAsia="Courier New" w:hAnsi="Courier New"/>
          <w:sz w:val="15"/>
          <w:szCs w:val="15"/>
          <w:color w:val="auto"/>
        </w:rPr>
      </w:pPr>
    </w:p>
    <w:p>
      <w:pPr>
        <w:ind w:left="560" w:right="2659" w:hanging="90"/>
        <w:spacing w:after="0" w:line="239" w:lineRule="auto"/>
        <w:tabs>
          <w:tab w:leader="none" w:pos="65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(i) interest expense as a result of the assumed reduction in long-term debt offset by additional interest expense on the $79.4 million shareholder litigation settlement and other litigation related costs, (ii) interest income as a result of using available cash and investment balances to reduce outstanding debt, and (iii) letter of credit fees and interest costs due to the enhanced credit terms that are expected to be available to the combined company.</w:t>
      </w:r>
    </w:p>
    <w:p>
      <w:pPr>
        <w:spacing w:after="0" w:line="191" w:lineRule="exact"/>
        <w:rPr>
          <w:rFonts w:ascii="Courier New" w:cs="Courier New" w:eastAsia="Courier New" w:hAnsi="Courier New"/>
          <w:sz w:val="16"/>
          <w:szCs w:val="16"/>
          <w:color w:val="auto"/>
        </w:rPr>
      </w:pPr>
    </w:p>
    <w:p>
      <w:pPr>
        <w:ind w:left="560" w:right="2659" w:hanging="90"/>
        <w:spacing w:after="0" w:line="237" w:lineRule="auto"/>
        <w:tabs>
          <w:tab w:leader="none" w:pos="65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in Chambers' operations of approximately $12.7 million.</w:t>
      </w:r>
    </w:p>
    <w:p>
      <w:pPr>
        <w:spacing w:after="0" w:line="187" w:lineRule="exact"/>
        <w:rPr>
          <w:rFonts w:ascii="Courier New" w:cs="Courier New" w:eastAsia="Courier New" w:hAnsi="Courier New"/>
          <w:sz w:val="16"/>
          <w:szCs w:val="16"/>
          <w:color w:val="auto"/>
        </w:rPr>
      </w:pPr>
    </w:p>
    <w:p>
      <w:pPr>
        <w:ind w:left="560" w:right="2839" w:hanging="90"/>
        <w:spacing w:after="0" w:line="267" w:lineRule="auto"/>
        <w:tabs>
          <w:tab w:leader="none" w:pos="65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the provision for income taxes to reflect the benefit from expected utilization of the Chambers' net operating loss carryforwards.</w:t>
      </w:r>
    </w:p>
    <w:p>
      <w:pPr>
        <w:spacing w:after="0" w:line="1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of January 1, 1995, USA Waste changed the useful life of the excess of cost over net assets of acquired businesses from 25 years to 40 years to more appropriately reflect the estimated periods during which the benefit of the assets will be realized. This change in accounting estimate is expected to have the effect of reducing amortization expense by approximately $1,350,000 in 1995 on a combined basis.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UNAUDITED PER SHARE DATA</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following table sets forth (a) the historical income (loss) from continuing operations per common share and the historical book value per share of USA Waste Common Stock; (b) the historical income (loss) from continuing operations per common share and the historical book value per share of Chambers Common Stock and Chambers Class A Common Stock; (c) the combined historical unaudited pro forma income (loss) from continuing operations per common share and the unaudited pro forma book value per share data of USA Waste Common Stock after giving effect to the Merger on a pooling of interests basis with Chambers; and (d) the Chambers equivalent combined historical unaudited pro forma income (loss) from continuing operations per common share and the unaudited pro forma book value per share attributable to .41667 of a share of USA Waste Common Stock that will be received by Chambers stockholders for each share of Chambers Common Stock and Chambers Class A Common Stock. The information presented in the table should be read in conjunction with the combined historical unaudited pro forma financial statements and the</w:t>
      </w:r>
    </w:p>
    <w:p>
      <w:pPr>
        <w:sectPr>
          <w:pgSz w:w="11900" w:h="16838" w:orient="portrait"/>
          <w:cols w:equalWidth="0" w:num="1">
            <w:col w:w="10219"/>
          </w:cols>
          <w:pgMar w:left="240" w:top="295" w:right="1440" w:bottom="701"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5" w:right="1440" w:bottom="701" w:gutter="0" w:footer="0" w:header="0"/>
          <w:type w:val="continuous"/>
        </w:sectPr>
      </w:pPr>
    </w:p>
    <w:bookmarkStart w:id="28" w:name="page29"/>
    <w:bookmarkEnd w:id="28"/>
    <w:p>
      <w:pPr>
        <w:ind w:left="283"/>
        <w:spacing w:after="0"/>
        <w:rPr>
          <w:sz w:val="20"/>
          <w:szCs w:val="20"/>
          <w:color w:val="auto"/>
        </w:rPr>
      </w:pPr>
      <w:r>
        <w:rPr>
          <w:rFonts w:ascii="Courier New" w:cs="Courier New" w:eastAsia="Courier New" w:hAnsi="Courier New"/>
          <w:sz w:val="16"/>
          <w:szCs w:val="16"/>
          <w:color w:val="auto"/>
        </w:rPr>
        <w:t>26</w:t>
      </w:r>
    </w:p>
    <w:p>
      <w:pPr>
        <w:spacing w:after="0" w:line="186" w:lineRule="exact"/>
        <w:rPr>
          <w:sz w:val="20"/>
          <w:szCs w:val="20"/>
          <w:color w:val="auto"/>
        </w:rPr>
      </w:pPr>
    </w:p>
    <w:p>
      <w:pPr>
        <w:ind w:left="3" w:right="2759"/>
        <w:spacing w:after="0" w:line="262" w:lineRule="auto"/>
        <w:rPr>
          <w:sz w:val="20"/>
          <w:szCs w:val="20"/>
          <w:color w:val="auto"/>
        </w:rPr>
      </w:pPr>
      <w:r>
        <w:rPr>
          <w:rFonts w:ascii="Courier New" w:cs="Courier New" w:eastAsia="Courier New" w:hAnsi="Courier New"/>
          <w:sz w:val="15"/>
          <w:szCs w:val="15"/>
          <w:color w:val="auto"/>
        </w:rPr>
        <w:t>separate historical consolidated financial statements of USA Waste and Chambers and the notes thereto appearing elsewhere herein. See "USA Waste and Chambers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CHAMBERS</w:t>
            </w:r>
          </w:p>
        </w:tc>
      </w:tr>
      <w:tr>
        <w:trPr>
          <w:trHeight w:val="182"/>
        </w:trPr>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0" w:type="dxa"/>
            <w:vAlign w:val="bottom"/>
          </w:tcPr>
          <w:p>
            <w:pPr>
              <w:jc w:val="center"/>
              <w:ind w:left="1"/>
              <w:spacing w:after="0"/>
              <w:rPr>
                <w:sz w:val="20"/>
                <w:szCs w:val="20"/>
                <w:color w:val="auto"/>
              </w:rPr>
            </w:pPr>
            <w:r>
              <w:rPr>
                <w:rFonts w:ascii="Courier New" w:cs="Courier New" w:eastAsia="Courier New" w:hAnsi="Courier New"/>
                <w:sz w:val="16"/>
                <w:szCs w:val="16"/>
                <w:color w:val="auto"/>
              </w:rPr>
              <w:t>USA</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WASTE</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CHAMBERS</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COMBINED</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EQUIVALENT</w:t>
            </w:r>
          </w:p>
        </w:tc>
      </w:tr>
      <w:tr>
        <w:trPr>
          <w:trHeight w:val="182"/>
        </w:trPr>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1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920" w:type="dxa"/>
            <w:vAlign w:val="bottom"/>
            <w:gridSpan w:val="4"/>
          </w:tcPr>
          <w:p>
            <w:pPr>
              <w:spacing w:after="0"/>
              <w:rPr>
                <w:sz w:val="20"/>
                <w:szCs w:val="20"/>
                <w:color w:val="auto"/>
              </w:rPr>
            </w:pPr>
            <w:r>
              <w:rPr>
                <w:rFonts w:ascii="Courier New" w:cs="Courier New" w:eastAsia="Courier New" w:hAnsi="Courier New"/>
                <w:sz w:val="16"/>
                <w:szCs w:val="16"/>
                <w:color w:val="auto"/>
              </w:rPr>
              <w:t>Income (loss) from continuing operations per common</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share:</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92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Three months ended March 31, 1995.............</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$(0.08)</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$ 0.00</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$ 0.00</w:t>
            </w:r>
          </w:p>
        </w:tc>
      </w:tr>
      <w:tr>
        <w:trPr>
          <w:trHeight w:val="182"/>
        </w:trPr>
        <w:tc>
          <w:tcPr>
            <w:tcW w:w="492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Years ended December 31:</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1040" w:type="dxa"/>
            <w:vAlign w:val="bottom"/>
          </w:tcPr>
          <w:p>
            <w:pPr>
              <w:ind w:left="660"/>
              <w:spacing w:after="0"/>
              <w:rPr>
                <w:sz w:val="20"/>
                <w:szCs w:val="20"/>
                <w:color w:val="auto"/>
              </w:rPr>
            </w:pPr>
            <w:r>
              <w:rPr>
                <w:rFonts w:ascii="Courier New" w:cs="Courier New" w:eastAsia="Courier New" w:hAnsi="Courier New"/>
                <w:sz w:val="16"/>
                <w:szCs w:val="16"/>
                <w:color w:val="auto"/>
                <w:w w:val="93"/>
              </w:rPr>
              <w:t>1994</w:t>
            </w:r>
          </w:p>
        </w:tc>
        <w:tc>
          <w:tcPr>
            <w:tcW w:w="620" w:type="dxa"/>
            <w:vAlign w:val="bottom"/>
            <w:gridSpan w:val="2"/>
          </w:tcPr>
          <w:p>
            <w:pPr>
              <w:spacing w:after="0"/>
              <w:rPr>
                <w:sz w:val="20"/>
                <w:szCs w:val="20"/>
                <w:color w:val="auto"/>
              </w:rPr>
            </w:pPr>
            <w:r>
              <w:rPr>
                <w:rFonts w:ascii="Courier New" w:cs="Courier New" w:eastAsia="Courier New" w:hAnsi="Courier New"/>
                <w:sz w:val="3"/>
                <w:szCs w:val="3"/>
                <w:color w:val="auto"/>
                <w:w w:val="83"/>
              </w:rPr>
              <w:t>........................................</w:t>
            </w:r>
          </w:p>
        </w:tc>
        <w:tc>
          <w:tcPr>
            <w:tcW w:w="3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0.61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(1.55)(1)</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(0.65)</w:t>
            </w:r>
          </w:p>
        </w:tc>
      </w:tr>
      <w:tr>
        <w:trPr>
          <w:trHeight w:val="182"/>
        </w:trPr>
        <w:tc>
          <w:tcPr>
            <w:tcW w:w="1040" w:type="dxa"/>
            <w:vAlign w:val="bottom"/>
          </w:tcPr>
          <w:p>
            <w:pPr>
              <w:ind w:left="660"/>
              <w:spacing w:after="0"/>
              <w:rPr>
                <w:sz w:val="20"/>
                <w:szCs w:val="20"/>
                <w:color w:val="auto"/>
              </w:rPr>
            </w:pPr>
            <w:r>
              <w:rPr>
                <w:rFonts w:ascii="Courier New" w:cs="Courier New" w:eastAsia="Courier New" w:hAnsi="Courier New"/>
                <w:sz w:val="16"/>
                <w:szCs w:val="16"/>
                <w:color w:val="auto"/>
                <w:w w:val="93"/>
              </w:rPr>
              <w:t>1993</w:t>
            </w:r>
          </w:p>
        </w:tc>
        <w:tc>
          <w:tcPr>
            <w:tcW w:w="620" w:type="dxa"/>
            <w:vAlign w:val="bottom"/>
            <w:gridSpan w:val="2"/>
          </w:tcPr>
          <w:p>
            <w:pPr>
              <w:spacing w:after="0"/>
              <w:rPr>
                <w:sz w:val="20"/>
                <w:szCs w:val="20"/>
                <w:color w:val="auto"/>
              </w:rPr>
            </w:pPr>
            <w:r>
              <w:rPr>
                <w:rFonts w:ascii="Courier New" w:cs="Courier New" w:eastAsia="Courier New" w:hAnsi="Courier New"/>
                <w:sz w:val="3"/>
                <w:szCs w:val="3"/>
                <w:color w:val="auto"/>
                <w:w w:val="83"/>
              </w:rPr>
              <w:t>........................................</w:t>
            </w:r>
          </w:p>
        </w:tc>
        <w:tc>
          <w:tcPr>
            <w:tcW w:w="3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0.01</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0.00</w:t>
            </w:r>
          </w:p>
        </w:tc>
      </w:tr>
      <w:tr>
        <w:trPr>
          <w:trHeight w:val="182"/>
        </w:trPr>
        <w:tc>
          <w:tcPr>
            <w:tcW w:w="1040" w:type="dxa"/>
            <w:vAlign w:val="bottom"/>
          </w:tcPr>
          <w:p>
            <w:pPr>
              <w:ind w:left="660"/>
              <w:spacing w:after="0"/>
              <w:rPr>
                <w:sz w:val="20"/>
                <w:szCs w:val="20"/>
                <w:color w:val="auto"/>
              </w:rPr>
            </w:pPr>
            <w:r>
              <w:rPr>
                <w:rFonts w:ascii="Courier New" w:cs="Courier New" w:eastAsia="Courier New" w:hAnsi="Courier New"/>
                <w:sz w:val="16"/>
                <w:szCs w:val="16"/>
                <w:color w:val="auto"/>
                <w:w w:val="93"/>
              </w:rPr>
              <w:t>1992</w:t>
            </w:r>
          </w:p>
        </w:tc>
        <w:tc>
          <w:tcPr>
            <w:tcW w:w="620" w:type="dxa"/>
            <w:vAlign w:val="bottom"/>
            <w:gridSpan w:val="2"/>
          </w:tcPr>
          <w:p>
            <w:pPr>
              <w:spacing w:after="0"/>
              <w:rPr>
                <w:sz w:val="20"/>
                <w:szCs w:val="20"/>
                <w:color w:val="auto"/>
              </w:rPr>
            </w:pPr>
            <w:r>
              <w:rPr>
                <w:rFonts w:ascii="Courier New" w:cs="Courier New" w:eastAsia="Courier New" w:hAnsi="Courier New"/>
                <w:sz w:val="3"/>
                <w:szCs w:val="3"/>
                <w:color w:val="auto"/>
                <w:w w:val="83"/>
              </w:rPr>
              <w:t>........................................</w:t>
            </w:r>
          </w:p>
        </w:tc>
        <w:tc>
          <w:tcPr>
            <w:tcW w:w="3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(0.20)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(1.60)</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(0.67)</w:t>
            </w:r>
          </w:p>
        </w:tc>
      </w:tr>
      <w:tr>
        <w:trPr>
          <w:trHeight w:val="182"/>
        </w:trPr>
        <w:tc>
          <w:tcPr>
            <w:tcW w:w="4920" w:type="dxa"/>
            <w:vAlign w:val="bottom"/>
            <w:gridSpan w:val="4"/>
          </w:tcPr>
          <w:p>
            <w:pPr>
              <w:spacing w:after="0"/>
              <w:rPr>
                <w:sz w:val="20"/>
                <w:szCs w:val="20"/>
                <w:color w:val="auto"/>
              </w:rPr>
            </w:pPr>
            <w:r>
              <w:rPr>
                <w:rFonts w:ascii="Courier New" w:cs="Courier New" w:eastAsia="Courier New" w:hAnsi="Courier New"/>
                <w:sz w:val="16"/>
                <w:szCs w:val="16"/>
                <w:color w:val="auto"/>
              </w:rPr>
              <w:t>Book value per share:</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1040" w:type="dxa"/>
            <w:vAlign w:val="bottom"/>
          </w:tcPr>
          <w:p>
            <w:pPr>
              <w:ind w:left="460"/>
              <w:spacing w:after="0"/>
              <w:rPr>
                <w:sz w:val="20"/>
                <w:szCs w:val="20"/>
                <w:color w:val="auto"/>
              </w:rPr>
            </w:pPr>
            <w:r>
              <w:rPr>
                <w:rFonts w:ascii="Courier New" w:cs="Courier New" w:eastAsia="Courier New" w:hAnsi="Courier New"/>
                <w:sz w:val="16"/>
                <w:szCs w:val="16"/>
                <w:color w:val="auto"/>
              </w:rPr>
              <w:t>March</w:t>
            </w:r>
          </w:p>
        </w:tc>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31,</w:t>
            </w:r>
          </w:p>
        </w:tc>
        <w:tc>
          <w:tcPr>
            <w:tcW w:w="36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1995................................</w:t>
            </w:r>
          </w:p>
        </w:tc>
        <w:tc>
          <w:tcPr>
            <w:tcW w:w="38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0.88</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3.27</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1.36</w:t>
            </w:r>
          </w:p>
        </w:tc>
      </w:tr>
      <w:tr>
        <w:trPr>
          <w:trHeight w:val="182"/>
        </w:trPr>
        <w:tc>
          <w:tcPr>
            <w:tcW w:w="13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31,</w:t>
            </w:r>
          </w:p>
        </w:tc>
        <w:tc>
          <w:tcPr>
            <w:tcW w:w="3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1994.............................</w:t>
            </w:r>
          </w:p>
        </w:tc>
        <w:tc>
          <w:tcPr>
            <w:tcW w:w="38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0.96</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3.26</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1.36</w:t>
            </w:r>
          </w:p>
        </w:tc>
      </w:tr>
    </w:tbl>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839" w:hanging="463"/>
        <w:spacing w:after="0" w:line="239" w:lineRule="auto"/>
        <w:tabs>
          <w:tab w:leader="none" w:pos="46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give effect to adjustments for certain nonrecurring and other items described elsewhere herein. See "Supplemental Information Relating to Pro Forma Statement of Operations for the Year Ended December 31, 1994." If such adjustments were applied to the combined pro forma information reflected above, income from continuing operations per common share for the year ended December 31, 1994 would have been $0.73.</w:t>
      </w:r>
    </w:p>
    <w:p>
      <w:pPr>
        <w:spacing w:after="0" w:line="186"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OTHER PROPOSALS TO BE PRESENTED AT THE USA WASTE ANNUAL MEETING</w:t>
      </w:r>
    </w:p>
    <w:p>
      <w:pPr>
        <w:spacing w:after="0" w:line="186" w:lineRule="exact"/>
        <w:rPr>
          <w:sz w:val="20"/>
          <w:szCs w:val="20"/>
          <w:color w:val="auto"/>
        </w:rPr>
      </w:pPr>
    </w:p>
    <w:p>
      <w:pPr>
        <w:ind w:left="3" w:right="3039" w:firstLine="473"/>
        <w:spacing w:after="0" w:line="237" w:lineRule="auto"/>
        <w:rPr>
          <w:sz w:val="20"/>
          <w:szCs w:val="20"/>
          <w:color w:val="auto"/>
        </w:rPr>
      </w:pPr>
      <w:r>
        <w:rPr>
          <w:rFonts w:ascii="Courier New" w:cs="Courier New" w:eastAsia="Courier New" w:hAnsi="Courier New"/>
          <w:sz w:val="16"/>
          <w:szCs w:val="16"/>
          <w:color w:val="auto"/>
        </w:rPr>
        <w:t>At the USA Waste Annual Meeting, shareholders of USA Waste will also be asked to consider and act upon the following proposals:</w:t>
      </w:r>
    </w:p>
    <w:p>
      <w:pPr>
        <w:spacing w:after="0" w:line="188" w:lineRule="exact"/>
        <w:rPr>
          <w:sz w:val="20"/>
          <w:szCs w:val="20"/>
          <w:color w:val="auto"/>
        </w:rPr>
      </w:pPr>
    </w:p>
    <w:p>
      <w:pPr>
        <w:ind w:left="3" w:right="2659" w:firstLine="473"/>
        <w:spacing w:after="0" w:line="258" w:lineRule="auto"/>
        <w:rPr>
          <w:sz w:val="20"/>
          <w:szCs w:val="20"/>
          <w:color w:val="auto"/>
        </w:rPr>
      </w:pPr>
      <w:r>
        <w:rPr>
          <w:rFonts w:ascii="Courier New" w:cs="Courier New" w:eastAsia="Courier New" w:hAnsi="Courier New"/>
          <w:sz w:val="15"/>
          <w:szCs w:val="15"/>
          <w:color w:val="auto"/>
        </w:rPr>
        <w:t>Proposal No. 2. To elect nine members to the Board of Directors of USA Waste for the ensuing year; provided, however, that if the Merger is approved, upon consummation of the Merger, four members of such Board will resign and four new members currently serving on the Chambers Board of Directors will fill such vacancies. See "Election of USA Waste Directors -- Nominees for Election as Directors". THE BOARD OF DIRECTORS OF USA WASTE UNANIMOUSLY RECOMMENDS THAT THE SHAREHOLDERS OF USA WASTE VOTE FOR THE NOMINEES FOR DIRECTORS DESCRIBED HEREIN.</w:t>
      </w:r>
    </w:p>
    <w:p>
      <w:pPr>
        <w:spacing w:after="0" w:line="176"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Proposal No. 3. To approve a change in the domicile of USA Waste from Oklahoma to Delaware (the "Reincorporation") by means of a merger of USA Waste into USA Delaware. THE BOARD OF DIRECTORS OF USA WASTE UNANIMOUSLY RECOMMENDS THAT THE SHAREHOLDERS OF USA WASTE VOTE FOR THE REINCORPORATION.</w:t>
      </w:r>
    </w:p>
    <w:p>
      <w:pPr>
        <w:spacing w:after="0" w:line="187"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Proposal No. 4. To approve an amendment to the Certificate of Incorporation of USA Waste that provides (i) for a classified Board of Directors consisting of three classes, as nearly equal in number as possible; (ii) for vacancies in the Board of Directors to be filled by a majority vote of directors then in office; (iii) for removal of directors with or without cause only by the affirmative vote of either a majority of the Board of Directors or holders of at least 66 2/3% of USA Waste's outstanding voting shares; and (iv) that the foregoing provisions may be amended, altered or repealed only by the affirmative vote of the holders of at least 66 2/3% of USA Waste's outstanding voting shares (collectively, the "Board Classification Proposals"). THE BOARD OF DIRECTORS OF USA WASTE UNANIMOUSLY RECOMMENDS THAT THE SHAREHOLDERS OF USA WASTE VOTE FOR THE BOARD CLASSIFICATION PROPOSALS.</w:t>
      </w:r>
    </w:p>
    <w:p>
      <w:pPr>
        <w:spacing w:after="0" w:line="189"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Proposal No. 5. To approve an amendment to the Certificate of Incorporation of USA Waste to increase the number of authorized shares of USA Waste Common Stock from 50,000,000 shares to 150,000,000 shares. THE BOARD OF DIRECTORS OF USA WASTE UNANIMOUSLY RECOMMENDS THAT THE SHAREHOLDERS OF USA WASTE VOTE FOR THE INCREASE IN AUTHORIZED SHARES.</w:t>
      </w:r>
    </w:p>
    <w:p>
      <w:pPr>
        <w:spacing w:after="0" w:line="189"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Proposal No. 6. To approve an amendment to the 1993 Stock Incentive Plan of USA Waste to increase the aggregate number of shares of USA Waste Common Stock that may be issued under such Plan from 1,000,000 to 4,000,000. THE BOARD OF DIRECTORS OF USA WASTE UNANIMOUSLY RECOMMENDS THAT THE SHAREHOLDERS OF USA WASTE VOTE FOR THE INCREASE.</w:t>
      </w:r>
    </w:p>
    <w:p>
      <w:pPr>
        <w:spacing w:after="0" w:line="189"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Proposal No. 7. To ratify the appointment of Coopers &amp; Lybrand L.L.P. as certified public accountants to audit USA Waste's financial statements for fiscal 1995. See "Ratification of Appointment of Auditors." THE BOARD OF DIRECTORS OF USA WASTE UNANIMOUSLY RECOMMENDS THAT THE SHAREHOLDERS OF USA WASTE VOTE FOR THE RATIFICATION OF THE APPOINTMENT OF COOPERS &amp; LYBRAND L.L.P.</w:t>
      </w:r>
    </w:p>
    <w:p>
      <w:pPr>
        <w:sectPr>
          <w:pgSz w:w="11900" w:h="16838" w:orient="portrait"/>
          <w:cols w:equalWidth="0" w:num="1">
            <w:col w:w="10222"/>
          </w:cols>
          <w:pgMar w:left="237" w:top="295" w:right="1440" w:bottom="155" w:gutter="0" w:footer="0" w:header="0"/>
        </w:sectPr>
      </w:pPr>
    </w:p>
    <w:p>
      <w:pPr>
        <w:spacing w:after="0" w:line="18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295" w:right="1440" w:bottom="155"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addition to the other information set forth in this Joint Proxy Statement and Prospectus, the following factors should be considered by the USA Waste shareholders and the Chambers stockholders before voting on the proposals herein.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RELIANCE ON FUTURE ACQUISITIONS FOR GROWTH</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Waste's strategy envisions that a significant part of its future growth will come from businesses yet to be acquired. There can be no assurance that USA Waste will be able to successfully identify suitable acquisition candidates, successfully negotiate the acquisition of such businesses, or obtain any necessary financing.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ON USE OF NET OPERATING LOSS CARRYFORWARDS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After consummation of the Merger, USA Waste intends to utilize Chambers' net operating loss carryforwards to offset future income for tax purposes. USA Waste and Chambers believe that there will be no "ownership change" within the meaning of Section 382 of the Code in connection with the Merger; however, there can be no assurance in this matter. Furthermore, the Merger will result in a significant shift among Chambers' 5% stockholders, which increases the risk that utilization of the net operating loss carryforwards may be limited on an annual basis in the future. If an ownership change is deemed to have occurred in connection with the Merger, or in the future, the ability of the combined companies to utilize net operating loss carryforwards may be subject to yearly limitations. See "The Merger and Related Transactions -- Net Operating Loss Carryforwards."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 DEGREE OF LEVERAGE</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After the Merger, USA Waste will have a substantial amount of debt in its capital structure. The long-term debt of the combined entity on a pro forma basis as of March 31, 1995 would have been $417.1 million. Future unforeseen events may prevent USA Waste from fulfilling its obligations under its various debt agreements or may limit USA Waste's ability to incur additional indebtedness. See "Management's Discussion and Analysis of USA Waste's Financial Condition and Results of Operations -- Liquidity and Capital Resources."</w:t>
      </w:r>
    </w:p>
    <w:p>
      <w:pPr>
        <w:spacing w:after="0" w:line="358"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6"/>
          <w:szCs w:val="16"/>
          <w:color w:val="auto"/>
        </w:rPr>
        <w:t>POTENTIAL FOR ADDITIONAL CLAIMS IN CONNECTION WITH CHAMBERS SHAREHOLDER LITIGATION</w:t>
      </w:r>
    </w:p>
    <w:p>
      <w:pPr>
        <w:spacing w:after="0" w:line="200" w:lineRule="exact"/>
        <w:rPr>
          <w:sz w:val="20"/>
          <w:szCs w:val="20"/>
          <w:color w:val="auto"/>
        </w:rPr>
      </w:pPr>
    </w:p>
    <w:p>
      <w:pPr>
        <w:spacing w:after="0" w:line="35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1992, Chambers and its affiliates became defendants in a number of federal and state lawsuits arising from an announcement of a change in Chambers' accounting method in March 1992 and a subsequent $362 million reduction in retained earnings as of December 31, 1991. Chambers and shareholder representatives have executed definitive agreements providing for the settlement and dismissal of the shareholder litigation and the payment of up to $85.9 million by Chambers. The court has granted preliminary approval of the settlements and a hearing upon the fairness, reasonableness and adequacy of the proposed settlements has been scheduled for May 19, 1995. In connection with the settlement proceedings, certain potential class members purporting to represent an aggregate of approximately 678,000 shares of Chambers stock have requested exclusion from the settlement. Requests for exclusion by potential class members representing such shares would give Chambers defendants, as well as Grant Thornton (which previously served as Chambers' accounting firm), the right to withdraw from the settlement. Potential class members who are excluded from the settlement will not be foreclosed by such settlement from pursuing any claims they may have against Chambers or others, including Grant Thornton. In addition, in the event the Grant Thornton defendants elect to withdraw from the settlement, Grant Thornton would not be foreclosed from making claims over against Chambers for damages it has incurred or may incur in the future as a result of any claims against it or otherwise in connection with the subject matter of the settlement, subject, however, to the operation of the bar orders and judgment reduction provisions provided for in the shareholder litigation settlement agreements, as described in "Description of Chambers -- Legal Proceedings." USA Waste's obligation to consummate the Merger is conditioned upon the shareholder litigation having been fully and irrevocably settled on certain</w:t>
      </w:r>
    </w:p>
    <w:p>
      <w:pPr>
        <w:sectPr>
          <w:pgSz w:w="11900" w:h="16838" w:orient="portrait"/>
          <w:cols w:equalWidth="0" w:num="1">
            <w:col w:w="10219"/>
          </w:cols>
          <w:pgMar w:left="240" w:top="295" w:right="1440" w:bottom="1440" w:gutter="0" w:footer="0" w:header="0"/>
        </w:sectPr>
      </w:pPr>
    </w:p>
    <w:p>
      <w:pPr>
        <w:spacing w:after="0" w:line="3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5"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28</w:t>
      </w:r>
    </w:p>
    <w:p>
      <w:pPr>
        <w:spacing w:after="0" w:line="368"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terms referenced therein or on terms otherwise satisfactory to USA Waste. Accordingly, there can be no assurance that the Merger condition relating to the shareholder litigation will be satisfied. In the event USA Waste's Board of Directors determines to go forward with the Merger notwithstanding the exclusion of certain potential class members or a withdrawal by Grant Thornton, or both, the condition to the Merger with respect to the Chambers shareholder litigation will have been satisfied and the Merger may proceed accordingly. In such event, Chambers, which following the Merger would be a wholly owned subsidiary of USA Waste, could be subject to future claims by the excluded shareholders and Grant Thornton. See "Description of Chambers -- Legal Proceedings."</w:t>
      </w:r>
    </w:p>
    <w:p>
      <w:pPr>
        <w:spacing w:after="0" w:line="35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OPERATIONS COULD BE ADVERSELY AFFECTED BY GOVERNMENT REGULATION AND POTENTIAL LITIGATION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operations are subject to, and substantially affected by, extensive federal, state and local laws, regulations, orders, and permits, which govern environmental protection, health and safety, zoning and other matters. These regulations may impose restrictions on USA Waste's operations that could limit or reduce USA Waste's revenues and earnings, such as limiting the expansion of disposal facilities, limiting or banning the disposal of out-of-state waste or certain categories of waste, or mandating the disposal of local refuse. Because of heightened public concern, companies in the waste management services business, including USA Waste, in the normal course of business may be expected to become subject to judicial and administrative proceedings involving federal, state or local agencies. These governmental agencies may seek to impose fines on USA Waste or to revoke or deny renewal of USA Waste's operating permits or licenses for violations of environmental laws or regulations or to require USA Waste to remediate environmental problems at its sites relating to waste disposed of by USA Waste or its predecessors, or resulting from its transportation and collection operations, all of which could have a material adverse effect on USA Waste. USA Waste may also be subject to actions brought by individuals or community groups in connection with the permitting or licensing of its operations, any alleged violations of such permits and licenses, or other matters. See "Description of USA Waste -- Regulation."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FOR ENVIRONMENTAL DAMAGE</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USA Waste is subject to liability for any environmental damage its landfills, transfer stations, and collection operations may cause to adjacent landowners, particularly as a result of the contamination of drinking water sources or the soil, including damage resulting from conditions existing prior to the acquisition of such operations by USA Waste. Subsequent to the Merger, USA Waste may be subject to liability for such conditions or events associated with Chambers or Chambers' assets and operations. USA Waste may also be subject to liability for any off-site environmental contamination caused by pollutants or hazardous substances whose transportation, treatment, or disposal was arranged for by USA Waste, Chambers or their predecessors. If USA Waste were to incur a substantial liability for environmental damage, its financial condition could be materially adversely affected. See "Description of USA Waste -- Regulation."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MAY BE AFFECTED BY COMPETITION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is characterized by two large national waste management companies as well as numerous local and regional companies of varying sizes and financial resources. The largest national waste management companies have significantly greater financial resources than USA Waste. In addition, many municipalities operate collection and disposal operations. Competition may also be affected by the increasing national emphasis on recycling, composting, incineration, and other waste reduction programs that could reduce the volume of refuse and garbage collected or deposited in landfills. See "Description of USA Waste -- Competition."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BENEFITS OF COMBINED BUSINESS MAY NOT BE ACHIEVED</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There can be no assurance that the expected benefits of the Merger relative to the combined business as described under "The Merger and Related Transactions -- USA Waste's Reasons for the Merger" will be achieved.</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5" w:right="1440" w:bottom="1440"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RATIO WILL NOT REFLECT ANY CHANGE IN STOCK PRICES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relative stock prices of the USA Waste Common Stock and the Chambers Common Stock and Chambers Class A Common Stock at the Effective Time may vary significantly from the prices as of the date of execution of the Merger Agreement or the date hereof or the date on which stockholders vote on the Merger due to, among other factors, changes in the business, operations and prospects of USA Waste or Chambers, market assessments of the likelihood that the Merger will be consummated and the timing thereof and general market and economic conditions. The Exchange Ratio is fixed and will not be adjusted based on changes in the relative stock prices of the USA Waste Common Stock and the Chambers Common Stock and Chambers Class A Common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EXISTING FINANCING REQUIREMENTS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Chambers' existing credit facilities require Chambers to reduce the amounts outstanding thereunder by December 31, 1995. However, Chambers must incur additional indebtedness in order to be able to pay the cost of the settlement of certain federal class and derivative actions. If the Merger becomes effective, Chambers anticipates that the combined company will be able to refinance the outstanding indebtedness and enable it to make the payments which are required. However, if the Merger does not become effective, there can be no assurance that Chambers will be able to refinance its outstanding indebtedness and make the payments which are required by the litigation settlement without significant dilution to the stockholders of Chambers. See "Management's Discussion and Analysis of Chambers' Financial Condition and Results of Operations -- Liquidity and Capital Resources -- Credit Facilities and Refinancing."</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5"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30</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MEETINGS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TIME, AND PLACE OF THE MEETINGS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USA Waste Annual Meeting will be held at 2:00 p.m., Dallas, Texas time, on June 27, 1995, at The Grand Kempinski -- Dallas Hotel, 15201 Dallas Parkway, Dallas, Texas. The Chambers Special Meeting will be held at 10:00 a.m., Dallas, Texas time, on June 27, 1995, at The Grand Kempinski-Dallas Hotel, 15201 Dallas Parkway, Dallas, Texas.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MEETINGS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purposes of the USA Waste Annual Meeting are to consider and act upon the following proposals: (i) to approve and adopt the Merger Agreement, (ii) to elect nine members to the USA Waste Board of Directors, (iii) to approve the Reincorporation, (iv) to approve the Board Classification Proposals, (v) to approve an increase in authorized shares of USA Waste Common Stock from 50,000,000 shares to 150,000,000 shares or (vi) to increase the number of shares that may be issued under the USA Waste 1993 Stock Incentive Plan and (vii) to ratify the appointment of Coopers &amp; Lybrand L.L.P. as independent auditors of USA Waste for the year ending December 31, 1995. Any other proper business may be transacted at the USA Waste Annual Meeting or any adjournments thereof. USA Waste shareholder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19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sole purpose of the Chambers Special Meeting is to consider and act upon a proposal to approve and adopt the Merger Agreement.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AND OUTSTANDING SHARES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Only holders of record of USA Waste Common Stock, and holders of record of Chambers Common Stock and Chambers Class A Common Stock at the close of business on the Record Date are entitled to notice of, and to vote at, the USA Waste Annual Meeting and the Chambers Special Meeting, respectively.</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 the Record Date, there were 858 holders of record of USA Waste Common Stock with 22,967,256 shares of USA Waste Common Stock issued and outstanding. Each share of USA Waste Common Stock entitles the holder thereof to one vote on each matter submitted for shareholder approval. See "Principal Stockholders of USA Waste and Chambers" for information regarding persons known to management of USA Waste to be the beneficial owners of more than 5% of the outstanding USA Waste Common Stock.</w:t>
      </w:r>
    </w:p>
    <w:p>
      <w:pPr>
        <w:spacing w:after="0" w:line="37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the Record Date, there were 521 holders of record of Chambers Common Stock and 3,400 holders of record of Chambers Class A Common Stock with 15,439,668 shares and 51,349,459 shares, respectively, issued and outstanding. Each share of Chambers Common Stock entitles the holder thereof to ten votes on each matter submitted for stockholder approval and each share of Chambers Class A Common Stock entitles the holder to one vote on each matter submitted for stockholder approval. Shares of Chambers Common Stock and Chambers Class A Common Stock vote together as one class. See "Principal Stockholders of USA Waste and Chambers" for information regarding persons known to management of Chambers to be the beneficial owners of more than 5% of the outstanding Chambers Common Stock or Chambers Class A Common Stock.</w:t>
      </w:r>
    </w:p>
    <w:p>
      <w:pPr>
        <w:spacing w:after="0" w:line="37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a share is represented for any purpose at a Meeting, it is deemed to be present for all other matters. Abstentions and shares held of record by a broker or its nominee ("Broker Shares") that are voted on any matter are included in determining the number of votes present. Broker Shares that are not voted on any matter will not be included in determining whether a quorum is present. In all cases, shares with respect to which authority to vote is withheld, abstentions, and Broker Shares, which are not voted, will not be included in determining the number of votes cast.</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5"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AND REVOCATION OF PROXIES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All properly executed proxies that are not revoked will be voted at the USA Waste Annual Meeting and the Chambers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(ii) election of the USA Waste Board's nominees for directors, (iii) approval of the Reincorporation, (iv) approval of the Board Classification Proposals, (v) approval of an increase in the number of authorized shares of USA Waste Common Stock from 50,000,000 to 150,000,000, (vi) approval of an increase in the number of shares of USA Waste Common Stock that may be issued under the USA Waste 1993 Stock Incentive Plan from 1,000,000 to 4,000,000 and (vii) ratification of the appointment of Coopers &amp; Lybrand L.L.P. as USA Waste's independent auditors. If a holder of Chambers Common Stock or Chambers Class A Common Stock executes and returns a proxy and does not specify otherwise, the shares represented by such proxy will be voted FOR approval and adoption of the Merger Agreement in accordance with the recommendation of the Board of Directors of Chambers. A shareholder of USA Waste or a stockholder of Chambers who has executed and returned a proxy may revoke it at any time before it is voted at the respective meeting by (a) executing and returning a proxy bearing a later date, (b) filing a written notice of such revocation with the Secretary of USA Waste or Chambers, as appropriate, stating that the proxy is revoked, or (c) attending the meeting and voting in person. Neither Oklahoma law nor Delaware law requires that holders of USA Waste Common Stock or Chambers Common Stock or Chambers Class A Common Stock who object to the Merger and who vote against or abstain from voting in favor of the Merger be afforded any appraisal rights or the right to receive cash for their shares. Neither USA Waste nor Chambers intends to make available any such rights to its shareholders or stockholders.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 FOR APPROVAL</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USA Waste's Bylaws provide that the presence at the USA Waste Annual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Annual Meeting provided that the total vote cast on the proposal represents over 50% in interest of all shares entitled to vote on the proposal. At the close of business on the Record Date, there were 22,967,256 shares of USA Waste Common Stock outstanding and entitled to vote at the USA Waste Annual Meeting. On the Record Date, the directors and officers of USA Waste and their affiliates held 2,958,558 shares of USA Waste Common Stock, representing approximately 12.9% of the outstanding shares. Such persons have indicated to USA Waste that they intend to vote their shares in favor of the Merger and the other proposals described under "-- Purpose of the Meetings" above. See "Election of USA Waste Directors -- Beneficial Ownership of USA Waste Common Stock."</w:t>
      </w:r>
    </w:p>
    <w:p>
      <w:pPr>
        <w:spacing w:after="0" w:line="193"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Under Oklahoma law, the Reincorporation (Proposal No. 3) and the amendments to USA Waste's Certificate of Incorporation (Proposal Nos. 4 and 5) require the affirmative vote of the holders of a majority of the shares of USA Waste Common Stock outstanding on the Record Date, or 11,483,629 votes.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With respect to the election of USA Waste directors (Proposal No. 2), assuming the Board Classification Proposals are approved, the three nominees in each class receiving the highest number of affirmative votes will be elected to the Board of Directors of USA Waste. If the Board Classification Proposals are not approved, the nine nominees receiving the highest number of affirmative votes will be elected to the Board. Proxies given to the persons named in the USA Waste form of proxy will be voted FOR the election of the nominees listed under Election of USA Waste Directors unless authority to vote is withheld. With respect to the election of directors, should any of the USA Waste nominees become unavailable, the proxies will be voted for the remainder of the listed USA Waste nominees and for such other USA Waste nominees as may be designated by the Board of Directors of USA Waste as replacements for those who become unavailable. Discretionary authority for such replacement is included in the proxy. This Joint Proxy Statement and Prospectus also constitutes the annual report to security holders of USA Waste.</w:t>
      </w:r>
    </w:p>
    <w:p>
      <w:pPr>
        <w:sectPr>
          <w:pgSz w:w="11900" w:h="16838" w:orient="portrait"/>
          <w:cols w:equalWidth="0" w:num="1">
            <w:col w:w="10219"/>
          </w:cols>
          <w:pgMar w:left="240" w:top="295" w:right="1440" w:bottom="1440"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5"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32</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amendment of the USA Waste 1993 Stock Incentive Plan (Proposal No. 6) and the ratification of the appointment of Coopers &amp; Lybrand L.L.P. (Proposal No. 7) require the affirmative vote of the holders of a majority of the shares of USA Waste Common Stock present or represented by proxy and entitled to vote at the USA Waste Annual Meeting.</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Chambers. The presence at the Chambers Special Meeting, in person or by proxy, of holders of the issued and outstanding shares of Chambers Common Stock and Chambers Class A Common Stock entitled to vote and representing a majority for the voting power of Chambers will constitute a quorum for the transaction of business. At the close of business on the Record Date, there were 15,439,668 shares of Chambers Common Stock (each of which is entitled to ten votes per share) and 51,349,459 shares of Chambers Class A Common Stock (each of which is entitled to one vote per share), outstanding and entitled to vote at the Chambers Special Meeting. Pursuant to Delaware law and the provisions of the Certificate of Incorporation of Chambers, approval and adoption of the Merger Agreement requires the affirmative vote of the holders of a majority of the shares of Chambers Common Stock and Chambers Class A Common Stock outstanding on the Record Date, voting as a single class, or approximately 102,873,070 votes. On the Record Date, the directors and officers of Chambers and their affiliates held 13,478,850 shares of Chambers Common Stock and 11,706,980 shares of Class A Common Stock, representing approximately 71.2% of the outstanding voting power. Such persons have indicated to Chambers that they intend to vote their shares in favor of the Merger Agreement. The affirmative vote of such persons would be sufficient to approve the Merger Agreement. See "Principal Stockholders of USA Waste and Chambers." This Joint Proxy Statement and Prospectus also constitutes the annual report to security holders of Chambers.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 OF PROXIES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addition to solicitation by mail, the directors, officers, and employees of each of USA Waste and Chambers may solicit proxies from their respective stockholders by personal interview, telephone, telegram, facsimile, or otherwise. USA Waste and Chambers will each bear the costs of the solicitation of proxies from their respective stockholders, except that USA Waste and Chambers will share equally the cost of printing this Joint Proxy Statement and Prospectus. In addition, USA Waste has engaged Corporate Investor Communications, Inc., a proxy solicitation firm, to assist in the solicitation of proxies of USA Waste shareholders. USA Waste will pay for costs and expenses in connection with the solicitation by such firm which are anticipated to be $25,000. Arrangements will be made with brokerage firms and other custodians, nominees, and fiduciaries who hold the voting securities of record for the forwarding of solicitation materials to the beneficial owners thereof. USA Waste and Chambers will reimburse brokers, custodians, nominees, and fiduciaries for the reasonable out-of-pocket expenses incurred by them in connection therewith.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At the date of this Joint Proxy Statement and Prospectus, the Boards of Directors of USA Waste and Chambers do not know of any business to be presented at their respective meetings other than as set forth in the notices accompanying this Joint Proxy Statement and Prospectus. Under Delaware law, no other matters may come before the Chambers Special Meeting. If any other matter should properly come before the USA Waste Annual Meeting, it is intended that the shares represented by proxies will be voted with respect to such matters in accordance with the judgment of the persons voting such proxies.</w:t>
      </w:r>
    </w:p>
    <w:p>
      <w:pPr>
        <w:spacing w:after="0" w:line="172"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THE MERGER AND RELATED TRANSACTIONS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detailed terms and conditions to the consummation of the Merger are contained in the Merger Agreement, which is attached hereto as Appendix A and incorporated herein by reference. The following discussion sets forth a description of certain material terms and conditions of the Merger Agreement. The description in this Joint Proxy Statement and Prospectus of the terms and conditions to the consummation of the Merger is qualified in its entirety by reference to the Merger Agreement.</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5"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DESCRIPTION OF THE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Merger Agreement provides that, at the Effective Time, Acquisition will merge with and into Chambers, whereupon Chambers will become a wholly owned subsidiary of USA Waste and each outstanding share of Chambers Common Stock and Chambers Class A Common Stock will be converted into .41667 of a share of USA Waste Common Stock.</w:t>
      </w:r>
    </w:p>
    <w:p>
      <w:pPr>
        <w:spacing w:after="0" w:line="189" w:lineRule="exact"/>
        <w:rPr>
          <w:sz w:val="20"/>
          <w:szCs w:val="20"/>
          <w:color w:val="auto"/>
        </w:rPr>
      </w:pPr>
    </w:p>
    <w:p>
      <w:pPr>
        <w:ind w:right="3039" w:firstLine="473"/>
        <w:spacing w:after="0" w:line="258" w:lineRule="auto"/>
        <w:rPr>
          <w:sz w:val="20"/>
          <w:szCs w:val="20"/>
          <w:color w:val="auto"/>
        </w:rPr>
      </w:pPr>
      <w:r>
        <w:rPr>
          <w:rFonts w:ascii="Courier New" w:cs="Courier New" w:eastAsia="Courier New" w:hAnsi="Courier New"/>
          <w:sz w:val="15"/>
          <w:szCs w:val="15"/>
          <w:color w:val="auto"/>
        </w:rPr>
        <w:t>Based upon the number of shares of USA Waste Common Stock and Chambers Common Stock and Chambers Class A Common Stock outstanding as of the Record Date, approximately 50.8 million shares of USA Waste Common Stock will be outstanding immediately following the Effective Time, of which approximately 27.8 million shares, representing 54.8% of the total, will be held by former holders of Chambers Common Stock and Chambers Class A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An initial meeting between management of USA Waste and Chambers occurred in mid-1993. At that time, USA Waste was pursuing as a part of its strategy the expansion of its waste management services through selective acquisitions of waste management operations that complemented existing operations or otherwise contributed to USA Waste's participation in the consolidation trend within the solid waste management industry. Chambers, on the other hand, was implementing a strategic program to increase cash flow and asset utilization by maximizing waste flow volumes into its existing network of landfill operations and to divest operations that were geographically removed from its core operations in the Mid-Atlantic region. On September 30, 1993, following meetings taking place during the summer and early fall of 1993, USA Waste purchased Chambers hauling and landfill operations in Indiana. While in the process of completing this transaction, the principal officers of Chambers and USA Waste became familiar with the respective business philosophies and operational strategies of each company. In early 1994, officers of Chambers and USA Waste held additional discussions with respect to the potential purchase by USA Waste of other operations of Chambers targeted for divestiture. During these discussions, the trend toward consolidation of the solid waste industry and existing industry conditions were topics addressed, with the representatives of Chambers and USA Waste expressing similar views on the strategic direction of the industry. Throughout this period, USA Waste was also engaged in pursuing other acquisition opportunities and in January 1994 announced its acquisition of Envirofil. Upon this announcement, discussions between USA Waste and Chambers were discontinued.</w:t>
      </w:r>
    </w:p>
    <w:p>
      <w:pPr>
        <w:spacing w:after="0" w:line="180"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In connection with its strategic plan to increase utilization of existing landfills, Chambers held several discussions during 1993 with Attwoods, PLC ("Attwoods"). Attwoods maintained a major hauling presence in the Florida and Maryland regions, and these discussions focused on long-term agreements for waste disposal by Attwoods into Chambers' sites in Okeechobee County, Florida and Amelia and Charles City Counties, Virginia. In addition, the respective officers of Attwoods and Chambers discussed various strategic "fits" between Chambers and Attwoods. On September 18, 1994, Browning-Ferris Industries, Inc. ("BFI") announced a hostile tender offer for all of Attwoods issued and outstanding shares. Given the proximity of Chambers' disposal capacity to Attwoods' hauling operations, Chambers was approached by various solid waste industry participants, including USA Waste, during this period with respect to potential competing offers for Attwoods.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At the time of the initial meeting between USA Waste and Chambers, Chambers had been engaged in shareholder class action litigation precipitated by the revision in March 1992 of Chambers' financial results for prior periods and the ensuing decline in market value of Chambers Common Stock and Chambers Class A Common Stock. The core strategic program being implemented by Chambers at that time was in accordance with a restructuring of Chambers' financing arrangements in 1992 following instigation of the class action litigation. The restructured financing agreements entered into in 1992 and the pendency of the class action litigation had the effect of substantially restricting Chambers' capital resources and its access to capital markets. Chambers sought further restructuring and extension of its financing agreements throughout 1994 with the objective of reaching agreement with its lenders during the third quarter of 1994. Efforts were also undertaken to resolve the litigation with the class action plaintiffs throughout 1994, and were intensified during</w:t>
      </w:r>
    </w:p>
    <w:p>
      <w:pPr>
        <w:sectPr>
          <w:pgSz w:w="11900" w:h="16838" w:orient="portrait"/>
          <w:cols w:equalWidth="0" w:num="1">
            <w:col w:w="10219"/>
          </w:cols>
          <w:pgMar w:left="240" w:top="295" w:right="1440" w:bottom="1440"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5" w:right="1440" w:bottom="144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34</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early September 1994. At that time Chambers believed that the direction of its divestiture program, coupled with operating cash flow improvements and refinancing alternatives, created the potential to fund an acceptable settlement.</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During October 1994, the negotiations for a restructuring and extension of Chambers' financing agreements resulted in the request by the lending groups for increased financing fees during 1995 and 1996 and for the grant, for nominal consideration, of options covering 4% of Chambers' issued and outstanding equity in each of October 1995 and April 1996, unless replacement financing had been obtained. Chambers' simultaneous discussions with new financing sources indicated that replacement financing would require the resolution of the litigation issues, the payment of high-yield interest rates upon replacement borrowings, and the issuance by Chambers of equity on a preferred basis to new financing sources which would be dilutive to Chambers' existing stockholders.</w:t>
      </w:r>
    </w:p>
    <w:p>
      <w:pPr>
        <w:spacing w:after="0" w:line="174"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October 13, 1994, Alexander W. Rangos, President and Chief Operating Officer, and William Rodgers, Jr., Senior Vice President and Chief Financial Officer, as representatives of Chambers, met with John E. Drury, Chief Executive Officer, and David Sutherland-Yoest, President and Chief Operating Officer, as representatives of USA Waste. The meeting initially provided an opportunity for the respective executives to become acquainted and to discuss industry conditions and general business and operational philosophies. Chambers' interest in providing disposal capacity for the operations of Attwoods in the Florida and Maryland markets and the potential participation by Chambers in joint ventures or other arrangements with Attwoods were also discussed in conjunction with the status of the hostile tender offer made by BFI for the acquisition of Attwoods. The nature of the contingent liabilities of Chambers relating to shareholder litigation was also generally discussed. The meeting concluded with a general expression of interest from the respective companies in exploring the potential for a business combination or other affiliation.</w:t>
      </w:r>
    </w:p>
    <w:p>
      <w:pPr>
        <w:spacing w:after="0" w:line="181"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Following the October 13 meeting, Chambers and USA Waste entered into a confidentiality agreement, executed on October 18, 1994, with respect to the exchange of financial and operational information for purposes of evaluating a potential merger transaction. USA Waste made clear that a final settlement of the shareholder litigation would be necessary for it to consider seriously any kind of affiliation with Chambers. During these discussions, Chambers and USA Waste also explored a potential joint transaction with Attwoods. In early November 1994, Chambers and USA Waste recognized the need to accelerate discussions with respect to a business combination if the parties intended to consider a transaction with Attwoods, as the hostile tender offer made by BFI for Attwoods was scheduled to close on December 2, 1994.</w:t>
      </w:r>
    </w:p>
    <w:p>
      <w:pPr>
        <w:spacing w:after="0" w:line="36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November 1994, USA Waste engaged DLJ and Kidder, Peabody &amp; Co. Incorporated ("Kidder, Peabody") to act as its financial advisors with respect to the possible acquisition of Chambers and subsequently executed an engagement letter with DLJ and Kidder, Peabody on November 30, 1994. J.P. Morgan had initially been retained as a financial advisor to Chambers by retention agreement of August 6, 1992, and thereafter assisted Chambers in the divestiture of its security services business in December 1992. Subsequently, J.P. Morgan was retained to serve as Chambers' financial advisor under a letter agreement of March 10, 1993, with the scope of services to include assistance with respect to potential settlement of the shareholder litigation and advice with respect to any sale, merger, consolidation or similar transaction. By an engagement letter dated November 17, 1994, the prior retention agreement between J.P. Morgan and Chambers was modified to address the negotiation of a potential merger or similar transaction with USA Waste. Although DLJ and J.P. Morgan were present at numerous meetings that took place in November 1994 between USA Waste and Chambers, neither financial advisor was actively involved in the negotiations of the terms of the Merger or in the determination of the Exchange Ratio except with respect to the fairness opinions to be delivered by DLJ and J.P. Morgan. J.P. Morgan made a preliminary presentation to the Board of Directors of Chambers on November 26, 1994. At such meeting, representatives of J.P. Morgan presented to the Board of Directors their preliminary analysis with respect to the valuation of Chambers and their initial analysis of the Merger and other strategic alternatives. J.P. Morgan had performed the following analyses: (i) an analysis of the combined company, (ii) a contribution analysis, (iii) a comparison of historical stock price performance, (iv) a discounted cash flow valuation analysis and (v) a comparison with selected publicly traded companies, each as more fully described below under "-- Opinion of Financial Advisor to Chambers." J.P. Morgan's initial conclusion, subject to completion of due diligence, was that the combined</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5"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35</w:t>
      </w:r>
    </w:p>
    <w:p>
      <w:pPr>
        <w:spacing w:after="0" w:line="186" w:lineRule="exact"/>
        <w:rPr>
          <w:sz w:val="20"/>
          <w:szCs w:val="20"/>
          <w:color w:val="auto"/>
        </w:rPr>
      </w:pPr>
    </w:p>
    <w:p>
      <w:pPr>
        <w:ind w:right="2839"/>
        <w:spacing w:after="0" w:line="259" w:lineRule="auto"/>
        <w:rPr>
          <w:sz w:val="20"/>
          <w:szCs w:val="20"/>
          <w:color w:val="auto"/>
        </w:rPr>
      </w:pPr>
      <w:r>
        <w:rPr>
          <w:rFonts w:ascii="Courier New" w:cs="Courier New" w:eastAsia="Courier New" w:hAnsi="Courier New"/>
          <w:sz w:val="15"/>
          <w:szCs w:val="15"/>
          <w:color w:val="auto"/>
        </w:rPr>
        <w:t>value of a merger exceeded the stand alone value of Chambers. After completion of the due diligence and analyses described under "-- Opinion of Financial Advisor to Chambers," such initial conclusion was unchanged. In addition, DLJ and J.P. Morgan made presentations to the Board of Directors of USA Waste and Chambers, respectively, on December 19, 1994, as described below.</w:t>
      </w:r>
    </w:p>
    <w:p>
      <w:pPr>
        <w:spacing w:after="0" w:line="174"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Chambers achieved conceptual resolution on the settlement of the shareholder class action and related litigation on November 8, 1994, with the Board of Directors approving the terms and conditions, subject to final documentation, on November 9, 1994. Memoranda of Understanding with respect to the settlement of the class action and related litigation were ultimately executed on November 18, 1994.</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13, 1994, representatives of USA Waste and Chambers met in Austin, Texas to further discuss a merger transaction. This meeting included Alexander W. Rangos and Peter V. Morse, Senior Vice President of Marketing and Development of Chambers, and Donald F. Moorehead, Jr., John E. Drury and David Sutherland-Yoest of USA Waste. Discussions between these parties continued on November 14. A subsequent meeting was held on November 17 in Dallas which involved Messrs. Alexander W. Rangos and Rodgers, accompanied by representatives of Chambers' financial advisor, and Messrs. Moorehead, Drury and Earl E. DeFrates. On Monday, November 22, 1994, negotiations were continued in Pittsburgh, Pennsylvania with respect to various legal, accounting, structuring and valuation issues. Messrs. John G. Rangos, Sr., John G. Rangos, Jr., Alexander W. Rangos, Rodgers and Morse of Chambers were present at various times during the negotiations, together with Chambers' legal and financial advisors. Messrs. Moorehead and DeFrates of USA Waste attended these negotiations, together with USA Waste's legal and financial advisors. Thereafter, with the exception of Thanksgiving Day, discussions with respect to valuation and structuring of a merger of Chambers and USA Waste were held continuously through November 28, 1994.</w:t>
      </w:r>
    </w:p>
    <w:p>
      <w:pPr>
        <w:spacing w:after="0" w:line="19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During such discussions the Exchange Ratio was determined through arms' length negotiations which involved exchanges of views concerning the business, operations, financial position, strategic goals and future prospects of each of USA Waste and Chambers as well as the relative contribution of each company to the combined entity and the relative ownership of the combined entity by the current USA Waste shareholders and the Chambers stockholders, respectively. The Exchange Ratio was calculated based on agreed upon relative per share values of the USA Waste and Chambers common shares. Initially, the parties negotiated a "collar" such that the Exchange Ratio would be adjusted downward in the event that the average market price of USA Waste Common Stock over a certain ten-day period preceding the closing date of the Merger (the "Average Market Price") exceeded $18.00 per share or would be adjusted upward in the event that the Average Market Price was less than $10.80 per share. The parties also negotiated a provision permitting USA Waste to terminate the Merger Agreement in the event that the Average Market Price fell below $9.60 per share. As described below, the collar and the termination provision were subsequently eliminated.</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28, 1994, the respective Boards of Directors of USA Waste and Chambers considered and approved the Merger Agreement and the Merger Agreement was executed on such date. Simultaneous discussions were held during this period among representatives of USA Waste, Chambers and Attwoods with respect to a possible affiliation in the event that BFI's hostile tender offer, which was to expire on December 2, 1994, was unsuccessful. In their negotiations, Chambers and USA Waste initially considered the effect of a combination of the two companies as well as a combination of both with Attwoods, concluding that a USA Waste and Chambers transaction was desirable irrespective of the Attwoods possibility. On December 2, 1994, BFI announced the successful completion of its tender offer for Attwoods.</w:t>
      </w:r>
    </w:p>
    <w:p>
      <w:pPr>
        <w:spacing w:after="0" w:line="189"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Simultaneously with the execution of the Merger Agreement, the members of the Rangos family (John G. Rangos, Sr., John G. Rangos, Jr. and Alexander W. Rangos), the controlling stockholders of Chambers who held stock representing approximately 70% of the outstanding voting rights, and certain stockholders of USA Waste (Donald F. Moorehead, Jr. and John E. Drury) who held approximately 11% of USA Waste's stock, gave proxies to the other company permitting it to vote the stock held and controlled by them in favor of the Merger Agreement in the event that a competing offer for either company was made. Each of the proxies subsequently expired and has not been renewed. As noted above in "The Meetings -- Vote Required for Approval," all of these stockholders have indicated their intention to vote in favor of the Merger Agreement.</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5"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36</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terms of the Merger Agreement each party had the right to terminate the Merger Agreement if, within 21 days after the date of the Merger Agreement, its Board of Directors (a) did not receive an opinion from its financial advisor that the Exchange Ratio or the consideration to be received by the Chambers stockholders was fair, from a financial point of view, to the party's shareholders or stockholders, (b) reasonably determined that the representations and warranties of the other party were not true and correct in any material respect, (c) reasonably determined, after consultation with its accountant, that the Merger would not qualify as a "pooling of interests" transaction, or (d) reasonably determined that all required governmental approvals could not be obtained prior to the closing date of the Merger, or if the parties were unable to reach a mutual agreement concerning the development of a financing plan for certain obligations of Chambers. During that 21-day period, USA Waste and Chambers each performed due diligence inquiries on the other.</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term sheet amending certain provisions of the Class Action Memorandum of Understanding was circulated by letter dated December 16, 1994 (the "December 16 Amendment"). The December 16 Amendment provided that payment to the class members would be increased by $5 million plus an amount consisting of $16,000 for each penny above $4.50 of Merger consideration received by Chambers' stockholders per share of Chambers Common Stock or Chambers Class A Common Stock, payable only in the event that the Merger or a comparable transaction is consummated. The December 16 Amendment also contained provisions relating to, among other things, the dates of payments to the class members and period of notice to the class members. The terms of the December 16 Amendment, with subsequent modifications and clarifications, were incorporated in the final settlement agreements relating to the class action litigation. See "Description of Chambers -- Legal Proceedings."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December 19, 1994, the Board of Directors of Chambers met to consider the Merger Agreement. At that meeting, Chambers' management, legal counsel and independent accountants presented to the Board the results of their respective due diligence inquiries of USA Waste and its affiliates. In addition, representatives of J.P. Morgan presented to the Board the results of its due diligence inquiry of USA Waste and its affiliates as well as its forecast and valuation of Chambers and its analysis of the Merger. Also, Chambers' management and representatives of USA Waste presented a summary of a proposed financing plan with respect to the funding of certain obligations of Chambers.</w:t>
      </w:r>
    </w:p>
    <w:p>
      <w:pPr>
        <w:spacing w:after="0" w:line="188"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During the December 19 meeting, in connection with the evaluation by USA Waste of the December 16 Amendment to the terms of the proposed settlement of the shareholder litigation, USA Waste's representatives presented a proposed amendment to the Merger Agreement to either reduce the Exchange Ratio or adjust or eliminate the "collar" on the Exchange Ratio. After lengthy discussions and negotiations, the parties agreed to amend the Merger Agreement by deleting the "collar" on the Exchange Ratio and the termination provision in favor of USA Waste, and accepted the amendments to the terms of the proposed settlement of the shareholder litigation. The Exchange Ratio was not adjusted.</w:t>
      </w:r>
    </w:p>
    <w:p>
      <w:pPr>
        <w:spacing w:after="0" w:line="175"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At the December 19 meeting, J.P. Morgan delivered its written opinion that the consideration to be received in the Merger is fair, from a financial point of view, to the stockholders of Chambers. Based upon the receipt of J.P. Morgan's fairness opinion, the review of the financing plan, and after hearing the results of the due diligence inquiries, the Board of Directors of Chambers determined not to exercise its right to terminate the Merger Agreement.</w:t>
      </w:r>
    </w:p>
    <w:p>
      <w:pPr>
        <w:spacing w:after="0" w:line="17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December 19, 1994, USA Waste's management presented the Merger Agreement and the terms of the Merger to the USA Waste Board of Directors, including the amendment to the Merger Agreement that was agreed to by the Chambers Board, as well as a potential increase in the payments that would be made by Chambers pursuant to the litigation settlement. USA Waste's management reviewed with the Board the results of its due diligence inquiries of Chambers and the results of the due diligence inquiries of USA Waste's counsel and accountants. Representatives of DLJ then reviewed with the USA Waste Board of Directors certain financial and operating data relating to Chambers and other publicly held solid waste companies, as well as certain pro forma financial information reflecting the Merger. After making this presentation and responding to questions, the DLJ representatives advised the Board that, in DLJ's opinion, the Exchange Ratio was fair, from a financial point of view, to the holders of USA Waste Common Stock. Following such</w:t>
      </w:r>
    </w:p>
    <w:p>
      <w:pPr>
        <w:sectPr>
          <w:pgSz w:w="11900" w:h="16838" w:orient="portrait"/>
          <w:cols w:equalWidth="0" w:num="1">
            <w:col w:w="10219"/>
          </w:cols>
          <w:pgMar w:left="240" w:top="295" w:right="1440" w:bottom="1440"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5"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37</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review and discussion, the USA Waste Board of Directors reaffirmed the Merger Agreement and voted to recommend to USA Waste's shareholders the approval of the Merger Agreement.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WASTE'S REASONS FOR THE MERGER</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evaluating the Merger, the management and the Board of Directors of USA Waste considered a variety of factors in the context of USA Waste's strategic objectives. A key element of USA Waste's strategy is to expand solid waste management services through the acquisition of additional solid waste collection operations, landfills, and collection, transfer and recycling operations, with the objective of becoming a national integrated solid waste management company with a broad geographic base of operations. USA Waste anticipates that added service requirements, increased regulation and heightened public concern over the environment, all of which have contributed to dramatically higher costs associated with providing waste management services generally, will cause continued industry consolidation as well as increased privatization of municipal services, affording attractive future opportunities for growth. In evaluating the Merger, USA Waste's Board considered the desirability of adding the significant airspace capacity offered by Chambers' landfills to USA Waste's existing base of operations, the large capital investment made by Chambers to construct its new landfills in compliance with strict regulatory requirements and the ability of USA Waste to increase utilization of Chambers' landfills by focusing on additional waste flows and improving economic efficiencies of Chambers' collection and landfill operations. USA Waste's Board concluded that by combining operations of USA Waste and Chambers, USA Waste would further its strategic objectives and that the combined entity could participate more effectively in the ongoing consolidation of the solid waste services industry. In addition, the USA Waste Board of Directors and management concluded that a larger asset and revenue base resulting from the Merger would provide USA Waste better access to capital to pursue its strategic objectives and achieve economies of scale associated with a larger base of operations, with an ultimate goal of increasing shareholder value.</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management considered the impact of certain general and administrative cost savings that could be realized following the Merger and evaluated the pro forma financial impact of the Merger, giving effect to certain adjustments for nonrecurring items that appear in the historical and combined pro forma financial information. For a description of such adjustments, and the impact of such adjustments on the pro forma financial information, see "Supplemental Information Relating to Pro Forma Statement of Operations for the Year Ended December 31, 1994."</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the December 19, 1994 meeting, the USA Waste Board of Directors received an oral opinion from DLJ that the Exchange Ratio was fair, from a financial point of view, to the holders of USA Waste Common Stock. The USA Waste Board received a written opinion to such effect dated the date hereof. See "-- Opinion of Financial Advisor to USA Waste."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USA WASTE</w:t>
      </w:r>
    </w:p>
    <w:p>
      <w:pPr>
        <w:spacing w:after="0" w:line="3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For the reasons set forth under "USA Waste's Reasons for the Merger," the Board of Directors of USA Waste believes that the terms of the Merger Agreement and the Merger are fair to, and in the best interests of, USA Waste and the holders of USA Waste Common Stock. All members of the Board of Directors present at the meetings held on November 28, 1994 and December 19, 1994, approved the Merger Agreement and the Merger and recommend that the holders of USA Waste Common Stock vote FOR adoption and approval of the Merger Agreement and the Merger. In considering the recommendation of the USA Waste Board of Directors with respect to the Merger, USA Waste shareholders should be aware that certain officers and directors of USA Waste have employment agreements that may require severance payments in the event of a change of control such as the Merger. See "-- Conflicts of Interest."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REASONS FOR THE MERGER</w:t>
      </w:r>
    </w:p>
    <w:p>
      <w:pPr>
        <w:spacing w:after="0" w:line="18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The matters considered by management and the Board of Directors of Chambers in evaluating the Merger included the primary concern that Chambers is in need of significant capital in order to refinance its existing debt and in order to fund a settlement with respect to the shareholder litigation. Chambers'</w:t>
      </w:r>
    </w:p>
    <w:p>
      <w:pPr>
        <w:sectPr>
          <w:pgSz w:w="11900" w:h="16838" w:orient="portrait"/>
          <w:cols w:equalWidth="0" w:num="1">
            <w:col w:w="10219"/>
          </w:cols>
          <w:pgMar w:left="240" w:top="295" w:right="1440" w:bottom="1440" w:gutter="0" w:footer="0" w:header="0"/>
        </w:sectPr>
      </w:pP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5"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38</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management believes that such capital would not be available to Chambers on a stand-alone basis without significant dilution to the equity stockholders of Chambers. In addition, due to the restricted liquidity of Chambers in the near term, it is believed that Chambers alone is not able to take advantage of the trend toward consolidation in the waste management industry and thus cannot participate in any upside potential inherent in such consolidation trend. Chambers' management believes that the Merger will provide the combined entities with access to capital sufficient both to meet Chambers' existing obligations and to permit participation in the industry consolidation.</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Chambers' management believes, based on the market price of USA Waste Common Stock immediately prior to announcement of the Merger ($14.00 per share on November 25, 1994), that the Merger will result in a premium to the stockholders of Chambers over the market price of Chambers' stock immediately prior to announcement of the Merger ($3.13 per share of Chambers Common Stock and $3.00 per share of Chambers Class A Common Stock on November 25, 1994) and permitting Chambers stockholders who become shareholders of USA Waste the opportunity to participate in any potential future appreciation in value of USA Waste Common Stock. The equivalent per share price of Chambers Common Stock and Chambers Class A Common Stock on November 25, 1994, calculated by multiplying the closing price of USA Waste Common Stock on the same date by the Exchange Ratio, was $5.83. There is no guarantee that the stockholders of Chambers will receive a premium if the Merger is approved.</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management considered the impact of certain general and administrative cost savings that could be realized following the Merger and evaluated the pro forma financial impact of the Merger, giving effect to certain adjustments for nonrecurring items that appear in the historical and combined pro forma financial information. For a description of such adjustments, and the impact of such adjustments on the pro forma financial information, see "Supplemental Information Relating to Pro Forma Statement of Operations for the Year Ended December 31, 1994."</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the December 19, 1994 meeting, the Board of Directors of Chambers received a written opinion from J.P. Morgan stating that the consideration to be received by the stockholders of Chambers pursuant to the Merger was fair, from a financial point of view, to the holders of Chambers Common Stock and Chambers Class A Common Stock. J.P. Morgan confirmed such opinion as of the date hereof. See " -- Opinion of Financial Advisor to Chambers."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CHAMBERS</w:t>
      </w:r>
    </w:p>
    <w:p>
      <w:pPr>
        <w:spacing w:after="0" w:line="36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For the reasons set forth under "Background of the Merger" and "Chambers' Reasons for the Merger," the Board of Directors of Chambers believes that the Merger Agreement is fair to, and in the best interests of, Chambers and the holders of Chambers Common Stock and Chambers Class A Common Stock. All members of the Board of Directors approved the Merger Agreement and recommended that the holders of Chambers Common Stock and Chambers Class A Common Stock vote FOR adoption and approval of the Merger Agreement. In considering the recommendation of the Chambers Board of Directors with respect to the Merger, Chambers stockholders should be aware that certain officers and directors of Chambers have direct and indirect interests in the consummation of the Merger, apart from their interests as stockholders of Chambers, which are not identical to those of unaffiliated stockholders of Chambers. See "-- Conflicts of Interest."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USA WASTE</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its role as financial advisor to USA Waste, DLJ was asked by USA Waste to render an opinion (the "DLJ Opinion") to the Board of Directors of USA Waste as to the fairness to the shareholders of USA Waste, from a financial point of view, of the Exchange Ratio pursuant to the Merger Agreement. On December 19, 1994, DLJ orally advised the USA Waste Board of Directors that DLJ would be prepared to deliver a written opinion to the USA Waste Board of Directors that the Exchange Ratio was fair to the shareholders of USA Waste from a financial point of view as of that date, subject to DLJ's review of the final terms and conditions of the Merger Agreement. On the date hereof, DLJ issued to the USA Waste Board of</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5"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39</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Directors its written opinion that, based upon and subject to the provisions set forth in such opinion, the Exchange Ratio is fair to the shareholders of USA Waste from a financial point of view.</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FULL TEXT OF THE WRITTEN OPINION OF DLJ, DATED THE DATE HEREOF, IS ATTACHED HERETO AS APPENDIX B. USA WASTE SHAREHOLDERS ARE URGED TO READ THE DLJ OPINION CAREFULLY IN ITS ENTIRETY FOR ASSUMPTIONS MADE, MATTERS CONSIDERED, SCOPE AND LIMITS OF THE REVIEW AND PROCEDURES FOLLOWED BY DLJ IN CONNECTION WITH SUCH OPINION.</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USA Waste Board of Directors selected DLJ as its financial advisor because it is a nationally recognized investment banking firm and the principals of DLJ have substantial experience in the solid waste industry and are familiar with USA Waste and its businesses. As part of its investment banking business, DLJ is regularly engaged in the valuation of businesses and their securities in connection with mergers and acquisitions.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DLJ Opinion does not constitute a recommendation to any shareholder as to how such shareholder should vote at either the USA Waste Annual Meeting or the Chambers Special Meeting. DLJ did not, and was not requested by the USA Waste Board to, make any recommendation as to the form or amount of consideration to be paid to holders of Chambers Common Stock and Chambers Class A Common Stock in the Merger, which issues were resolved in arm's-length negotiations between USA Waste and Chambers, in which negotiations DLJ advised USA Waste. DLJ's opinion does not constitute an opinion as to the price at which the USA Waste Common Stock will actually trade at any time. See "Market Price Data." No restrictions or limitations were imposed by USA Waste upon DLJ with respect to the investigations made or the procedures followed by DLJ in rendering its opinion. USA Waste did not authorize DLJ to solicit, and DLJ did not solicit, any third party indications of interest in a purchase of, or business combination with, USA Waste or Chambers (other than the discussions regarding a possible business combination with Attwoods). See " -- Background of the Merger."</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arriving at its opinion, DLJ reviewed the Merger Agreement. DLJ also reviewed financial and other information that was publicly available or furnished to it by or on behalf of USA Waste and Chambers including information provided during discussions with their respective managements, including consolidated financial statements and other information of USA Waste and Chambers for the fiscal years 1991 through 1993 and for the interim periods for the fiscal years 1993 and 1994. Included in the information provided were certain financial projections for USA Waste and Chambers for the fiscal years 1994 to 1999 prepared by the managements of USA Waste and Chambers, respectively. In addition, DLJ examined the impact of the Merger on earnings per share of USA Waste given certain cost reductions contemplated to result from the Merger and the applicability of a net operating loss carryforward of Chambers, each as reflected in the financial projections prepared by the respective managements of USA Waste and Chambers; compared the relative contribution of both USA Waste's and Chambers' revenues, gross profit, operating profit, operating cash flow and other measures to USA Waste's and Chambers' relative ownership of the combined companies upon giving effect to the Merger; compared certain financial and securities data of USA Waste and Chambers with selected companies whose securities are traded in public markets; reviewed the historical stock prices and trading volumes of USA Waste Common Stock and Chambers Common Stock and Chambers Class A Common Stock; reviewed prices and premiums paid in certain other selected business combinations and performed a discounted cash flow analysis of Chambers. DLJ also discussed the past and current operations, financial condition and prospects of USA Waste and Chambers with the respective managements of USA Waste and Chambers and conducted such other financial studies, analyses and investigations as DLJ deemed appropriate for purposes of rendering its opinion.</w:t>
      </w:r>
    </w:p>
    <w:p>
      <w:pPr>
        <w:spacing w:after="0" w:line="36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rendering its opinion, DLJ relied upon and assumed, without independent verification, the accuracy, completeness and fairness of all of the financial and other information that was available to it from public sources, that was provided to it by USA Waste and Chambers or their representatives, or that was otherwise reviewed by it. DLJ also assumed that the financial projections supplied to it were reasonably prepared on bases reflecting the best currently available estimates and judgments of the respective managements of USA Waste and Chambers as to the future operating and financial performance of USA Waste and Chambers, respectively. DLJ relied, without independent investigation, upon the respective estimates of USA Waste and</w:t>
      </w:r>
    </w:p>
    <w:p>
      <w:pPr>
        <w:sectPr>
          <w:pgSz w:w="11900" w:h="16838" w:orient="portrait"/>
          <w:cols w:equalWidth="0" w:num="1">
            <w:col w:w="10219"/>
          </w:cols>
          <w:pgMar w:left="240" w:top="295" w:right="1440" w:bottom="1440" w:gutter="0" w:footer="0" w:header="0"/>
        </w:sectPr>
      </w:pPr>
    </w:p>
    <w:p>
      <w:pPr>
        <w:spacing w:after="0" w:line="1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5"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40</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Chambers of certain cost reductions contemplated to result from the Merger and upon its discussion of such cost reductions with the respective managements of USA Waste and Chambers. DLJ did not make any independent evaluation of the assets, liabilities or operations of USA Waste or Chambers, nor did DLJ verify the information reviewed by it. DLJ made no independent investigation of any legal matters affecting USA Waste or Chambers and assumed the correctness of all legal advice given to the Board of Directors of USA Waste by its counsel.</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DLJ Opinion is necessarily based on economic, market, financial and other conditions as they existed on, and on the information made available to it as of, the date of the DLJ Opinion. It should be understood that, although subsequent developments may affect its opinion, DLJ does not have any obligation to update, revise or reaffirm the DLJ Opinion.</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is a summary of the material factors considered and principal financial analyses performed by DLJ in connection with the DLJ Opinion. DLJ performed certain procedures, including each of the financial analyses described below, and reviewed with the managements of USA Waste and Chambers the assumptions on which such analyses were based and other factors, including the current and projected financial results of such companies.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Pro Forma Merger Analysis. DLJ analyzed certain pro forma effects resulting from the Merger. DLJ reviewed, without independent verification, certain cost reductions contemplated to result from the Merger in 1995 and 1996 by combining the operations of Chambers and USA Waste as projected by the managements of Chambers and USA Waste. DLJ analyzed the pro forma effect of such cost reductions on net income and earnings per share for USA Waste. The analysis indicated that the pro forma earnings per share of USA Waste, assuming the annual cost reductions contemplated to result from the Merger and assuming utilization of the Chambers net operating loss carryforward (subject to the net operating loss carryforward limitation set forth in Section 382 of the Internal Revenue Code of 1986, as amended (the "Code")), would be 21% higher in the fiscal year ending 1995 and 20% higher in the fiscal year ending 1996 than comparable projections for USA Waste as a stand-alone company during the same periods. The analysis also indicated that the pro forma earnings per share of USA Waste, assuming the annual cost reductions contemplated to result from the Merger and assuming full utilization of the Chambers net operating loss carryforward (not subject to the net operating loss carryforward limitation set forth in Section 382 of the Code), would be 64% higher in the fiscal year ending 1995 and 23% higher in the fiscal year 1996 than comparable projections for USA Waste as a stand-alone company during the same periods. The analysis also indicated that the pro forma earnings per share of USA Waste, assuming the annual cost reductions contemplated to result from the Merger, but assuming no utilization of the Chambers net operating loss carryforward, would be 1% higher in the fiscal year ending 1995 and 3% higher in the fiscal year ending 1996 than comparable projections for USA Waste as a stand-alone company during the same periods. The results of the pro forma combination analysis are not necessarily indicative of future operating results or financial position.</w:t>
      </w:r>
    </w:p>
    <w:p>
      <w:pPr>
        <w:spacing w:after="0" w:line="36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Contribution Analysis. DLJ analyzed USA Waste's and Chambers' relative contribution to the combined company with respect to revenues; gross profit; earnings before interest, taxes, depreciation and amortization ("EBITDA"); and earnings before interest and taxes ("EBIT"). Such analysis was considered in both absolute dollar terms and on a percentage basis and was made, for the year ended December 31, 1994, based on actual results for the first three quarters of 1994 and the projected results (projections by the respective managements of USA Waste and Chambers) for the fourth quarter of 1994. As a result of the Merger, shareholders of USA Waste will own 49.0% of the combined companies, assuming conversion of USA Waste's 8.5% convertible subordinated debentures, due 2002. This compares with USA Waste's contribution to the combined company's pro forma results for the period ended December 31, 1994 (prior to taking into account any operating synergies which may result from the Merger) of 41% of revenues, 48% of gross profit, 47% of EBITDA and 60% of EBIT.</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Analysis of Certain Other Publicly Traded Companies. To provide contextual data and comparative market information, DLJ compared selected historical share price, earnings, and operating and financial ratios for Chambers to the corresponding data and ratios of certain other companies whose securities are publicly traded (collectively, the "Public Companies"). The Public Companies were chosen because they possess</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5"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41</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general business, operating and financial characteristics representative of companies in the industry in which USA Waste and Chambers operate. The Public Companies selected consisted of: Attwoods; BFI; Laidlaw Inc.; MidAmerican Waste Systems, Inc.; Sanifill, Inc.; United Waste Systems, Inc.; Western Waste Industries, Inc.; and WMX Technologies, Inc. Such data and ratios included Enterprise Value ("Enterprise Value" is defined as the product of the stock price and total shares outstanding plus Net Debt (i.e. debt and preferred stock less cash and cash equivalents)) as a multiple of revenues, EBITDA and EBIT for the latest reported twelve months and the growth rates of each of such items for the three most recent fiscal years. To establish a relationship between the Adjusted Purchase Price (as hereinafter defined) for Chambers and certain other publicly traded companies' market multiples, a 40% control premium was applied to the market multiples for certain other publicly traded companies. The average multiple of Enterprise Value to revenues for the companies reviewed was 2.7 times, with a high of 4.2 times and a low of 1.5 times. The average multiple of revenues was then multiplied by Chambers' fiscal 1994 estimated revenues to arrive at an implied total Enterprise Value for Chambers of $705.0 million. The implied Enterprise Value for Chambers was then adjusted for Net Debt of $275.0 million to yield an implied equity value, which was then divided by Chambers shares and stock options outstanding on December 13, 1994 to arrive at an implied price of $6.44 per fully diluted share. The average multiple of Enterprise Value to EBITDA for the companies reviewed was 9.4 times, with a high of 11.2 times, and a low of 7.2 times. The average EBITDA multiple was then multiplied by Chambers' fiscal 1994 estimated EBITDA to arrive at an implied total Enterprise Value for Chambers of $568.7 million. The implied Enterprise Value for Chambers was then adjusted for Net Debt of $275.0 million to yield an implied equity value, which was then divided by Chambers shares and stock options outstanding on December 13, 1994 to arrive at an implied price of $4.40 per fully diluted share. The average EBITDA multiple of 9.4 times was also applied to: (i) Chambers' fiscal 1994 pro forma EBITDA to arrive at an implied total Enterprise Value for Chambers of $658.0 million and an implied price of $5.73 per fully diluted share; and (ii) Chambers' fiscal 1994 pro forma EBITDA with expected cost reductions to arrive at an implied total Enterprise Value for Chambers of $990.8 million and an implied price of $10.72 per fully diluted share. The average multiple of Enterprise Value to EBIT for the companies reviewed was 16.5 times, with a high of 20.9 times and a low of 11.5 times. The average EBIT multiple was then multiplied by Chambers fiscal 1994 estimated EBIT to arrive at an implied total Enterprise Value for Chambers of $374.6 million. The implied Enterprise Value for Chambers was then adjusted for Net Debt of $275.0 million to yield an implied equity value, which was then divided by Chambers shares outstanding on December 13, 1994 to arrive at an implied price of $1.49 per fully diluted share. The average EBIT multiple of 16.5 times was also applied to Chambers' fiscal 1994 EBIT with cost reductions contemplated to result from the Merger to arrive at an implied total Enterprise Value for Chambers of $958.7 million and an implied price of $10.24 per fully diluted share.</w:t>
      </w:r>
    </w:p>
    <w:p>
      <w:pPr>
        <w:spacing w:after="0" w:line="21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DLJ examined the ratios of current stock prices to earnings per share ("EPS") for the latest twelve-month period ended September 30, 1994, estimated fiscal year 1994 EPS (as estimated by Institutional Brokers Estimate System, "IBES"), and estimated fiscal year 1995 EPS (as estimated by IBES), and current stock prices to book value for these companies and compared such ratios with those of Chambers. To establish a relationship between the Equity Purchase Price (as hereinafter defined) for Chambers and certain other publicly traded companies' market multiples, a 40% control premium was applied to the market multiples for certain other publicly traded companies. The average multiple of stock price to latest twelve-month EPS for the certain other publicly traded companies was 28.3 times, with a high of 39.6 times and a low of 13.7 times. The multiple for Chambers was not meaningful due to negative earnings of Chambers during this period. The average multiple of stock price to estimated 1994 EPS for the certain other publicly traded companies was 24.7 times with a high of 28.2 times and a low of 21.0 times, which compares to a 66.8 times multiple for Chambers. The certain other publicly traded companies average multiple was then applied to the Chambers fiscal 1994 estimated EPS (as estimated by IBES) to arrive at an implied price of $1.97 per fully diluted share. The average multiple of stock price to estimated 1995 EPS for the certain other publicly traded companies was 20.9 times with a high of 23.4 times and a low of 17.6 times, which compares to a 31.4 times multiple for Chambers. The average multiple was then applied to Chambers' fiscal 1995 EPS (as estimated by IBES) to arrive at an implied price of $3.55 per fully diluted share. The average multiple of stock price to Book Value for the certain other publicly traded companies was 2.8 times with a high of 4.0 times and a low of 0.9 times. The average multiple was then applied to Chambers' book value as of September 30, 1994 to arrive</w:t>
      </w:r>
    </w:p>
    <w:p>
      <w:pPr>
        <w:sectPr>
          <w:pgSz w:w="11900" w:h="16838" w:orient="portrait"/>
          <w:cols w:equalWidth="0" w:num="1">
            <w:col w:w="10219"/>
          </w:cols>
          <w:pgMar w:left="240" w:top="295" w:right="1440" w:bottom="1440" w:gutter="0" w:footer="0" w:header="0"/>
        </w:sectPr>
      </w:pP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5"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42</w:t>
      </w:r>
    </w:p>
    <w:p>
      <w:pPr>
        <w:spacing w:after="0" w:line="186" w:lineRule="exact"/>
        <w:rPr>
          <w:sz w:val="20"/>
          <w:szCs w:val="20"/>
          <w:color w:val="auto"/>
        </w:rPr>
      </w:pPr>
    </w:p>
    <w:p>
      <w:pPr>
        <w:ind w:right="3219"/>
        <w:spacing w:after="0" w:line="267" w:lineRule="auto"/>
        <w:rPr>
          <w:sz w:val="20"/>
          <w:szCs w:val="20"/>
          <w:color w:val="auto"/>
        </w:rPr>
      </w:pPr>
      <w:r>
        <w:rPr>
          <w:rFonts w:ascii="Courier New" w:cs="Courier New" w:eastAsia="Courier New" w:hAnsi="Courier New"/>
          <w:sz w:val="15"/>
          <w:szCs w:val="15"/>
          <w:color w:val="auto"/>
        </w:rPr>
        <w:t>at an implied price of $3.37 per fully diluted share. This compares to an implied Equity Purchase Price of the Merger of $4.79 on December 13, 1994.</w:t>
      </w:r>
    </w:p>
    <w:p>
      <w:pPr>
        <w:spacing w:after="0" w:line="16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Transaction Analysis. DLJ reviewed publicly available information for four selected transactions involving the combination of selected solid waste management companies. The four transactions reviewed (the "Comparative Transactions") included: (i) BFI/Attwoods; (ii) USA Waste/Envirofil; (iii) Envirofil/Environmental Waste of America; and (iv) WMX Technologies, Inc./Wheelabrator Technologies, Inc. The four transactions selected are not intended to represent the complete list of solid waste management transactions which have occurred during the last five years; rather, they include only transactions involving combinations of companies with operating characteristics, size or financial performance characteristics believed to be comparable to such characteristics of Chambers and USA Waste. DLJ reviewed the consideration paid in such transactions in terms of the Equity Purchase Price plus total debt less cash and cash equivalents ("Adjusted Purchase Price") as a multiple of revenues, EBITDA and EBIT for the latest reported twelve months prior to the announcement of such transaction. The Adjusted Purchase Price for the Merger was computed by taking the product of the USA Waste Common Stock price at December 13, 1994 and the Exchange Ratio multiplied by Chambers shares outstanding at December 13, 1994 plus total debt less cash and cash equivalents. The ratio of Adjusted Purchase Price to revenues, computed for the selected transactions announced since September 1990, averaged 1.6 times and ranged from 1.2 times to 2.0 times compared to 2.4 times revenues for the Merger based on Chambers operating performance for 1994 estimated fiscal year results. The multiple of Adjusted Purchase Price to EBITDA, computed based on the Comparative Transactions announced since September 1990, averaged 12.9 times and ranged from 8.0 times to 17.1 times compared to 10.2 times EBITDA and 8.8 times Pro Forma EBITDA ("Pro Forma EBITDA" assumes all acquisitions/divestitures made during 1994 occurred on January 1, 1994) for the Merger based on the operating performance of Chambers for 1994 estimated fiscal year results. The multiple of Adjusted Purchase Price to EBIT, computed for the Comparative Transactions announced since September 1990, averaged 21.8 times and ranged from 13.7 times to 35.2 times compared to 27.2 times EBIT for the Merger, based on the operating performance of Chambers for 1994 estimated fiscal year results.</w:t>
      </w:r>
    </w:p>
    <w:p>
      <w:pPr>
        <w:spacing w:after="0" w:line="36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DLJ also reviewed the consideration paid in such transactions in terms of equity cost (offer price per share multiplied by total common shares outstanding; the "Equity Purchase Price") as a multiple of the book value at the close of the last fiscal quarter prior to the date of announcement of the transaction. The Equity Purchase Price of the Merger was computed by taking the product of the USA Waste Common Stock price at December 13, 1994 and the Exchange Ratio multiplied by Chambers shares outstanding at December 13, 1994. The ratio of Equity Purchase Price to book value, computed for the selected Comparative Transactions announced since September 1990, averaged 3.7 times and ranged from 2.4 times to 5.0 times. This compares to the 3.9 times book value attributable to Chambers based upon a book value for Chambers at September 30, 1994.</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DLJ's analysis also determined the percentage increase of the offer prices (represented by the purchase price per share in cash transactions and the stock price of the constituent securities times the exchange ratio in the case of stock-for-stock mergers) over the trading prices one day, one week and one month prior to the announcement date of transactions in two general categories, (i) selected merger and acquisition transactions since January 1, 1993 with a transaction value in excess of $100 million, and (ii) 110 stock for stock transactions completed since January 1, 1993. The percentage amount by which offer prices exceeded the closing stock prices one day, one week and one month prior to the announcement date of all completed merger and acquisition transactions since January 1, 1993 with a transaction value in excess of $100 million averaged 36.1%, 38.6% and 41.9%, respectively. The percentage amount by which offer prices exceeded the closing stock prices one day, one week and one month prior to the announcement date of stock for stock transactions completed since January 1, 1993 averaged 31.4%, 33.8% and 38.0%, respectively, compared to a premium of 53.0%, 130.0% and 130.0%, respectively, over the Chambers Common Stock and Chambers Class A Common Stock prices one day, one week and one month prior to December 13, 1994 based on the price of the USA Waste Common Stock at December 13, 1994.</w:t>
      </w:r>
    </w:p>
    <w:p>
      <w:pPr>
        <w:spacing w:after="0" w:line="194" w:lineRule="exact"/>
        <w:rPr>
          <w:sz w:val="20"/>
          <w:szCs w:val="20"/>
          <w:color w:val="auto"/>
        </w:rPr>
      </w:pPr>
    </w:p>
    <w:p>
      <w:pPr>
        <w:jc w:val="both"/>
        <w:ind w:right="3039" w:firstLine="473"/>
        <w:spacing w:after="0" w:line="238" w:lineRule="auto"/>
        <w:rPr>
          <w:sz w:val="20"/>
          <w:szCs w:val="20"/>
          <w:color w:val="auto"/>
        </w:rPr>
      </w:pPr>
      <w:r>
        <w:rPr>
          <w:rFonts w:ascii="Courier New" w:cs="Courier New" w:eastAsia="Courier New" w:hAnsi="Courier New"/>
          <w:sz w:val="16"/>
          <w:szCs w:val="16"/>
          <w:color w:val="auto"/>
        </w:rPr>
        <w:t>Stock Trading History. To provide perspective on current public market valuations and stock price performance of USA Waste, Chambers and the Public Companies relative to selected market indices, DLJ</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5"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43</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examined the history of the trading prices and their relative relationships for both USA Waste Common Stock and Chambers Common Stock and Chambers Class A Common Stock for the latest 12 month period ended December 2, 1994. DLJ also reviewed the daily closing prices of USA Waste Common Stock and Chambers Common Stock and Chambers Class A Common Stock and compared the Chambers closing stock prices with the Public Companies and selected market indices. In addition, DLJ reviewed and analyzed the historical changes in the ratio of the stock price of USA Waste Common Stock to the stock price of Chambers Common Stock and Chambers Class A Common Stock for the twelve months ended December 2, 1994. The ratio of the stock price of Chambers Common Stock and Chambers Class A Common Stock to the stock price of USA Waste Common Stock ranged from 0.45 times to 0.14 times for the twelve months ended December 2, 1994. This compares to the Exchange Ratio of 0.41667 times.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Discounted Cash Flow Analysis. DLJ also performed a discounted cash flow analysis to evaluate the consideration to be paid in the Merger. In conducting its analysis, DLJ relied on certain assumptions, financial forecasts and other information provided by Chambers and USA Waste management. Using the information set forth in the Chambers forecast, DLJ calculated the estimated "Free Cash Flow" based on projected unleveraged operating income adjusted for: (i) taxes, which in this analysis assumed no limitation on utilization of net operating loss carryforwards; (ii) certain projected non-cash items (i.e., depreciation and amortization); (iii) projected changes in non-cash working capital; and (iv) projected capital expenditures. DLJ analyzed the Chambers forecast and discounted the stream of free cash flows from fiscal 1995 to fiscal 1999 provided in such projections back to December 31, 1994 using discount rates ranging from 10% to 18%. To estimate the residual value of Chambers at the end of the forecast period, DLJ applied terminal multiples ranging from 5.0 times to 9.0 times to the projected fiscal 1999 EBITDA and discounted such value estimates back to December 31, 1994 using discount rates ranging from 10% to 18%. DLJ then summed the present values of the free cash flows and the present values of the residual values to derive a range of implied enterprise values for Chambers. The range of implied enterprise values of Chambers was then adjusted for non-operating assets and liabilities including: (i) estimated debt of $231.2 million; (ii) cash and cash equivalents of $26.2 million on December 31, 1994; and (iii) a litigation settlement of $70.0 million, to yield implied equity values of Chambers ranging from $78.2 million to $448.6 million. The range of implied equity values of Chambers was then divided by 66.8 million shares of Chambers stock outstanding as of December 13, 1994 to yield implied values ranging from $1.17 to $6.72 per fully diluted share. This compares to an implied Equity Purchase Price of the Merger of $4.79 on December 13, 1994.</w:t>
      </w:r>
    </w:p>
    <w:p>
      <w:pPr>
        <w:spacing w:after="0" w:line="36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 that selecting portions of its analysis and the factors considered by it, without considering all analyses and factors, could create an incomplete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terms of an engagement letter dated November 20, 1994 among USA Waste, DLJ and Kidder, Peabody, DLJ and Kidder, Peabody agreed to provide certain financial advisory services to USA Waste and USA Waste agreed to pay a retainer fee of $100,000 (divided equally between DLJ and Kidder, Peabody). USA Waste also agreed to pay an additional $1,000,000 to DLJ upon mailing of the Joint Proxy Statement and Prospectus. Under the engagement letter, an additional fee of $2,900,000 will be payable by USA Waste upon consummation of the Merger, of which DLJ will be entitled to 80% and Kidder, Peabody will be entitled to 20%. USA Waste also agreed to reimburse DLJ and Kidder, Peabody for their out-of-pocket expenses and to indemnify them against certain liabilities and expenses.</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In the ordinary course of business, DLJ actively trades the securities of both USA Waste and Chambers for its own account and for the accounts of its customers and, accordingly, may at any time hold a long or short position in such securities. DLJ, as part of its investment banking services, is regularly engaged in the</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5"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44</w:t>
      </w:r>
    </w:p>
    <w:p>
      <w:pPr>
        <w:spacing w:after="0" w:line="186" w:lineRule="exact"/>
        <w:rPr>
          <w:sz w:val="20"/>
          <w:szCs w:val="20"/>
          <w:color w:val="auto"/>
        </w:rPr>
      </w:pPr>
    </w:p>
    <w:p>
      <w:pPr>
        <w:ind w:right="2659"/>
        <w:spacing w:after="0" w:line="262" w:lineRule="auto"/>
        <w:rPr>
          <w:sz w:val="20"/>
          <w:szCs w:val="20"/>
          <w:color w:val="auto"/>
        </w:rPr>
      </w:pPr>
      <w:r>
        <w:rPr>
          <w:rFonts w:ascii="Courier New" w:cs="Courier New" w:eastAsia="Courier New" w:hAnsi="Courier New"/>
          <w:sz w:val="15"/>
          <w:szCs w:val="15"/>
          <w:color w:val="auto"/>
        </w:rPr>
        <w:t>valuation of businesses and securities in connection with mergers, acquisitions, underwritings, sales and distributions of listed and unlisted securities, private placements and valuations for estate, corporate and other purposes.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CHAMBERS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connection with the Merger, Chambers engaged J.P. Morgan to render its opinion to the Board of Directors as to the fairness, from a financial point of view, of the consideration to be received by the holders of Chambers Common Stock and Chambers Class A Common Stock, based on the Exchange Ratio, as set forth in the Merger Agreement. No limitations were imposed on J.P. Morgan by the Board of Directors or management of Chambers with respect to the investigations made or procedures followed by J.P. Morgan in preparing and rendering its opinion, and Chambers and its management cooperated fully with J.P. Morgan in connection therewith. J.P. Morgan rendered to the Board of Directors of Chambers on December 19, 1994, and confirmed on the date hereof, its opinion that such consideration is fair, from a financial point of view, to the holders of the Chambers Common Stock and Chambers Class A Common Stock.</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copy of J.P. Morgan's opinion, dated December 19, 1994, which sets forth the assumptions made, factors considered and limitations on the review undertaken by J.P. Morgan, is attached hereto as Appendix C. Holders of Chambers Common Stock and Chambers Class A Common Stock should read carefully the attached J.P. Morgan written opinion in its entirety and the discussion set forth herein concerning the scope and limitations of J.P. Morgan's review. J.P. Morgan's opinion is directed only to the consideration payable to holders of Chambers Common Stock and Chambers Class A Common Stock under the Merger Agreement and does not constitute a recommendation to any holder of Chambers Common Stock or Chambers Class A Common Stock as to how such holder should vote at the Chambers Special Meeting.</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connection with its opinion, J.P. Morgan reviewed certain publicly available information concerning Chambers and USA Waste and certain internal financial analyses and other information furnished to it by the companies. J.P. Morgan also held discussions with members of the senior managements of Chambers and USA Waste regarding the business and prospects of both companies and of the combined company. In addition, J.P. Morgan: (i) reviewed historical prices and trading activity for the common stock of Chambers and USA Waste; (ii) compared certain financial and stock market information for Chambers and USA Waste with similar information for certain selected companies within the solid waste industry whose securities are publicly traded; (iii) reviewed the financial terms of certain recent business combinations which were deemed comparable in whole or in part; and (iv) performed such other studies and analyses and considered such other factors as were deemed appropriate (all such material studies and analyses are summarized below). J.P. Morgan also reviewed the Merger Agreement.</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described in its opinion, J.P. Morgan relied upon and assumed, without independent verification, the accuracy and completeness of the information that was publicly available or was furnished by Chambers or otherwise reviewed by J.P. Morgan for purposes of rendering its opinion, and J.P. Morgan has not assumed any responsibility or liability therefor. J.P. Morgan assumed that the information relating to the prospects of Chambers and USA Waste reflects the best currently available estimates and judgments of the managements of the respective companies as to the likely future financial performance of Chambers and USA Waste. In addition, J.P. Morgan has not made an independent evaluation or appraisal of the assets of Chambers or USA Waste, nor has it been furnished with any evaluation or appraisal. J.P. Morgan's opinion states that it was based on market, economic, and other conditions as they existed and could be evaluated as of the date of the opinion. Subsequent developments may affect its opinion, and J.P. Morgan does not have any obligation to update, revise or reaffirm the opinion.</w:t>
      </w:r>
    </w:p>
    <w:p>
      <w:pPr>
        <w:spacing w:after="0" w:line="191"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following is a brief summary of all material analyses that J.P. Morgan used in arriving at its opinion.</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Analysis of the Combined Company. J.P. Morgan analyzed certain pro forma effects resulting from the Merger, assuming the Exchange Ratio, for the fiscal years 1995, 1996 and 1997. This analysis was based on the respective projections of the managements of Chambers and USA Waste, and suggested that the Merger would be highly accretive to Chambers stockholders. The analysis indicated that pro forma earnings per share of Chambers would be significantly higher in 1995, 1996 and 1997 than comparable projections for Chambers</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5" w:right="1440" w:bottom="1440"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45</w:t>
      </w:r>
    </w:p>
    <w:p>
      <w:pPr>
        <w:spacing w:after="0" w:line="186"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as a stand-alone company during the same period. J.P. Morgan also analyzed the implied credit ratings for Chambers on a stand-alone basis versus those of the combined company, based on financial factors, including (i) revenues, (ii) EBIT divided by interest expense, (iii) net income plus non-cash charges divided by total borrowed funds, (iv) total borrowed funds less cash ("Net Debt") divided by market value of debt plus equity, and (v) Net Debt divided by book value of equity. J.P. Morgan concluded that the Merger could well result in a higher credit rating for the combined company than for Chambers on a stand-alone basis.</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Contribution Analysis. J.P. Morgan compared the post-Merger percentage ownership of the combined company by the Chambers stockholders with the expected financial contribution percentage of Chambers to the pro forma results of the combined company using various measures of financial performance and condition, including revenues, EBIT, EBITDA, net income, total assets, and book equity. The income statement analysis was performed on the basis of management's projected results for year end 1994 and 1995. The balance sheet analysis was also performed on the basis of management's projections. Such analysis was considered in both absolute dollar terms and on a percentage basis for the year ended December 31, 1994. As a result of the Merger, Chambers stockholders will own approximately 55% of the combined company. The analysis indicated that Chambers' contribution to the combined company's pro forma results for the period ended December 31, 1994 (prior to taking into account operating synergies that may result from the Merger) would have been 55% of sales, 51% EBITDA, 39% EBIT and 24% Net Income.</w:t>
      </w:r>
    </w:p>
    <w:p>
      <w:pPr>
        <w:spacing w:after="0" w:line="19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Comparison of Historical Stock Price Performance. To provide perspective on current public market valuations and stock price performance of USA Waste and Chambers relative to selected market indices, J.P. Morgan examined the history of the trading prices and their relative relationships for Chambers Common Stock and Chambers Class A Common Stock and USA Waste Common Stock for the latest 12 month period ended December 10, 1994. J.P. Morgan also reviewed the daily closing prices of Chambers Common Stock, Chambers Class A Common Stock and USA Waste Common Stock and compared these closing stock prices with selected market indices. During this twelve month period, Chambers Common Stock price ranged from a high of $5.375 per share to a low of $2.00 per share. Chambers Class A Common Stock price ranged from a high of $5.375 per share to a low of $1.875 per share. During this twelve month period, USA Waste Common Stock price ranged from a high of $15.00 per share to a low of $10.75 per share. By applying an Exchange Ratio of 0.41667 to the USA Waste historical trading range, J.P. Morgan arrived at an implied value per Chambers share ranging from $4.48 to $6.25.</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Discounted Cash Flow Valuation Analysis. J.P. Morgan analyzed the projected cash flows of Chambers and the combined company based on the management's forecasts and actual financial results. Using the information provided, J.P. Morgan calculated estimates of base case, upside and downside case "Free Cash Flows" based on projected unlevered operating income, adjusted for: (i) taxes, which in this analysis assumed no limitation on utilization of net operating loss carryforwards; (ii) certain projected non-cash items (i.e., depreciation and amortization); (iii) projected changes in non-cash working capital; and (iv) projected capital expenditures. J.P. Morgan analyzed the Chambers forecast and discounted the streams of cash flows from fiscal 1995 to 1999 provided in such projections back to December 31, 1994 using a discount rate of 11.02%. To estimate the residual value at the end of the forecast period, J.P. Morgan applied similar discount rates to the terminal period values, calculated by growing terminal year free cash flows in perpetuity at growth rates ranging from 2.5% to 4.5%. J.P. Morgan then summed the present values of the free cash flows and the present value of the residual values to derive a range of implied Enterprise Values ("Enterprise Value" is defined as the product of the stock price and total shares outstanding plus Net Debt (i.e., debt and preferred stock less cash and cash equivalents)) for Chambers. The Enterprise Value was then adjusted for nonoperating assets and liabilities including (i) debt of $198 million for Chambers; (ii) cash and cash equivalents of $48 million for Chambers; and (iii) a litigation settlement of $76 million to yield implied equity values of Chambers ranging from $126 million to $509 million. The range of implied equity values of Chambers was then divided by</w:t>
      </w:r>
    </w:p>
    <w:p>
      <w:pPr>
        <w:spacing w:after="0" w:line="180" w:lineRule="exact"/>
        <w:rPr>
          <w:sz w:val="20"/>
          <w:szCs w:val="20"/>
          <w:color w:val="auto"/>
        </w:rPr>
      </w:pPr>
    </w:p>
    <w:p>
      <w:pPr>
        <w:ind w:right="2839"/>
        <w:spacing w:after="0" w:line="258" w:lineRule="auto"/>
        <w:rPr>
          <w:sz w:val="20"/>
          <w:szCs w:val="20"/>
          <w:color w:val="auto"/>
        </w:rPr>
      </w:pPr>
      <w:r>
        <w:rPr>
          <w:rFonts w:ascii="Courier New" w:cs="Courier New" w:eastAsia="Courier New" w:hAnsi="Courier New"/>
          <w:sz w:val="15"/>
          <w:szCs w:val="15"/>
          <w:color w:val="auto"/>
        </w:rPr>
        <w:t>66.788 million shares of Chambers stock outstanding as of December 18, 1994 to yield implied values ranging from $1.45 to $5.87 per fully diluted share. J.P. Morgan noted that, based on the Exchange Ratio, the Merger results in a discounted cash flow ("DCF") value for the combined company which exceeded the base case DCF for Chambers. The Discounted Cash Flow analysis of the combined company yielded implied values of $4.77 to $10.11 per Chambers share.</w:t>
      </w:r>
    </w:p>
    <w:p>
      <w:pPr>
        <w:sectPr>
          <w:pgSz w:w="11900" w:h="16838" w:orient="portrait"/>
          <w:cols w:equalWidth="0" w:num="1">
            <w:col w:w="10219"/>
          </w:cols>
          <w:pgMar w:left="240" w:top="295" w:right="1440" w:bottom="1440" w:gutter="0" w:footer="0" w:header="0"/>
        </w:sectPr>
      </w:pP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95" w:right="1440" w:bottom="1440" w:gutter="0" w:footer="0" w:header="0"/>
          <w:type w:val="continuous"/>
        </w:sectPr>
      </w:pPr>
    </w:p>
    <w:bookmarkStart w:id="48" w:name="page49"/>
    <w:bookmarkEnd w:id="48"/>
    <w:p>
      <w:pPr>
        <w:ind w:left="283"/>
        <w:spacing w:after="0"/>
        <w:rPr>
          <w:sz w:val="20"/>
          <w:szCs w:val="20"/>
          <w:color w:val="auto"/>
        </w:rPr>
      </w:pPr>
      <w:r>
        <w:rPr>
          <w:rFonts w:ascii="Courier New" w:cs="Courier New" w:eastAsia="Courier New" w:hAnsi="Courier New"/>
          <w:sz w:val="16"/>
          <w:szCs w:val="16"/>
          <w:color w:val="auto"/>
        </w:rPr>
        <w:t>46</w:t>
      </w:r>
    </w:p>
    <w:p>
      <w:pPr>
        <w:spacing w:after="0" w:line="18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Comparison With Selected Publicly Traded Companies. J.P. Morgan compared selected financial data of Chambers and USA Waste with certain data from publicly traded companies engaged in business considered by J.P. Morgan to be comparable to Chambers and USA Waste. Specifically, J.P. Morgan included in its review Allied Waste Industries, Inc., BFI, Integrated Waste Systems, Inc., Laidlaw, Inc., Mid-American Waste Systems, Inc., Republic Waste Industries, Inc., Sanifill, Inc., Western Waste Industries, Inc. and WMX Technologies, Inc. Such financial information included market valuation, the implied multiples based on the ratio of firm value to EBIT, EBITDA and projected EBITDA, and the implied multiples based on the ratio of current stock price to earnings per share and 1995 and 1996 projected earnings per share. The median multiple of firm value to EBIT for the companies was 11.62 times, with a high of 15.13 times, and a low of 9.87 times. The median EBIT multiple of 11.62 times was applied to Chambers' fiscal 1994 pro forma EBIT to arrive at an implied firm value for Chambers of $289.3 million and an implied price of $0.73 per fully diluted share. The median multiple of firm value to EBITDA for the companies reviewed was 6.97 times, with a high of 12.8 times and a low of 6.07 times. The median EBITDA multiple of 6.97 times was applied to Chambers' fiscal 1994 pro forma EBITDA to arrive at an implied firm value for Chambers of $437.5 million and an implied price of $2.44 per fully diluted share. The median EBITDA multiple of 6.97 times was also applied to Chambers' fiscal 1995 pro forma EBITDA and discounted to present value using a weighted average cost of capital of 11.02% to arrive at an implied firm value for Chambers of $443.7 million and an implied price of $2.51 per fully diluted share. The median multiple of market value to net income was 15.77 times, with a high of 18.65 times and a low of</w:t>
      </w:r>
    </w:p>
    <w:p>
      <w:pPr>
        <w:spacing w:after="0" w:line="180"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13.23 times. The median multiple of market value of net income of 15.77 times was applied to Chambers' fiscal 1994 pro forma net income to arrive at an implied market value of $199 million and an implied share price of $2.29. The median multiple of market value to projected fiscal year ended 1995 net income was 15.77 times, with a high of 18.65 times and a low of 13.23 times. The median multiple of market value to net income of 15.77 times was applied to Chambers' fiscal 1995 pro forma net income to arrive at an implied market value of $108 million and an implied share price of $1.25. The median multiple of market value to net income of 15.77 times was also applied to Chambers' fiscal 1997 pro forma net income and discounted to present value using a cost of equity of 14.09% to arrive at an implied market value of $186.5 million and an implied share price of $2.15.</w:t>
      </w:r>
    </w:p>
    <w:p>
      <w:pPr>
        <w:spacing w:after="0" w:line="189" w:lineRule="exact"/>
        <w:rPr>
          <w:sz w:val="20"/>
          <w:szCs w:val="20"/>
          <w:color w:val="auto"/>
        </w:rPr>
      </w:pPr>
    </w:p>
    <w:p>
      <w:pPr>
        <w:ind w:left="3" w:right="2839" w:firstLine="473"/>
        <w:spacing w:after="0" w:line="256" w:lineRule="auto"/>
        <w:rPr>
          <w:sz w:val="20"/>
          <w:szCs w:val="20"/>
          <w:color w:val="auto"/>
        </w:rPr>
      </w:pPr>
      <w:r>
        <w:rPr>
          <w:rFonts w:ascii="Courier New" w:cs="Courier New" w:eastAsia="Courier New" w:hAnsi="Courier New"/>
          <w:sz w:val="15"/>
          <w:szCs w:val="15"/>
          <w:color w:val="auto"/>
        </w:rPr>
        <w:t>Analysis of Selected Mergers and Acquisitions. J.P. Morgan also reviewed selected recent mergers and acquisitions. The twelve transactions reviewed included: (i) WMX/SCA; (ii) Leigh/HT Hughes; (iii) Attwoods/Ebeneezer Mears;</w:t>
      </w:r>
    </w:p>
    <w:p>
      <w:pPr>
        <w:spacing w:after="0" w:line="2" w:lineRule="exact"/>
        <w:rPr>
          <w:sz w:val="20"/>
          <w:szCs w:val="20"/>
          <w:color w:val="auto"/>
        </w:rPr>
      </w:pPr>
    </w:p>
    <w:p>
      <w:pPr>
        <w:ind w:left="463" w:hanging="463"/>
        <w:spacing w:after="0"/>
        <w:tabs>
          <w:tab w:leader="none" w:pos="46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Severn Trent/Biffa Holdings; (v) Wessex Waste/Wimpey Waste; (vi) WMX/SPAT;</w:t>
      </w:r>
    </w:p>
    <w:p>
      <w:pPr>
        <w:spacing w:after="0" w:line="11" w:lineRule="exact"/>
        <w:rPr>
          <w:rFonts w:ascii="Courier New" w:cs="Courier New" w:eastAsia="Courier New" w:hAnsi="Courier New"/>
          <w:sz w:val="15"/>
          <w:szCs w:val="15"/>
          <w:color w:val="auto"/>
        </w:rPr>
      </w:pPr>
    </w:p>
    <w:p>
      <w:pPr>
        <w:ind w:left="3" w:right="2659" w:hanging="3"/>
        <w:spacing w:after="0" w:line="256" w:lineRule="auto"/>
        <w:tabs>
          <w:tab w:leader="none" w:pos="5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Wessex Waste/WMX; (viii) South West Waste/HaulWaste; (ix) Hanson/ Econowaste; (x) BFI/Otto Waste; (xi) USA Waste/Envirofil; and (xii) BFI/Attwoods. In performing its analysis, J.P. Morgan compared selected financial data, including equity purchase price as a multiple of latest twelve months ("LTM") net income and book value, and aggregate purchase price (equity purchase price adjusted for long-term debt and cash) as a multiple of LTM revenues; EBIT; EBITDA; and operating income for 12 selected transactions in the solid waste industry. The median multiple of equity purchase price to net income was 30.05 times, with a high of 38.9 times and a low of 22.5 times, compared to 31.91 times net income for the Merger based on Chambers' operating performance for 1994 estimated fiscal year results and an Exchange Ratio of .41667. The median multiple of aggregate purchase price to LTM revenues was 1.98 times, with a high of 2.99 times and a low of 1.35 times, compared to 2.41 times net income for the Merger based on Chambers' operating performance for 1994 estimated fiscal year results and an Exchange Ratio of .41667. The median multiple of aggregate purchase price to LTM EBIT was 21.1 times, with a high of 37.07 times and a low of 16.29 times, compared to 25.24 times net income for the Merger based on Chambers' operating performance for 1994 estimated fiscal year results and an Exchange Ratio of .41667. The median multiple of aggregate purchase price to LTM EBITDA was 8.02 times, with a high of 8.7 times and a low of 7.34 times, compared to 10 times net income for the Merger based on Chambers' operating performance for 1994 estimated fiscal year results and an Exchange Ratio of</w:t>
      </w:r>
    </w:p>
    <w:p>
      <w:pPr>
        <w:spacing w:after="0" w:line="13" w:lineRule="exact"/>
        <w:rPr>
          <w:rFonts w:ascii="Courier New" w:cs="Courier New" w:eastAsia="Courier New" w:hAnsi="Courier New"/>
          <w:sz w:val="15"/>
          <w:szCs w:val="15"/>
          <w:color w:val="auto"/>
        </w:rPr>
      </w:pPr>
    </w:p>
    <w:p>
      <w:pPr>
        <w:ind w:left="3" w:right="26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.41667. J.P. Morgan noted that, based on the Exchange Ratio, the Merger results in multiples to LTM revenues, EBIT, EBITDA and operating income that are within the range of multiples for the 12 selected transactions, which are based on LTM financial performance. The transaction multiples were compared with those resulting from the Merger, which were found on an overall basis to be within the range of multiples for the comparable transactions. In addition, J.P. Morgan analyzed the premiums paid one day prior to announcement of 116 stock-for-stock</w:t>
      </w:r>
    </w:p>
    <w:p>
      <w:pPr>
        <w:sectPr>
          <w:pgSz w:w="11900" w:h="16838" w:orient="portrait"/>
          <w:cols w:equalWidth="0" w:num="1">
            <w:col w:w="10222"/>
          </w:cols>
          <w:pgMar w:left="237" w:top="295" w:right="1440" w:bottom="1440" w:gutter="0" w:footer="0" w:header="0"/>
        </w:sectPr>
      </w:pPr>
    </w:p>
    <w:p>
      <w:pPr>
        <w:spacing w:after="0" w:line="17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2"/>
          </w:cols>
          <w:pgMar w:left="237" w:top="295" w:right="1440" w:bottom="1440" w:gutter="0" w:footer="0" w:header="0"/>
          <w:type w:val="continuous"/>
        </w:sectPr>
      </w:pPr>
    </w:p>
    <w:bookmarkStart w:id="49" w:name="page50"/>
    <w:bookmarkEnd w:id="49"/>
    <w:p>
      <w:pPr>
        <w:ind w:left="283"/>
        <w:spacing w:after="0"/>
        <w:rPr>
          <w:sz w:val="20"/>
          <w:szCs w:val="20"/>
          <w:color w:val="auto"/>
        </w:rPr>
      </w:pPr>
      <w:r>
        <w:rPr>
          <w:rFonts w:ascii="Courier New" w:cs="Courier New" w:eastAsia="Courier New" w:hAnsi="Courier New"/>
          <w:sz w:val="16"/>
          <w:szCs w:val="16"/>
          <w:color w:val="auto"/>
        </w:rPr>
        <w:t>47</w:t>
      </w:r>
    </w:p>
    <w:p>
      <w:pPr>
        <w:spacing w:after="0" w:line="186" w:lineRule="exact"/>
        <w:rPr>
          <w:sz w:val="20"/>
          <w:szCs w:val="20"/>
          <w:color w:val="auto"/>
        </w:rPr>
      </w:pPr>
    </w:p>
    <w:p>
      <w:pPr>
        <w:ind w:left="3" w:right="3039"/>
        <w:spacing w:after="0" w:line="237" w:lineRule="auto"/>
        <w:rPr>
          <w:sz w:val="20"/>
          <w:szCs w:val="20"/>
          <w:color w:val="auto"/>
        </w:rPr>
      </w:pPr>
      <w:r>
        <w:rPr>
          <w:rFonts w:ascii="Courier New" w:cs="Courier New" w:eastAsia="Courier New" w:hAnsi="Courier New"/>
          <w:sz w:val="16"/>
          <w:szCs w:val="16"/>
          <w:color w:val="auto"/>
        </w:rPr>
        <w:t>merger transactions from 1991 through 1994, and concluded that the Chambers' implied premium compares favorably to other public mergers.</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summary set forth above does not purport to be a complete description of the analyses of data presented by J.P. Morgan. The preparation of a fairness opinion is a complex process and is not necessarily susceptible to partial analysis or summary description. J.P. Morgan believes that the summary set forth above and their analyses must be considered as a whole and that selecting portions thereof, without considering all of their analyses, could create an incomplete view of the processes underlying its analyses and opinion. J.P. Morgan based its analyses on assumptions that it deemed reasonable, including assumptions concerning general business and economic conditions and industry-specific factors. The other principal assumptions upon which J.P. Morgan based its analyses are set forth above under the description of each such analysis. J.P. Morgan's analyses are not necessarily indicative of actual values or actual future results that might be achieved, which values may be higher or lower than those indicated. Moreover, J.P. Morgan's analyses are not and do not purport to be appraisals or otherwise reflective of the prices at which businesses actually could be bought or sold.</w:t>
      </w:r>
    </w:p>
    <w:p>
      <w:pPr>
        <w:spacing w:after="0" w:line="192"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As part of its investment banking business, J.P. Morgan and its affiliates are continually engaged in valuation of businesses and their securities in connection with mergers and acquisitions, investments for passive and control purposes, negotiated underwritings, secondary distributions of listed and unlisted securities, private placements, and valuation for estate, corporate, and other purposes.</w:t>
      </w:r>
    </w:p>
    <w:p>
      <w:pPr>
        <w:spacing w:after="0" w:line="190"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In connection with the Merger, Chambers entered into an engagement letter with J.P. Morgan, pursuant to which Chambers retained J.P. Morgan to provide a fairness opinion in connection with the Merger. Pursuant to the engagement letter, Chambers agreed to pay J.P. Morgan $100,000 upon execution thereof and agreed to pay J.P. Morgan an additional fee upon the closing of the Merger equal to: (A) the product of (i) .0075, (ii) the last sales price of USA Waste's Common Stock on the last trading day prior to the closing date of the Merger that USA Waste's Common Stock is traded on the NYSE, (iii) 0.41667, and (iv) the total number of shares of Chambers Common Stock and Chambers Class A Common Stock outstanding on the closing date of the Merger; plus (B) the product of .0075 and all outstanding indebtedness of Chambers as of the closing date; less</w:t>
      </w:r>
    </w:p>
    <w:p>
      <w:pPr>
        <w:spacing w:after="0" w:line="7" w:lineRule="exact"/>
        <w:rPr>
          <w:sz w:val="20"/>
          <w:szCs w:val="20"/>
          <w:color w:val="auto"/>
        </w:rPr>
      </w:pPr>
    </w:p>
    <w:p>
      <w:pPr>
        <w:ind w:left="3" w:right="2839" w:hanging="3"/>
        <w:spacing w:after="0" w:line="262" w:lineRule="auto"/>
        <w:tabs>
          <w:tab w:leader="none" w:pos="38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$600,000. Chambers has also agreed to reimburse J.P. Morgan for reasonable expenses incurred by J.P. Morgan and to indemnify J.P. Morgan against certain liabilities, including liabilities under the federal securities laws.</w:t>
      </w:r>
    </w:p>
    <w:p>
      <w:pPr>
        <w:spacing w:after="0" w:line="16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CONFLICTS OF INTERESTS</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In considering the recommendation of the Boards of Directors of USA Waste and Chambers with respect to the Merger, holders of common stock of USA Waste and Chambers should be aware that certain members of the Boards of Directors and management have certain interests separate from their interests as stockholders, including those referred to below.</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After the Merger is consummated, John G. Rangos, Sr., Chairman and Chief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Executive Officer of Chambers, will become a Director and a non-executive Vice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Chairman of USA Waste. Alexander W. Rangos, President and Chief Operating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Officer of Chambers, will become a Director and Executive Vice President for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Landfill Development of USA Waste for a five-year term at a base salary of</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$275,000 per year. In addition, at the Effective Time, USA Waste will enter into</w:t>
      </w:r>
    </w:p>
    <w:p>
      <w:pPr>
        <w:spacing w:after="0" w:line="12"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a consulting and non-compete agreement with each of John G. Rangos, Sr. and John</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 Rangos, Jr., Vice Chairman and Secretary of Chambers, providing for annual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compensation of $450,000 and $250,000, respectively, for a term of five years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each.</w:t>
      </w:r>
    </w:p>
    <w:p>
      <w:pPr>
        <w:spacing w:after="0" w:line="186" w:lineRule="exact"/>
        <w:rPr>
          <w:sz w:val="20"/>
          <w:szCs w:val="20"/>
          <w:color w:val="auto"/>
        </w:rPr>
      </w:pPr>
    </w:p>
    <w:p>
      <w:pPr>
        <w:ind w:left="3" w:right="2759" w:firstLine="473"/>
        <w:spacing w:after="0" w:line="258" w:lineRule="auto"/>
        <w:rPr>
          <w:sz w:val="20"/>
          <w:szCs w:val="20"/>
          <w:color w:val="auto"/>
        </w:rPr>
      </w:pPr>
      <w:r>
        <w:rPr>
          <w:rFonts w:ascii="Courier New" w:cs="Courier New" w:eastAsia="Courier New" w:hAnsi="Courier New"/>
          <w:sz w:val="15"/>
          <w:szCs w:val="15"/>
          <w:color w:val="auto"/>
        </w:rPr>
        <w:t>In February 1993, Chambers entered into employment agreements with certain of its key executives that provide such executives with rights to severance benefits if employment with Chambers ceases under specified circumstances in connection with a "change of control" of Chambers such as the Merger. Such agreements were replaced effective as of February 1995 with agreements substantially similar to the prior agreements except with respect to certain termination provisions unrelated to the change of control termination provisions. If such severance payments were triggered, Chambers would be obligated to pay a total of approximately $7,600,000 to such executives. The term of each of these agreements ends on February 2, 1996. Discussions</w:t>
      </w:r>
    </w:p>
    <w:p>
      <w:pPr>
        <w:sectPr>
          <w:pgSz w:w="11900" w:h="16838" w:orient="portrait"/>
          <w:cols w:equalWidth="0" w:num="1">
            <w:col w:w="10222"/>
          </w:cols>
          <w:pgMar w:left="237" w:top="295" w:right="1440" w:bottom="1440" w:gutter="0" w:footer="0" w:header="0"/>
        </w:sectPr>
      </w:pPr>
    </w:p>
    <w:p>
      <w:pPr>
        <w:spacing w:after="0" w:line="17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22"/>
          </w:cols>
          <w:pgMar w:left="237" w:top="295"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48</w:t>
      </w:r>
    </w:p>
    <w:p>
      <w:pPr>
        <w:spacing w:after="0" w:line="186" w:lineRule="exact"/>
        <w:rPr>
          <w:sz w:val="20"/>
          <w:szCs w:val="20"/>
          <w:color w:val="auto"/>
        </w:rPr>
      </w:pPr>
    </w:p>
    <w:p>
      <w:pPr>
        <w:jc w:val="both"/>
        <w:ind w:right="3319"/>
        <w:spacing w:after="0" w:line="238" w:lineRule="auto"/>
        <w:rPr>
          <w:sz w:val="20"/>
          <w:szCs w:val="20"/>
          <w:color w:val="auto"/>
        </w:rPr>
      </w:pPr>
      <w:r>
        <w:rPr>
          <w:rFonts w:ascii="Courier New" w:cs="Courier New" w:eastAsia="Courier New" w:hAnsi="Courier New"/>
          <w:sz w:val="16"/>
          <w:szCs w:val="16"/>
          <w:color w:val="auto"/>
        </w:rPr>
        <w:t>are ongoing with respect to continuing service to the combined company by certain executive officers of Chambers under either continuing employment agreements or consulting agreements.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USA Waste has entered into employment agreements with certain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and directors. The agreements contain non-compete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confidentiality clauses which are generally effective for a period of five years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termination of the executive's employment. In consideration for these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clauses, USA Waste has agreed to pay an amount equal to a multiple of defined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upon the occurrence of a change in control of USA Waste if,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following such change in control, USA Waste seeks to terminate such officers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cause or takes any action adverse to such officers without their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In the event of termination of all executives and directors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 upon a change in control, USA Waste would be required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make payments of approximately $3,484,000. See "Election of USA Waste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 Executive Compensation." The employment agreements entered into by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Messrs. Drury, Moorehead, Sutherland-Yoest and Wilcox specifically exclude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change in control transaction a transaction approved by 75% of the USA Waste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July 8, 1993, Chambers entered into a purchase option with John G. Rangos, Sr., to acquire approximately 68.45 acres of land which are contiguous to Chambers' Monroeville landfill in Pennsylvania. The option, which extends through December 31, 1996, and for which Mr. Rangos was paid $87,000, grants to Chambers the right to purchase the property for $2,982,000, which is the fair market value indicated by an independent appraisal of the property in June 1993. Mr. Rangos currently owns an undivided 70% interest in the property and holds an option to acquire the remaining 30% undivided interest from, among others, Michael J. Peretto, a director of Chambers, for $894,600. USA Waste has agreed that at the Effective Time it will cause Chambers to exercise its right to acquire such property pursuant to the option agreement.</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November 14, 1985, John G. Rangos, Sr., John G. Rangos, Jr. and Alexander W. Rangos, doing business as Synergy Associates, completed the private placement of a $3,000,000 Allegheny County Industrial Development Variable Rate Demand Note, initially bearing interest at a floating rate equal to 63% of the prime interest rate of PNC Bank, to finance the conversion of existing property into the current headquarters of Chambers. The outstanding principal balance of such note as of December 31, 1994 was $1,945,000. The lender has agreed not to exercise its rights to demand payment before November 1, 1995. Synergy Associates is directly liable on the instrument, which is secured by the property, but Chambers, as the tenant of the facility, was required by the lender to guarantee the financing. Under the lease, which was entered into in December 1986, Synergy Associates passed through to Chambers certain federal income tax credits. Through March 1987, it was determined that the amount of such tax credits passed through to Chambers exceeded $500,000. Because the amount of these tax credits substantially exceeded the expectations of the parties at the time the lease was entered into, Chambers agreed to modify the lease to provide to Synergy Associates the option, exercisable at any time, to have Chambers prepay the twentieth year's rent in an amount equal to the rent that is due in the year in which the option is exercised. This option was exercised in April 1988, and Chambers made the aforementioned prepayment in an amount of approximately $752,000. The lease provides for a renewal term of ten years following the expiration of the initial twenty-year term. This long-term leasing arrangement and guarantee by Chambers of the financing discussed above were approved by a majority of the disinterested directors of Chambers on November 1, 1985. The cost to Chambers as lessee, including the cost of construction paid for by Chambers, is approximately $19.47 per square foot per year, based upon 57,238 square feet of rented space. Aggregate payments under the lease during 1994 were approximately $1,018,000. The lease provides for annual rent increases based upon inflation, increases in insurance costs and real estate taxes, and changes in the debt service costs to Synergy Associates. Pursuant to the terms of the settlement agreement executed by counsel to the certain derivative litigation affecting Chambers (see "The Merger and Related Transactions -- Financing Arrangements" and "Description of Chambers -- Legal Proceedings"), the Rangos family has agreed to cause Synergy Associates to contribute the building, subject to the existing mortgage, to Chambers, which will result in the extinguishment of future lease obligations which, as of December 31, 1994, totaled approximately $11,140,000. A third party independent appraiser has assigned such future lease obligations a present value of approximately $7,380,000. In anticipation of the transfer of the building, Synergy Associates and Chambers intend to address certain claims made by Synergy Associates for rental adjustments of approximately $300,000.</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95"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49</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has also agreed to use its reasonable efforts to have John G. Rangos, Sr. removed, as promptly as possible after the Effective Time, as a guarantor of certain performance bonds (in a face amount of approximately $14.7 million) naming Chambers as an insured. USA Waste has agreed that, until Mr. Rangos is relieved from all liability under such performance bonds, it will indemnify and hold Mr. Rangos harmless against any costs or expenses incurred by Mr. Rangos in connection with such bonds.</w:t>
      </w:r>
    </w:p>
    <w:p>
      <w:pPr>
        <w:spacing w:after="0" w:line="192"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Ten of the executive officers of Chambers hold options to acquire an aggregate of 860,600 shares of Chambers Class A Common Stock pursuant to the terms of certain stock option agreements, at exercise prices ranging from $2.25 to $17.44. Of such options, 418,550 are currently exercisable and 442,050 will become fully vested and exercisable immediately upon a "change in control" such as the Merger. Included in the options which will become fully vested and exercisable immediately upon a "change in control" are options held by Alexander W. Rangos and John G. Rangos, Jr., each to acquire 38,700 shares at an exercise price of $2.25 per share. At the Effective Time, all of these options will be automatically converted into options to purchase a number of shares of USA Waste Common Stock equal to the number of Chambers shares underlying such options multiplied by the Exchange Ratio, at an exercise price equal to the exercise price of the Chambers Option divided by the Exchange Ratio. All other terms and conditions of the options will be the same as before the Effective Time. As a result, the options exercisable by the executive officers of Chambers for 860,600 shares of Chambers Class A Common Stock will be converted into options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acquire 358,856 shares of USA Waste Common Stock. The price will be converted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$2.25 to $17.44 per share of Chambers Class A Common Stock to $5.40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$41.86 per share of USA Waste Common Stock. Each of Alexander W. Rangos and John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Rangos, Jr. will have their options converted into options to acquire 16,125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USA Waste Common Stock at $5.40 per share. Based upon the closing sale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of $15.10 per share of USA Waste Common Stock on the Record Date,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value based upon the excess of the market price of the stock over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price of the options that would become exercisable upon consummation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is $1,294,486, with approximately $156,413 attributable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held by each of Alexander W. Rangos and John G. Rangos, Jr. See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of Merger and Terms of the Merger -- Chambers Options."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Merger Agreement provides for indemnification of the officers and directors of Chambers against all costs or expenses (including reasonable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acts or omissions in connection with such persons serving as an officer, director, or other fiduciary in any entity if such service was at the request of Chambers) or arising out of or pertaining to the transactions contemplated by the Merger Agreement. See "The Plan of Merger and Terms of the Merger -- Indemnification."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AGREEMENT</w:t>
      </w:r>
    </w:p>
    <w:p>
      <w:pPr>
        <w:spacing w:after="0" w:line="36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At the Effective Time of the Merger, USA Waste, Donald F. Moorehead, Jr., and John E. Drury will enter into the Shareholders Agreement with John G. Rangos, Sr., John G. Rangos, Jr., Alexander W. Rangos and John Rangos Development Corporation, Inc. (who comprise the Rangos Shareholders) that, among other things, will provide certain rights to the Rangos Shareholders to name or participate in the naming of certain members to the Board of Directors of USA Waste and to name certain members of the Executive Committee of the Board of Directors of USA Waste. In addition, the Shareholders Agreement will require the affirmative vote of at least two-thirds of the members of the USA Waste Board of Directors to take certain actions. The Shareholders Agreement will remain in effect until the aggregate number of shares of USA Waste Common Stock beneficially held by the Rangos Shareholders and their affiliates is less than five percent of the outstanding shares of USA Waste Common Stock. Immediately after the Effective Time, the Rangos Shareholders will control approximately 21% of the voting stock of USA Waste, and Donald F. Moorehead, Jr. and John E. Drury will collectively control approximately 5% of such stock.</w:t>
      </w:r>
    </w:p>
    <w:p>
      <w:pPr>
        <w:spacing w:after="0" w:line="200" w:lineRule="exact"/>
        <w:rPr>
          <w:sz w:val="20"/>
          <w:szCs w:val="20"/>
          <w:color w:val="auto"/>
        </w:rPr>
      </w:pPr>
    </w:p>
    <w:p>
      <w:pPr>
        <w:spacing w:after="0" w:line="34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Pursuant to the Shareholders Agreement, USA Waste and Messrs. Moorehead and Drury will be obligated, immediately after the Effective Time, to use their best efforts to cause John G. Rangos, Sr. and Alexander W. Rangos to be appointed as directors of USA Waste. In addition, during the term of the Shareholders Agreement, USA Waste, Messrs. Moorehead and Drury, and the Rangos Shareholders will use</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5"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50</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their best efforts to cause the Board of Directors to include at all times (in addition to the two directors designated by the Rangos Shareholders) four persons who are approved by at least four members of an Executive Committee of the Board of Directors and none of whom is an officer or employee of USA Waste or Chambers. The Shareholders Agreement also provides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ARRANGEMENTS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Pursuant to requirements negotiated in connection with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USA Waste and Chambers developed a plan for the financing of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Chambers' obligations, including a $6,800,000 obligation that was due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1995 and $70,000,000 in payments required pursuant to the settlement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with respect to the shareholder litigation (the "Settlement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See "Description of Chambers -- Legal Proceedings." The purpose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financing plan, the requirements for which were imposed by Chambers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to proceeding with the negotiation and execution of the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was to provide Chambers with the ability to fund these payment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obligations pending the Merger and in the event that the parties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subsequently unable or unwilling to proceed with the Merger. The financing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set forth in a letter agreement executed on December 19, 1994. To provide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payment of the $6,800,000 obligation, USA Waste agreed (i) to accelerate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January 30, 1995 the payment of $2,500,000 on certain promissory notes 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USA Waste to Chambers with respect to a previous transaction and (ii)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 into a letter of intent pursuant to which USA Waste would agree to acquire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assets from Chambers and make a deposit of $4,300,000 to be applied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 the purchase price for such assets. These payments were made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of intent was executed providing for the purchase of certain 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a hauling company in Charlotte, North Carolina and a landfill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collection facility in Lake, Mississippi, for a total purchase price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$7,600,000. The letter of intent will expire upon the Merger. In the event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Agreement is terminated, the closing of the asset purchase will occur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 75 days after such termination. To provide for the funding of the initial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$25,000,000 settlement payment due upon final approval of the settlement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litigation, USA Waste agreed to make an advance purchase of airspace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at certain of Chambers' landfills in the aggregate amount of $25,000,000.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payment would be made within 30 days after final approval of the Settlement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and expiration of the applicable appeal period. To provide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the $45,000,000 settlement payment on the shareholder litigation,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and Chambers have agreed to negotiate an agreement for the purchase by 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from Chambers of an asset or group of assets or airspace rights mutually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by USA Waste and Chambers and having a fair market value of not less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$45,000,000. Payment of such amount is required not later than one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date of final approval of the Settlement Agreements and expiration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applicable appeal period. In the event Chambers completes a refinancing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current indebtedness, including amounts due with respect to the shareholder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 USA Waste's obligation to finance the $45,000,000 payment will lapse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USA Waste will have an option to require Chambers to repurchase,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will have an option to require USA Waste to sell, any unused airspace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 in advance by USA Waste.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following discussion summarizes certain material Federal income tax consequences of the Merger to holders of Chambers Common Stock under the Code, but does not deal with all tax consequences of the Merger that may be relevant to Chambers stockholders in light of their particular circumstances, such as the tax consequences to Chambers stockholders who do not hold their Chambers Common Stock or Chambers Class A Common Stock as a capital asset, foreign persons, or persons who acquired their shares in compensatory transactions. Furthermore, no foreign, state, or local tax considerations are addressed herein.</w:t>
      </w:r>
    </w:p>
    <w:p>
      <w:pPr>
        <w:spacing w:after="0" w:line="17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THIS SUMMARY SHOULD NOT BE REGARDED AS A SUBSTITUTE FOR AN INDIVIDUAL ANALYSIS OF THE TAX CONSEQUENCES OF THE MERGER TO A CHAMBERS STOCKHOLDER. EACH CHAMBERS STOCKHOLDER SHOULD CONSULT A TAX ADVISOR REGARDING THE PARTICULAR FEDERAL, STATE, LOCAL, AND FOREIGN TAX CONSEQUENCES OF THE MERGER TO SUCH STOCKHOLDER'S OWN SITUATION.</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5" w:right="1440" w:bottom="1440"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51</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Chambers has received from its counsel, Thorp, Reed &amp; Armstrong, an opinion (the "Opinion") to the effect that neither Chambers nor its stockholders will recognize any gain or loss for federal income tax purposes as a result of consummation of the Merger, except to the extent that such stockholders receive cash in lieu of a fractional share of USA Waste Common Stock. In addition, Thorp, Reed &amp; Armstrong has opined, based upon representations from USA Waste, that implementation of the Reincorporation will not alter its Opinion. Thorp, Reed &amp; Armstrong shall confirm the Opinion as of the Effective Time. The Opinion is subject to certain qualifications and assumptions as noted therein and is based on certain representations of USA Waste, Acquisition, Chambers, and affiliates of Chambers. Included among these representations is a representation by Chambers that following the Merger it will hold at least 90% of the fair market value of its net assets, at least 70% of the fair market value of its gross assets, at least 90% of the fair market value of Acquisition's net assets and at least 70% of the fair market value of Acquisition's gross assets held immediately prior to the Merger. Chambers stockholders should be aware that this discussion and the Opinion is based upon counsel's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statements and conclusions set forth herein. Any such changes or interpretations could be applied retroactively and could affect the tax consequences of the Merger. Chambers stockholders should be aware that the Opinions will not be binding upon the Internal Revenue Service (the "Service") and the Service will not be precluded from adopting a contrary position.</w:t>
      </w:r>
    </w:p>
    <w:p>
      <w:pPr>
        <w:spacing w:after="0" w:line="362"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Assuming the Merger qualifies as a reorganization under Section 368(a) of the Code, the following Federal income tax consequences will occur:</w:t>
      </w:r>
    </w:p>
    <w:p>
      <w:pPr>
        <w:spacing w:after="0" w:line="188" w:lineRule="exact"/>
        <w:rPr>
          <w:sz w:val="20"/>
          <w:szCs w:val="20"/>
          <w:color w:val="auto"/>
        </w:rPr>
      </w:pPr>
    </w:p>
    <w:p>
      <w:pPr>
        <w:ind w:left="460" w:right="2939" w:firstLine="483"/>
        <w:spacing w:after="0" w:line="237" w:lineRule="auto"/>
        <w:tabs>
          <w:tab w:leader="none" w:pos="131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USA Waste, Acquisition or Chambers in connection with the Merger;</w:t>
      </w:r>
    </w:p>
    <w:p>
      <w:pPr>
        <w:spacing w:after="0" w:line="187"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 holder of Chambers Common Stock or Chambers Class A Common Stock who exchanges all of his shares of Chambers Common Stock or Chambers Class A Common Stock solely for shares of USA Waste Common Stock in the Merger;</w:t>
      </w:r>
    </w:p>
    <w:p>
      <w:pPr>
        <w:spacing w:after="0" w:line="187"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tax basis of the shares of USA Waste Common Stock received by a Chambers stockholder in the Merger (including any fractional share not actually received) will be the same as the aggregate tax basis of the Chambers Common Stock or Chambers Class A Common Stock surrendered in exchange therefor;</w:t>
      </w:r>
    </w:p>
    <w:p>
      <w:pPr>
        <w:spacing w:after="0" w:line="188"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USA Waste Common Stock received by a Chambers stockholder in the Merger will include the holding period of the shares of Chambers Common Stock or Chambers Class A Common Stock surrendered in exchange therefor, provided that such shares of Chambers Common Stock or Chambers Class A Common Stock are held as capital assets at the Effective Time; and</w:t>
      </w:r>
    </w:p>
    <w:p>
      <w:pPr>
        <w:spacing w:after="0" w:line="190"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Chambers stockholder receiving cash in lieu of a fractional share will recognize gain or loss upon such payment equal to the difference, if any, between such stockholder's basis in the fractional share (as described in paragraph (c) above) and the amount of cash received. Such gain or loss will be a capital gain or loss if the Chambers Common Stock or Chambers Class A Common Stock is held as a capital asset at the Effective Time.</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Even if the Merger qualifies as a tax-free reorganization, a recipient of USA Waste Common Stock could recognize gain to the extent that such shares were considered by the Service to be received in exchange for consideration other than Chambers Common Stock or Chambers Class A Common Stock. All or a portion of such gain may be taxable as ordinary income. Gain would be recognized to the extent that a Chambers stockholder was treated by the Service as receiving (directly or indirectly) consideration other than USA Waste Common Stock in exchange for his or her Chambers Common Stock or Chambers Class A Common Stock.</w:t>
      </w:r>
    </w:p>
    <w:p>
      <w:pPr>
        <w:spacing w:after="0" w:line="176"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A successful challenge by the Service to the tax-free reorganization status of the Merger would result in a Chambers stockholder recognizing taxable gain or loss with respect to the difference between the stockholder's</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95" w:right="1440" w:bottom="1440" w:gutter="0" w:footer="0" w:header="0"/>
          <w:type w:val="continuous"/>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52</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basis in his or her shares and the fair market value, as of the Effective Date, of the USA Waste Common Stock received in exchange therefor. In such event, a stockholder's basis in the USA Waste Common Stock so received would equal its fair market value and the holding period for such stock would begin on the Effective Date.</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Federal income tax consequences summarized above are for general information only. Each Chambers stockholder should consult a tax advisor as to the particular consequences of the Merger that may apply to such stockholder, including the application of the state inheritance and gift tax laws and of state, local, and foreign laws.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OPERATING LOSS CARRYFORWARDS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Chambers' federal income tax returns for 1988 through 1992 are currently under examination by the Service. Chambers has reached tentative agreement with the Service regarding the tax treatment of certain costs and expenses deducted for financial statement purposes in these open tax years. That agreement is subject to the approval of the Joint Committee on Taxation. Based on this tentative agreement, Chambers estimates its consolidated tax net operating loss carryforwards to be approximately $232 million at December 31, 1994, the majority of which expire in 2007.</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net operating loss carryforwards will be adjusted for the effect of the proposed settlement of the Chambers' shareholder litigation. The amount of the net operating loss will be subject to adjustment as actual shareholder claims are paid in accordance with the proposed settlement. For a description of the shareholder litigation and the proposed settlement, see "Description of Chambers -- Legal Proceedings."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382 of the Code generally provides that following an "ownership change," a corporation's (the "Loss Corporation") ability to utilize net operating loss carryforwards will be subject to an annual limitation ("the Section 382 Limitation") equal to the product of (i) the fair market value of the Loss Corporation's stock at the time of the ownership change and (ii) the long-term tax-exempt rate published by the Service at the time of the ownership change (currently 6.21%). In determining the fair market value of a Loss Corporation's stock, any capital contributions received by the Loss Corporation as part of a plan a principal purpose of which is to avoid or increase the Section 382 Limitation is disregarded. Any capital contribution made to the Loss Corporation within the two years preceding the ownership change is generally treated as part of a plan to avoid or reduce the Section 382 Limitation.</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Section 382 the determination of whether an "ownership change" has occurred is based on ownership shifts involving persons or groups that are or are deemed to be "5-percent shareholders" of a Loss Corporation as defined in Section 382 and the regulations thereunder that have occurred during the three years preceding any ownership shift. While the Merger represents an ownership shift under Section 382 and although a complete analysis has not been made, Chambers does not expect to experience an ownership change as defined in Section 382 as a result of the Merger after considering other ownership shifts involving 5-percent shareholders of Chambers that have occurred during the three years prior to the Effective Time.</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While Chambers does not expect to experience an ownership change as a result of the Merger, certain future ownership shifts involving persons or groups that are or are deemed to be 5-percent shareholders of Chambers that occur during the three years subsequent to the Effective Time (the "NOL Testing Period") may result in an ownership change under Section 382 and limit USA Waste's ability on an annual basis to utilize Chambers' net operating loss carryforwards after the date of such ownership change. Ownership shifts that may, individually or collectively, result in an ownership change include, but are not limited to: (i) the acquisition by a person or group of 5% or more of the outstanding shares of USA Waste Common Stock, (ii) certain dispositions by John G. Rangos, Sr., a 5-percent shareholder of Chambers within the meaning of Section 382, of shares of USA Waste Common Stock, (iii) certain acquisitions by John G. Rangos, Sr. or Robert F. Smith, who would become a 5-percent shareholder of Chambers within the meaning of Section 382, of shares of USA Waste Common Stock, or (iv) the issuance by USA Waste of a relatively small number of shares of USA Waste Common Stock (including upon exercise of currently outstanding warrants or conversion of currently outstanding warrants or conversion of currently outstanding convertible debentures) in any taxable year.</w:t>
      </w:r>
    </w:p>
    <w:p>
      <w:pPr>
        <w:sectPr>
          <w:pgSz w:w="11900" w:h="16838" w:orient="portrait"/>
          <w:cols w:equalWidth="0" w:num="1">
            <w:col w:w="10219"/>
          </w:cols>
          <w:pgMar w:left="240" w:top="295" w:right="1440" w:bottom="1440" w:gutter="0" w:footer="0" w:header="0"/>
        </w:sectPr>
      </w:pPr>
    </w:p>
    <w:p>
      <w:pPr>
        <w:spacing w:after="0" w:line="35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95" w:right="1440" w:bottom="1440"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53</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Since USA Waste can control neither the ownership shifts identified in clauses (i), (ii), and (iii) of the preceding sentence nor certain transactions that fall within clause (iv), no assurance can be given that an ownership change will not occur during the NOL Testing Period. Because of the number of ownership shifts that will have occurred relating to Chambers as of the Effective Time, the amount of collective ownership shifts that must occur during the NOL Testing Period in order to trigger an ownership change could involve as little as approximately two percent of the outstanding shares of USA Waste Common Stock. In addition, USA Waste may decide that it is advisable to undertake an equity offering during the NOL Testing Period of a number of shares that individually, or collectively with other ownership shifts that have occurred subsequent to the Effective Time, results in an ownership change.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actual Section 382 Limitation will depend on the fair market value of USA Waste Common Stock and the applicable long-term tax-exempt rate at the time of the ownership change. Assuming a market value of $15.38 per share, which was the closing price of USA Waste Common Stock on May 15, 1995, and applying the current long-term tax-exempt rate published by the Service of 6.21%, the Section 382 Limitation (assuming no adjustment for any built-in-gain) for any taxable year ending after the ownership change would be approximately $26.6 million. Any unused net operating loss carryforwards may be carried forward on a cumulative basis for up to 15 years from the year in which the loss was generated. In addition, if Chambers has a net built-in-gain as defined in Section 382 of the Code and if built-in-gains are recognized for tax purposes over the next five years, the Section 382 Limitation may be increased by the amount of recognized built-in-gain. On the other hand, if Chambers has a net built-in-loss, then certain items which would otherwise be deductible for tax purposes over the next five years would not be deductible to the extent they exceed the Section 382 Limitation. Chambers cannot definitively determine if a built-in-gain or built-in-loss exists subject to the final settlement of the audit by the Service.</w:t>
      </w:r>
    </w:p>
    <w:p>
      <w:pPr>
        <w:spacing w:after="0" w:line="19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Regulations governing the filing of consolidated returns by affiliated groups of corporations also may limit the use of net operating loss carryforwards of a corporation. Subject to certain regulations discussed below, if an acquired company is a member of an affiliated group filing consolidated returns, any of the acquired corporation's pre-acquisition net operating loss carryforwards which continue to be usable by the acquired corporation will become "separate return limitation year" ("SRLY") net operating losses and hence will be usable only against the acquired corporation's profits, not against the acquiring corporation's profits or the profits of other members of the acquiring corporation's consolidated group. If, however, the shareholders of the acquired corporation receive in the acquisition more than 50% of the fair market value of the stock of the acquiring corporation (as a result of owning stock in the acquired corporation) and a consolidated return is filed for the first year ending after the acquisition, then the transaction is a reverse acquisition under the consolidated return rules. Proposed regulations would clarify the application of the reverse acquisition rules to certain transactions (such as a reorganization described in Section 368(a)(2)(E)). Under such regulations, the acquired corporation's consolidated group is treated as remaining in existence (with the acquiring company as the new parent) and the acquiring corporation's consolidated group is treated as terminating for purposes of the consolidated return regulations. Chambers has advised that its pre-acquisition stockholders will receive more than 50 percent of the fair market value of USA Waste's stock in the acquisition as a result of owning Chambers' stock. Thus, assuming that the former stockholders of Chambers receive more than 50 percent of the fair market value of the stock of USA Waste in the exchange, there should be a reverse acquisition and pursuant to such regulations, the Chambers consolidated group would remain in existence. If the Merger is treated as a reverse acquisition, Chambers' net operating loss carryforwards would not be SRLY net operating losses and hence would generally be usable (subject to any other limitation, including the Section 382 Limitation discussed above) against the profits of USA Waste or any other member of the Chambers-USA Waste consolidated group.</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186"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w:t>
      </w:r>
    </w:p>
    <w:p>
      <w:pPr>
        <w:sectPr>
          <w:pgSz w:w="11900" w:h="16838" w:orient="portrait"/>
          <w:cols w:equalWidth="0" w:num="1">
            <w:col w:w="10219"/>
          </w:cols>
          <w:pgMar w:left="240" w:top="295" w:right="1440" w:bottom="1440" w:gutter="0" w:footer="0" w:header="0"/>
        </w:sectPr>
      </w:pP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5" w:right="1440"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54</w:t>
      </w:r>
    </w:p>
    <w:p>
      <w:pPr>
        <w:spacing w:after="0" w:line="186" w:lineRule="exact"/>
        <w:rPr>
          <w:sz w:val="20"/>
          <w:szCs w:val="20"/>
          <w:color w:val="auto"/>
        </w:rPr>
      </w:pPr>
    </w:p>
    <w:p>
      <w:pPr>
        <w:ind w:right="3419"/>
        <w:spacing w:after="0" w:line="267" w:lineRule="auto"/>
        <w:rPr>
          <w:sz w:val="20"/>
          <w:szCs w:val="20"/>
          <w:color w:val="auto"/>
        </w:rPr>
      </w:pPr>
      <w:r>
        <w:rPr>
          <w:rFonts w:ascii="Courier New" w:cs="Courier New" w:eastAsia="Courier New" w:hAnsi="Courier New"/>
          <w:sz w:val="15"/>
          <w:szCs w:val="15"/>
          <w:color w:val="auto"/>
        </w:rPr>
        <w:t>financial statements for periods prior to consummation of the Merger are restated as though the companies have been combined from inception.</w:t>
      </w:r>
    </w:p>
    <w:p>
      <w:pPr>
        <w:spacing w:after="0" w:line="1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One of the conditions to the Merger is the receipt by USA Waste of a letter from its independent accountants, Coopers &amp; Lybrand L.L.P., that the Merger will qualify as a "pooling of interests" for accounting and financial reporting purposes.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AND REGULATORY APPROVALS</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Transactions such as the Merger are reviewed by the Antitrust Division of the Department of Justice (the "Department of Justice") and the Federal Trade Commission (the "FTC") to determine whether they comply with applicable antitrust laws. Under the provisions of the HSR Act, the Merger may not be consummated until such time as the specified waiting period requirements of the HSR Act have been satisfied. USA Waste and Chambers filed notification reports with the Department of Justice and FTC under the HSR Act on March 1, 1995, and March 10, 1995, respectively, and the waiting period expired on April 9, 1995.</w:t>
      </w:r>
    </w:p>
    <w:p>
      <w:pPr>
        <w:spacing w:after="0" w:line="17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At any time before or after the Effective Time, the Department of Justice and FTC or a private person or entity could seek under the antitrust laws, among other things, to enjoin the Merger or to cause USA Waste to divest itself, in whole or in part, of Chambers or of other businesses conducted by USA Waste. There can be no assurance that a challenge to the Merger will not be made or that, if such a challenge is made, USA Waste and Chambers will prevail.</w:t>
      </w:r>
    </w:p>
    <w:p>
      <w:pPr>
        <w:spacing w:after="0" w:line="177" w:lineRule="exact"/>
        <w:rPr>
          <w:sz w:val="20"/>
          <w:szCs w:val="20"/>
          <w:color w:val="auto"/>
        </w:rPr>
      </w:pPr>
    </w:p>
    <w:p>
      <w:pPr>
        <w:ind w:right="3419" w:firstLine="473"/>
        <w:spacing w:after="0" w:line="238" w:lineRule="auto"/>
        <w:rPr>
          <w:sz w:val="20"/>
          <w:szCs w:val="20"/>
          <w:color w:val="auto"/>
        </w:rPr>
      </w:pPr>
      <w:r>
        <w:rPr>
          <w:rFonts w:ascii="Courier New" w:cs="Courier New" w:eastAsia="Courier New" w:hAnsi="Courier New"/>
          <w:sz w:val="16"/>
          <w:szCs w:val="16"/>
          <w:color w:val="auto"/>
        </w:rPr>
        <w:t>USA Waste and Chambers are not aware of any other governmental or regulatory approvals required for consummation of the Merger, other than compliance with applicable federal and state securities laws.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OF CERTAIN CHAMBERS LITIGATION</w:t>
      </w:r>
    </w:p>
    <w:p>
      <w:pPr>
        <w:spacing w:after="0" w:line="36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Chambers and its affiliates became defendants in a number of federal and state lawsuits arising from an announcement of a change in Chambers' accounting method in March 1992 and a subsequent $362 million reduction in retained earnings as of December 31, 1991. In addition, in 1992, the Commission initiated an investigation with respect to Chambers' accounting method and the accuracy of its financial statements and into the possibility that persons or entities had traded in Chambers' securities on the basis of inside information prior to the announcement of the change in accounting method. On February 24, 1995, Chambers and shareholder representatives executed definitive agreements providing for the settlement and dismissal of the shareholder litigation and the payment of approximately $80,000,000 by Chambers. Such payment may be increased upon consummation of the Merger or a comparable transaction, with the size of such increase depending upon the amount of consideration received by the Chambers stockholders. On March 22, 1995, the court granted preliminary approval of the settlements and the distribution of notices to Chambers' stockholders and the plaintiff class members regarding the settlements. A hearing upon the fairness, reasonableness and adequacy of the proposed settlements has been scheduled for May 19, 1995. In connection with the settlement proceedings, certain potential class members purporting to represent an aggregate of approximately 678,000 shares of Chambers stock have requested exclusion from the settlement. Requests for exclusion by potential class members representing such shares would give Chambers defendants, as well as Grant Thornton (which previously served as Chambers' accounting firm), the right to withdraw from the settlement. Potential class members who are excluded from the settlement will not be foreclosed by such settlement from pursuing any claims they may have against Chambers or others, including Grant Thornton. In addition, in the event the Grant Thornton defendants elect to withdraw from the settlement, Grant Thornton would not be foreclosed from making claims over against Chambers for damages it has incurred or may incur in the future as a result of any claims against it or otherwise in connection with the subject matter of the settlement, subject, however, to the operation of the bar orders and judgment reduction provisions provided for in the shareholder litigation settlement agreements as described in "Description of Chambers -- Legal Proceedings." Under the terms of the Merger Agreement, USA Waste's obligation to consummate the Merger is conditioned upon the shareholder litigation having been fully and irrevocably settled on certain terms referenced therein or on terms otherwise satisfactory to USA Waste. In the event that potential class members representing the shares</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95"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55</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referred to above are excluded from the settlement, this condition would be satisfied only if USA Waste's Board of Directors determines that the terms of the settlement are satisfactory to USA Waste. USA Waste's Board has made no such determination and will do so only after it has been advised as to the extent of the exclusions from the settlements and has evaluated the risks associated with such exclusions, including any decision by Grant Thornton in respect of the settlement. Accordingly, there can be no assurance that the Merger condition relating to the shareholder litigation will be satisfied. In the event USA Waste's Board determines to go forward with the Merger notwithstanding the exclusion of certain potential class members or a withdrawal by Grant Thornton, or both, the condition to the Merger with respect to the Chambers shareholder litigation will have been satisfied and the Merger may proceed accordingly. In such event, Chambers, which following the Merger would be a wholly owned subsidiary of USA Waste, could be subject to future claims by the excluded shareholders and Grant Thornton. In connection with one of the above-mentioned requests for exclusion, a potential class member, purporting to represent approximately 673,000 shares of Chambers stock, has asserted to Chambers' management that it has incurred certain losses beyond those losses attributable to shares purchased during the class period. As of the date hereof, no suit or action with respect to any such claim has been filed. See "Description of Chambers -- Legal Proceedings."</w:t>
      </w:r>
    </w:p>
    <w:p>
      <w:pPr>
        <w:spacing w:after="0" w:line="200" w:lineRule="exact"/>
        <w:rPr>
          <w:sz w:val="20"/>
          <w:szCs w:val="20"/>
          <w:color w:val="auto"/>
        </w:rPr>
      </w:pPr>
    </w:p>
    <w:p>
      <w:pPr>
        <w:spacing w:after="0" w:line="359"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In connection with the Commission investigation, on May 9, 1995, the Commission announced the filing of a complaint against Chambers alleging that Chambers violated the antifraud provisions of the Securities Act and the antifraud, reporting, internal controls and recordkeeping provisions of the Exchange Act. Chambers simultaneously consented, without admitting or denying the allegations, to the entry of an order enjoining it from violating certain provisions of the Securities Act and the Exchange Act and requiring Chambers to pay a civil penalty of $500,000. For a description of the lawsuits, the settlement agreements and the Commission investigation, see "Description of Chambers -- Legal Proceedings." Consummation of the Merger is also conditioned upon agreement of the Commission to a consent order with respect to the Commission's investigation as to Chambers accounting method and the accuracy of its financial statements upon terms and conditions satisfactory to USA Waste.</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RESALES BY AFFILIATES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shares of USA Waste Common Stock received by Chambers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Chambers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Chambers and USA Waste will use their best efforts to cause each of their principal executive officers, directors, and affiliates to deliver to USA Waste and/or Chambers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Chambers have been filed with the Commission, sent to shareholders of USA Waste, or otherwise publicly issued.</w:t>
      </w:r>
    </w:p>
    <w:p>
      <w:pPr>
        <w:spacing w:after="0" w:line="195"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Under Commission guidelines interpreting generally accepted accounting principles, the sale of USA Waste Common Stock or Chambers Common Stock and Chambers Class A Common Stock by an affiliate of either USA Waste or Chambers generally within 30 days prior to the Effective Time or thereafter prior to the publication of financial statements that include a minimum of at least 30 days of combined operations of USA Waste and Chambers after the Effective Time could preclude "pooling of interests" accounting treatment for the Merger.</w:t>
      </w:r>
    </w:p>
    <w:p>
      <w:pPr>
        <w:sectPr>
          <w:pgSz w:w="11900" w:h="16838" w:orient="portrait"/>
          <w:cols w:equalWidth="0" w:num="1">
            <w:col w:w="10219"/>
          </w:cols>
          <w:pgMar w:left="240" w:top="295" w:right="1440" w:bottom="1440" w:gutter="0" w:footer="0" w:header="0"/>
        </w:sectPr>
      </w:pP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95" w:right="1440" w:bottom="1440"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56</w:t>
      </w:r>
    </w:p>
    <w:p>
      <w:pPr>
        <w:spacing w:after="0" w:line="18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ELECTION OF USA WASTE DIRECTORS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AS DIRECTORS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nine current directors of USA Waste have been nominated for election as directors at the USA Waste Annual Meeting: Donald F. Moorehead, Jr., John E. Drury, David Sutherland-Yoest, Earl E. DeFrates, George L. Ball, Robert A. Mosley, John D. Spellman, Gene A. Meredith, and Richard J. Heckmann.</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Board Classification Proposals are approved, (i) Messrs. Sutherland-Yoest, Mosley, and Heckmann will be designated Class I directors and elected for a term of one year expiring at the 1996 annual meeting of shareholders and until their successors are elected and qualified, (ii) Messrs. Moorehead, Spellman, and Meredith will be designated Class II directors and elected for a term of two years expiring at the 1997 annual meeting of shareholders and until their successors are elected and qualified, and (iii) Messrs. Drury, DeFrates, and Ball will be designated Class III directors and elected for a term of three years expiring at the 1998 annual meeting of shareholders and until their successors are elected and qualified. If the Board Classification Proposals are not approved, the nine directors elected will serve as Directors until the next annual meeting and until their successors are elected and qualified.</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At the Effective Time, USA Waste, Donald F. Moorehead, Jr. and John E. Drury will enter into the Shareholders Agreement with the Rangos Shareholders that, among other things, will provide certain rights to the Rangos Shareholders to name or participate in the naming of members to the Board of Directors of USA Waste and to name certain members of the Executive Committee of the Board of Directors of USA Waste. See "The Merger and Related Transactions -- Shareholders Agreement." Accordingly, at the Effective Time, Messrs. DeFrates, Spellman, Mosley, and Meredith have indicated that they would resign from their respective seats on the USA Waste Board of Directors and the resulting vacancies would be filled by John G. Rangos, Sr. and Alexander W. Rangos, the two directors designated by the Rangos Shareholders, and William E. Moffett and Peter J. Gibbons, who would be approved by the Executive Committee of the Board of Directors. Mr. Gibbons would become a Class I director, John G. Rangos, Sr. and Mr. Moffett would become Class II directors, and Alexander W. Rangos would become a Class III director. The Shareholders Agreement will remain in effect until the aggregate number of shares of USA Waste Common Stock beneficially held by the Rangos Shareholders and their affiliates is less than five percent of the outstanding shares of USA Waste Common Stock. Immediately after the Effective Time, the Rangos Shareholders will control approximately 20.8% of the voting stock of USA Waste, and Donald F. Moorehead, Jr. and John E. Drury will collectively control approximately 5.0% of such stock.</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Unless a shareholder requests that voting of his proxy be withheld for any one or more of the nominees for directors by so directing on the proxy card, the shares represented by the proxy will be voted FOR election of the nine nominees described below. If any nominee becomes unavailable for any reason, then the shares represented by proxy will be voted FOR the remainder of the listed nominees and for such other nominees as may be designated by the Board of Directors of USA Waste as replacements for those who become unavailable. The three nominees in each class receiving the highest number of affirmative votes will be elected to the Board of Directors of USA Waste.</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95" w:right="1440" w:bottom="1440" w:gutter="0" w:footer="0" w:header="0"/>
        </w:sectPr>
      </w:pPr>
    </w:p>
    <w:bookmarkStart w:id="59" w:name="page60"/>
    <w:bookmarkEnd w:id="59"/>
    <w:p>
      <w:pPr>
        <w:ind w:left="283"/>
        <w:spacing w:after="0"/>
        <w:rPr>
          <w:sz w:val="20"/>
          <w:szCs w:val="20"/>
          <w:color w:val="auto"/>
        </w:rPr>
      </w:pPr>
      <w:r>
        <w:rPr>
          <w:rFonts w:ascii="Courier New" w:cs="Courier New" w:eastAsia="Courier New" w:hAnsi="Courier New"/>
          <w:sz w:val="16"/>
          <w:szCs w:val="16"/>
          <w:color w:val="auto"/>
        </w:rPr>
        <w:t>57</w:t>
      </w:r>
    </w:p>
    <w:p>
      <w:pPr>
        <w:spacing w:after="0" w:line="186"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The following table sets forth certain information concerning the persons who have been nominated for election to the Board of Directors of USA Waste and the executive officers of USA Waste.</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3500" w:type="dxa"/>
            <w:vAlign w:val="bottom"/>
          </w:tcPr>
          <w:p>
            <w:pPr>
              <w:ind w:left="1420"/>
              <w:spacing w:after="0"/>
              <w:rPr>
                <w:sz w:val="20"/>
                <w:szCs w:val="20"/>
                <w:color w:val="auto"/>
              </w:rPr>
            </w:pPr>
            <w:r>
              <w:rPr>
                <w:rFonts w:ascii="Courier New" w:cs="Courier New" w:eastAsia="Courier New" w:hAnsi="Courier New"/>
                <w:sz w:val="16"/>
                <w:szCs w:val="16"/>
                <w:color w:val="auto"/>
              </w:rPr>
              <w:t>NAME</w:t>
            </w:r>
          </w:p>
        </w:tc>
        <w:tc>
          <w:tcPr>
            <w:tcW w:w="35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POSITION WITH USA WASTE</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AGE</w:t>
            </w: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SINCE</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CLASS(5)</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Donald F. Moorehead, Jr.(1)(2).....</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Chairman of the Board, Chief</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1990</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w:t>
            </w:r>
          </w:p>
        </w:tc>
      </w:tr>
      <w:tr>
        <w:trPr>
          <w:trHeight w:val="182"/>
        </w:trPr>
        <w:tc>
          <w:tcPr>
            <w:tcW w:w="3500" w:type="dxa"/>
            <w:vAlign w:val="bottom"/>
          </w:tcPr>
          <w:p>
            <w:pPr>
              <w:spacing w:after="0"/>
              <w:rPr>
                <w:sz w:val="15"/>
                <w:szCs w:val="15"/>
                <w:color w:val="auto"/>
              </w:rPr>
            </w:pP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Development Officer and Director</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John E. Drury(1)...................</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Chief Executive Officer and</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III</w:t>
            </w:r>
          </w:p>
        </w:tc>
      </w:tr>
      <w:tr>
        <w:trPr>
          <w:trHeight w:val="182"/>
        </w:trPr>
        <w:tc>
          <w:tcPr>
            <w:tcW w:w="35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David Sutherland-Yoest(1)..........</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President, Chief Operating Officer</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38</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w:t>
            </w:r>
          </w:p>
        </w:tc>
      </w:tr>
      <w:tr>
        <w:trPr>
          <w:trHeight w:val="182"/>
        </w:trPr>
        <w:tc>
          <w:tcPr>
            <w:tcW w:w="35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and Director</w:t>
            </w:r>
          </w:p>
        </w:tc>
        <w:tc>
          <w:tcPr>
            <w:tcW w:w="2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Earl E. DeFrates(1)(6).............</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Executive Vice President, Chief</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1990</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III</w:t>
            </w:r>
          </w:p>
        </w:tc>
      </w:tr>
      <w:tr>
        <w:trPr>
          <w:trHeight w:val="182"/>
        </w:trPr>
        <w:tc>
          <w:tcPr>
            <w:tcW w:w="3500" w:type="dxa"/>
            <w:vAlign w:val="bottom"/>
          </w:tcPr>
          <w:p>
            <w:pPr>
              <w:spacing w:after="0"/>
              <w:rPr>
                <w:sz w:val="15"/>
                <w:szCs w:val="15"/>
                <w:color w:val="auto"/>
              </w:rPr>
            </w:pP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Financial Officer, Treasurer and</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2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George L. Ball(2)(3)(4)............</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3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56</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1991</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Robert A. Mosley(2)(3)(4)(6).......</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3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60</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1987</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John D. Spellman(3)(4)(6)..........</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3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68</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Gene A. Meredith(6)................</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3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53</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Richard J. Heckmann................</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3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Executive Vice</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President --</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Operations</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Gregory T. Sangalis................</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 General Counsel and</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39</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Secretary</w:t>
            </w:r>
          </w:p>
        </w:tc>
        <w:tc>
          <w:tcPr>
            <w:tcW w:w="2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Bruce E. Snyder....................</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 Corporate</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39</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Controller, and Chief Accounting</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2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Hubert J. Bourque..................</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 -- Environmental</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45</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Affairs and Chief Compliance</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2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James R. Jones.....................</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 -- Engineering</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50</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Services</w:t>
            </w:r>
          </w:p>
        </w:tc>
        <w:tc>
          <w:tcPr>
            <w:tcW w:w="2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83" w:hanging="383"/>
        <w:spacing w:after="0"/>
        <w:tabs>
          <w:tab w:leader="none" w:pos="3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Executive Committee.</w:t>
      </w:r>
    </w:p>
    <w:p>
      <w:pPr>
        <w:ind w:left="383" w:hanging="383"/>
        <w:spacing w:after="0"/>
        <w:tabs>
          <w:tab w:leader="none" w:pos="3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Committee.</w:t>
      </w:r>
    </w:p>
    <w:p>
      <w:pPr>
        <w:ind w:left="383" w:hanging="383"/>
        <w:spacing w:after="0"/>
        <w:tabs>
          <w:tab w:leader="none" w:pos="3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ind w:left="383" w:hanging="383"/>
        <w:spacing w:after="0"/>
        <w:tabs>
          <w:tab w:leader="none" w:pos="3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1993 Stock Incentive Plan Committee.</w:t>
      </w:r>
    </w:p>
    <w:p>
      <w:pPr>
        <w:ind w:left="383" w:hanging="383"/>
        <w:spacing w:after="0"/>
        <w:tabs>
          <w:tab w:leader="none" w:pos="3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Board Classification Proposals are approved.</w:t>
      </w:r>
    </w:p>
    <w:p>
      <w:pPr>
        <w:spacing w:after="0" w:line="4" w:lineRule="exact"/>
        <w:rPr>
          <w:rFonts w:ascii="Courier New" w:cs="Courier New" w:eastAsia="Courier New" w:hAnsi="Courier New"/>
          <w:sz w:val="16"/>
          <w:szCs w:val="16"/>
          <w:color w:val="auto"/>
        </w:rPr>
      </w:pPr>
    </w:p>
    <w:p>
      <w:pPr>
        <w:ind w:left="463" w:right="2659" w:hanging="463"/>
        <w:spacing w:after="0" w:line="237" w:lineRule="auto"/>
        <w:tabs>
          <w:tab w:leader="none" w:pos="36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DeFrates, Mosley, Spellman and Meredith will resign as directors and committee members at the Effective Time.</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Donald F. Moorehead, Jr. has been Chairman of the Board since October 1, 1990 and Chief Development Officer since May 27,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187"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John E. Drury has been Chief Executive Officer since May 27, 1994. From 1992 to May 1994, Mr. Drury served as a Managing Director of Sanders Morris Mundy Inc. ("SMMI"), a Houston based investment banking firm. Mr. Drury served as President and Chief Operating Officer of BFI from 1982 to 1991, during which time he had chief responsibility for worldwide operations.</w:t>
      </w:r>
    </w:p>
    <w:p>
      <w:pPr>
        <w:spacing w:after="0" w:line="189"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David Sutherland-Yoest has been President, Chief Operating Officer since May 27, 1994. Prior to joining USA Waste, he was President, Chief Executive Officer and a director of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Vice-President, Corporate Develop-</w:t>
      </w:r>
    </w:p>
    <w:p>
      <w:pPr>
        <w:sectPr>
          <w:pgSz w:w="11900" w:h="16838" w:orient="portrait"/>
          <w:cols w:equalWidth="0" w:num="1">
            <w:col w:w="10222"/>
          </w:cols>
          <w:pgMar w:left="237" w:top="295" w:right="1440" w:bottom="1440" w:gutter="0" w:footer="0" w:header="0"/>
        </w:sectPr>
      </w:pPr>
    </w:p>
    <w:p>
      <w:pPr>
        <w:spacing w:after="0" w:line="18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22"/>
          </w:cols>
          <w:pgMar w:left="237" w:top="295" w:right="1440"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58</w:t>
      </w:r>
    </w:p>
    <w:p>
      <w:pPr>
        <w:spacing w:after="0" w:line="186"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17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Earl E. DeFrates has been Chief Financial Officer and Treasurer since October 1990. Mr. DeFrates joined USA Waste as Vice President Finance in October 1990 and was elected Executive Vice President in May 1994. Prior thereto, Mr. DeFrates was employed by Acadiana Energy Inc. (formerly Tatham Oil &amp; Gas, Inc.), serving in various officer capacities including the company's Chief Financial Officer, since 1980.</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George L. Ball has been nonexecutive Chairman of the Board and a director of SMMI since May 1992. From September 1992 to January 1994, Mr. Ball was a Senior Executive Vice President of Smith Barney Shearson Inc. From September 1991 to September 1992, Mr. Ball was a consultant to J. &amp; W. Seligman &amp; Co. Incorporated. In 1982, Mr. Ball was elected President and Chief Executive Officer of Prudential-Bache Securities, Inc. and in 1986 was elected Chairman of the Board, serving in such position until his resignation in 1991. He also served as a member of the Executive Office of Prudential Insurance Company of America. Prior to joining Prudential, Mr. Ball served as President of E.F. Hutton Group, Inc. Mr. Ball is also a director of American Ecology Corporation, Leviathan Gas Pipeline Company, L.P., and BioMedical Waste Systems, Inc. Mr. Ball is a trustee emeritus of Brown University, a director of the National Symphony Orchestra, a trustee of the Joint Council on Economic Education, and a director of the Jefferson Awards.</w:t>
      </w:r>
    </w:p>
    <w:p>
      <w:pPr>
        <w:spacing w:after="0" w:line="191"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Robert A. Mosley has been a certified public accountant in Moore, Oklahoma, since 1960, currently owns Trailers, Unlimited in Moore, Oklahoma, and serves as President and a director of West Avionics, Inc., Moore, Oklahoma, a company overseeing bids on government contracts. Mr. Mosley has also served as a director of First National Bank of Bethany, Bethany, Oklahoma, since 1971.</w:t>
      </w:r>
    </w:p>
    <w:p>
      <w:pPr>
        <w:spacing w:after="0" w:line="174"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John D. Spellman has been Of Counsel to the firm of Carney, Badley, Smith &amp; Spellman, A Professional Corporation, and an Adjunct Professor in Administrative Law at the Institute of Public Service at Seattle University since 1985. From 1981 to 1985, Mr. Spellman was Governor of the State of Washington. From 1969 to 1981, he served as Executive of King County (Seattle), Washington.</w:t>
      </w:r>
    </w:p>
    <w:p>
      <w:pPr>
        <w:spacing w:after="0" w:line="17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Gene A. Meredith was a Director of Envirofil from March 1993 to May 1994. From 1989 to the present, he has been active as an investor, as well as a co-founder, officer and director of two floor trading member firms of the AMEX. From 1974 to 1989, Mr. Meredith served as BFI's Regional Vice President for the Pacific Region.</w:t>
      </w:r>
    </w:p>
    <w:p>
      <w:pPr>
        <w:spacing w:after="0" w:line="189" w:lineRule="exact"/>
        <w:rPr>
          <w:sz w:val="20"/>
          <w:szCs w:val="20"/>
          <w:color w:val="auto"/>
        </w:rPr>
      </w:pPr>
    </w:p>
    <w:p>
      <w:pPr>
        <w:jc w:val="both"/>
        <w:ind w:right="2759" w:firstLine="473"/>
        <w:spacing w:after="0" w:line="238" w:lineRule="auto"/>
        <w:rPr>
          <w:sz w:val="20"/>
          <w:szCs w:val="20"/>
          <w:color w:val="auto"/>
        </w:rPr>
      </w:pPr>
      <w:r>
        <w:rPr>
          <w:rFonts w:ascii="Courier New" w:cs="Courier New" w:eastAsia="Courier New" w:hAnsi="Courier New"/>
          <w:sz w:val="16"/>
          <w:szCs w:val="16"/>
          <w:color w:val="auto"/>
        </w:rPr>
        <w:t>Richard J. Heckmann is Chairman, President, and Chief Executive Officer of United States Filter Corporation ("U.S. Filter"), a position he assumed in July 1990. Prior to joining U.S. Filter, Mr. Heckmann was a Senior Vice</w:t>
      </w:r>
    </w:p>
    <w:p>
      <w:pPr>
        <w:spacing w:after="0" w:line="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President -- Investments and Branch Manager of Prudential-Bache Securities in Rancho Mirage, California. Mr. Heckmann is also a director of The Earth Technology Corporation and Air Cure, Inc.</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Charles A. Wilcox has been Executive Vice President -- Operations of USA Waste since December 1994. From April 1981 until November 1994, Mr. Wilcox held positions with BFI including Managing Director of B.F.S.A. LTD (October 1984 to December 1987) and Regional Vice President, Pacific Region (October 1988 to June 1993). Other assignments with BFI included District Manager, New Orleans; President -- Special Services, Corporate; and Division 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 Northern Florida.</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Gregory T. Sangalis has been Vice President, General Counsel and Secretary since April 4, 1995. Prior to joining USA Waste, Mr. Sangalis was employed by the solid waste subsidiary of WMX Technologies, Inc. serving in various legal capacities since 1986 and including Group Vice President and General Counsel from August 1992 to April 1995. Prior to joining WMX, he was general counsel for Peavey Company.</w:t>
      </w:r>
    </w:p>
    <w:p>
      <w:pPr>
        <w:spacing w:after="0" w:line="19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Bruce E. Snyder has been Vice President, Corporate Controller, and Chief Accounting Officer since July 1, 1992. Prior to joining USA Waste, Mr. Snyder was employed by the international accounting firm of Coopers &amp; Lybrand L.L.P., serving since 1989 as an audit manager. From 1985 to 1989, Mr. Snyder held various financial positions with a privately held real estate development and management company in</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295" w:right="1440" w:bottom="1440" w:gutter="0" w:footer="0" w:header="0"/>
          <w:type w:val="continuous"/>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59</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Oklahoma City, Oklahoma, and its affiliated companies, ultimately serving as Senior Vice President. Mr. Snyder is a certified public accountant in the State of Oklahoma.</w:t>
      </w:r>
    </w:p>
    <w:p>
      <w:pPr>
        <w:spacing w:after="0" w:line="188"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Hubert J. Bourque has been Vice President -- Environmental Affairs and Chief Compliance Officer since May 1994. From January 1993 to May 1994, Mr. Bourque was Chief Compliance Officer and Senior Vice President of Environmental Affairs for Envirofil. From June 1990 to December 1992, Mr. Bourque was Divisional Vice President -- Environmental Affairs for BFI Ltd. From 1984 to 1990, Mr. Bourque was responsible for the direction of a technical group of 15 consulting professionals whose work involved solid waste planning, landfill and transfer station design, and hazardous waste management for clients in North America, the Middle East, the Caribbean and Southeast Asia.</w:t>
      </w:r>
    </w:p>
    <w:p>
      <w:pPr>
        <w:spacing w:after="0" w:line="175"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James R. Jones has been Vice President -- Engineering Services since August 1994. From September 1992 through May 1994, Mr. Jones served as Vice President, Operations Manager for the Kansas City area of Woodward-Clyde Consultants. He joined Woodward-Clyde in January 1992 as Vice President, National Practice Manager -- Solid Waste. From 1990 to August 1991, Mr. Jones participated in the start-up of Equivest Waste Solutions, Inc., which merged with Geowaste, Inc. in August 1991. From January 1974 to February 1990, he served in various positions with BFI, including Divisional Vice President, Engineering from 1980 to 1990.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AFTER THE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the Effective Time, Messrs. DeFrates, Spellman, Mosley and Meredith will resign as directors of USA Waste. At such time, Mr. Drury will become Chairman of the Board, Mr. Moorehead and John G. Rangos, Sr. will become Vice Chairmen of the Board, Alexander W. Rangos will become a director and Executive Vice President for Landfill Development of USA Waste, and Mr. Moffett and Mr. Gibbons will become directors.</w:t>
      </w:r>
    </w:p>
    <w:p>
      <w:pPr>
        <w:spacing w:after="0" w:line="190"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A brief biographical summary of the proposed new directors is presented below.</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John G. Rangos, Sr., age 65, has served as Chairman and Chief Executive Officer of Chambers since January 1994. Prior thereto, he served as President and Chief Executive Officer of Chambers from 1973 to January 1994. Mr. Rangos has been a director of Chambers since 1973, and is the father of John G. Rangos, Jr., Vice Chairman -- Administration and Technology and Secretary of Chambers, and Alexander W. Rangos, President and Chief Operating Officer of Chambers. In connection with the settlement of the Commission's investigation with respect to Chambers' accounting method and the accuracy of its financial statements, on May 9, 1995, the Commission instituted administrative proceedings against John G. Rangos, Sr. and three other present and former officers of Chambers. The Commission found, inter alia, that Mr. Rangos was a cause of Chambers' violations of the reporting, internal controls and recordkeeping provisions of the Exchange Act. Mr. Rangos consented to the issuance of a cease and desist order without admitting or denying the Commission's findings.</w:t>
      </w:r>
    </w:p>
    <w:p>
      <w:pPr>
        <w:spacing w:after="0" w:line="18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Alexander W. Rangos, age 35, has served as President and Chief Operating Officer of Chambers since January 1994. Prior thereto, he served with Chambers as Executive Vice President -- Operations and Corporate Development from 1990 to 1994, as Executive Vice President -- Corporate Development from 1985 to 1990, and as Manager of the Southern Region from 1984 to 1985. Mr. Rangos has been a director of Chambers since 1985, and is a son of John G. Rangos, Sr., Chairman and Chief Executive Officer of Chambers, and the brother of John G. Rangos, Jr., Vice Chairman -- Administration and Technology, and Secretary of Chambers.</w:t>
      </w:r>
    </w:p>
    <w:p>
      <w:pPr>
        <w:spacing w:after="0" w:line="176"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William E. Moffett, age 64, has served as a director of Chambers since January 1987. In 1992, Mr. Moffett retired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 Corporation in 1969 and served in a number of managerial assignments for that company and its subsidiaries. Mr. Moffett also serves as a director of Calvin Exploration Company, Inc.</w:t>
      </w: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95"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60</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Peter J. Gibbons, age 59, has served as a director of Chambers since August 1993. Prior thereto, he was affiliated with the accounting firm of Price Waterhouse from 1961 until his retirement in July 1993.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COMMITTEES AND COMPENSATION</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USA Waste Board of Directors held six meetings in 1994. None of the directors attended fewer than 75% of the Board of Directors' meetings in 1994. During 1994, USA Waste paid directors who are not employed by USA Waste an annual fee of $6,000, payable in equal monthly installments. In addition, USA Waste reimburses directors for their travel and out-of-pocket expenses incurred in attending Board or committee meetings. Non-employee directors are also entitled to receive an automatic stock grant each year. See "Executive Compensation -- Stock Incentive Plans."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USA Waste Board of Directors has four committees: an Audit Committee, a Compensation Committee, a Stock Incentive Plan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during 1994. The Compensation Committee reviews and recommends compensation for USA Waste officers and employees and recommends to the Board of Directors changes in USA Waste's incentive compensation plans. The Compensation Committee met once in 1994. The Stock Incentive Plan Committee administers the 1990 Stock Option Plan and the 1993 Stock Incentive Plan. The Stock Incentive Plan Committee met once in 1994. The Executive Committee may act for the Board of Directors when action is required between Board meetings. The Executive Committee may act on behalf of the Board on all but major corporate matters. All actions taken by the Executive Committee must be reported at the Board's next meeting. All of the directors attended all committee meetings of the committees of which they are members.</w:t>
      </w:r>
    </w:p>
    <w:p>
      <w:pPr>
        <w:spacing w:after="0" w:line="19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terms of the Shareholders Agreement to be entered into between USA Waste and the Rangos Shareholders upon consummation of the Merger, USA Waste and Messrs. Moorehead and Drury are required to use their best efforts after the Effective Time to establish and maintain an Executive Committee consisting of five directors and to cause the Executive Committee to include two directors designated by the Rangos Shareholders. Upon consummation of the Merger, the Executive Committee will be comprised of Messrs. Moorehead, Drury, Sutherland-Yoest, John G. Rangos, Sr., and Alexander W. Rangos.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95" w:right="1440" w:bottom="1440" w:gutter="0" w:footer="0" w:header="0"/>
        </w:sectPr>
      </w:pPr>
    </w:p>
    <w:bookmarkStart w:id="63" w:name="page64"/>
    <w:bookmarkEnd w:id="63"/>
    <w:p>
      <w:pPr>
        <w:ind w:left="283"/>
        <w:spacing w:after="0"/>
        <w:rPr>
          <w:sz w:val="20"/>
          <w:szCs w:val="20"/>
          <w:color w:val="auto"/>
        </w:rPr>
      </w:pPr>
      <w:r>
        <w:rPr>
          <w:rFonts w:ascii="Courier New" w:cs="Courier New" w:eastAsia="Courier New" w:hAnsi="Courier New"/>
          <w:sz w:val="16"/>
          <w:szCs w:val="16"/>
          <w:color w:val="auto"/>
        </w:rPr>
        <w:t>61</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BENEFICIAL OWNERSHIP OF USA WASTE COMMON STOCK</w:t>
      </w:r>
    </w:p>
    <w:p>
      <w:pPr>
        <w:spacing w:after="0" w:line="186"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The following table sets forth information as of the Record Date with respect to the beneficial ownership of USA Waste Common Stock as of the Record Date by (1) each owner of more than 5% of USA Waste Common Stock, (2) each director of USA Waste, (3) certain executive officers of USA Waste, including the Chief Executive Officer and USA Waste's four most highly compensated officers other than the Chief Executive Officer who were serving as officers at December 31, 1994, and (4) all executive officers and directors of USA Waste as a group. Except as otherwise indicated below, each of the entities and persons named in the table has sole voting and investment power with respect to all shares of Common Stock beneficially owned.</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47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AMOUNT AND NATURE OF BENEFICIAL OWNERSHIP</w:t>
            </w: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47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OPTIONS OR</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WARRANTS</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EXERCISABLE</w:t>
            </w:r>
          </w:p>
        </w:tc>
        <w:tc>
          <w:tcPr>
            <w:tcW w:w="1380" w:type="dxa"/>
            <w:vAlign w:val="bottom"/>
          </w:tcPr>
          <w:p>
            <w:pPr>
              <w:ind w:left="34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SOLE VOTING AND</w:t>
            </w:r>
          </w:p>
        </w:tc>
        <w:tc>
          <w:tcPr>
            <w:tcW w:w="150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WITHIN</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BENEFICIAL</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PERCENT</w:t>
            </w:r>
          </w:p>
        </w:tc>
      </w:tr>
      <w:tr>
        <w:trPr>
          <w:trHeight w:val="182"/>
        </w:trPr>
        <w:tc>
          <w:tcPr>
            <w:tcW w:w="4340" w:type="dxa"/>
            <w:vAlign w:val="bottom"/>
          </w:tcPr>
          <w:p>
            <w:pPr>
              <w:ind w:left="1320"/>
              <w:spacing w:after="0"/>
              <w:rPr>
                <w:sz w:val="20"/>
                <w:szCs w:val="20"/>
                <w:color w:val="auto"/>
              </w:rPr>
            </w:pPr>
            <w:r>
              <w:rPr>
                <w:rFonts w:ascii="Courier New" w:cs="Courier New" w:eastAsia="Courier New" w:hAnsi="Courier New"/>
                <w:sz w:val="16"/>
                <w:szCs w:val="16"/>
                <w:color w:val="auto"/>
              </w:rPr>
              <w:t>NAME AND ADDRESS</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INVESTMENT POWER</w:t>
            </w:r>
          </w:p>
        </w:tc>
        <w:tc>
          <w:tcPr>
            <w:tcW w:w="15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60 DAYS(1)</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OWNERSHIP</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OF CLASS</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Robert F. Smith.............................</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2,506,607</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338,500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12.2%</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31725 North Route 83</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Grayslake, Illinois 62030</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1,497,658</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505,000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126,369(2)</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5000 Quorum Dr., Suite 300</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Dallas, Texas 75240</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1,054,938</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241,500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5,176(3)</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312,984</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115,352</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2,000(4)</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7,000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78,000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754(5)</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Bruce E. Snyder.............................</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8,000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George L. Ball..............................</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27,196</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29,000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36,000(6)</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Robert A. Mosley............................</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21,076</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John D. Spellman............................</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8,593</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Richard J. Heckmann.........................</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5,439</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Gene A. Meredith............................</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23,174</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All directors and officers</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as a group (13 persons)...................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2,958,558</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984,892</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170,299</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17.2%</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463" w:hanging="368"/>
        <w:spacing w:after="0"/>
        <w:tabs>
          <w:tab w:leader="none" w:pos="46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5" w:lineRule="exact"/>
        <w:rPr>
          <w:sz w:val="20"/>
          <w:szCs w:val="20"/>
          <w:color w:val="auto"/>
        </w:rPr>
      </w:pPr>
    </w:p>
    <w:p>
      <w:pPr>
        <w:ind w:left="463" w:right="2839" w:hanging="463"/>
        <w:spacing w:after="0" w:line="239"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shares issuable to a shareholder upon the exercise of options or warrants exercisable within 60 days are considered to be outstanding for purposes of calculating beneficial ownership and the percentage of class owned by such shareholder and, to the extent such holder is a director or officer, the percentage of class owned by the directors and officers as a group.</w:t>
      </w:r>
    </w:p>
    <w:p>
      <w:pPr>
        <w:spacing w:after="0" w:line="8" w:lineRule="exact"/>
        <w:rPr>
          <w:rFonts w:ascii="Courier New" w:cs="Courier New" w:eastAsia="Courier New" w:hAnsi="Courier New"/>
          <w:sz w:val="16"/>
          <w:szCs w:val="16"/>
          <w:color w:val="auto"/>
        </w:rPr>
      </w:pPr>
    </w:p>
    <w:p>
      <w:pPr>
        <w:ind w:left="463" w:right="2659" w:hanging="463"/>
        <w:spacing w:after="0" w:line="239"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aggregate of 122,974 shares owned by Shelley Moorehead, Mr. Moorehead's spouse, and Mr. Moorehead's children, and an aggregate of 3,394 shares issuable upon conversion of convertible subordinated debentures owned by Mrs. Moorehead and Mr. Moorehead's children.</w:t>
      </w:r>
    </w:p>
    <w:p>
      <w:pPr>
        <w:spacing w:after="0" w:line="1"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5,176 shares owned by Tanya Drury, Mr. Drury's spouse.</w:t>
      </w:r>
    </w:p>
    <w:p>
      <w:pPr>
        <w:ind w:left="463" w:hanging="463"/>
        <w:spacing w:after="0"/>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 shares owned by Mr. Sutherland-Yoest's daughter.</w:t>
      </w:r>
    </w:p>
    <w:p>
      <w:pPr>
        <w:spacing w:after="0" w:line="4" w:lineRule="exact"/>
        <w:rPr>
          <w:rFonts w:ascii="Courier New" w:cs="Courier New" w:eastAsia="Courier New" w:hAnsi="Courier New"/>
          <w:sz w:val="16"/>
          <w:szCs w:val="16"/>
          <w:color w:val="auto"/>
        </w:rPr>
      </w:pPr>
    </w:p>
    <w:p>
      <w:pPr>
        <w:ind w:left="463" w:right="2939" w:hanging="463"/>
        <w:spacing w:after="0" w:line="237"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754 shares issuable upon conversion of convertible subordinated debentures.</w:t>
      </w:r>
    </w:p>
    <w:p>
      <w:pPr>
        <w:spacing w:after="0" w:line="5" w:lineRule="exact"/>
        <w:rPr>
          <w:rFonts w:ascii="Courier New" w:cs="Courier New" w:eastAsia="Courier New" w:hAnsi="Courier New"/>
          <w:sz w:val="16"/>
          <w:szCs w:val="16"/>
          <w:color w:val="auto"/>
        </w:rPr>
      </w:pPr>
    </w:p>
    <w:p>
      <w:pPr>
        <w:ind w:left="463" w:right="2939" w:hanging="463"/>
        <w:spacing w:after="0" w:line="238"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32,400 shares owned by Susan H. Ball, Mr. Ball's spouse, and an investment partnership for her children and 3,600 shares owned by Mr. Ball's stepdaughter.</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22"/>
          </w:cols>
          <w:pgMar w:left="237" w:top="295"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62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Compensation Committee Report on Executive Compensation. The following is a report from the Compensation Committee of USA Waste describing the policies pursuant to which compensation was paid to executive officers of USA Waste during 1994.</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Compensation Policies Applicable to Executive Officers. It is USA Waste's mission to steadfastly raise USA Waste to a leading position in the solid waste management industry, with a strong focus on steadily improving earnings and increasing shareholder value. The Compensation Committee believes USA Waste's compensation policies should support USA Waste's mission. As outlined below, USA Waste's executive compensation programs are designed to enable USA Waste to attract, retain, and motivate the high caliber of executives required in order to achieve its objective.</w:t>
      </w:r>
    </w:p>
    <w:p>
      <w:pPr>
        <w:spacing w:after="0" w:line="187"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In this respect, USA Waste has entered into employment agreements with Messrs. Moorehead, Drury, Sutherland-Yoest, DeFrates, and Wilcox, pursuant to which each executive agreed to serve as a full-time employee of USA Waste for continuous terms of three to five years. A high level of individual and cooperative performance is encouraged for these and other senior executives who have contributed to the attainment of the goals of USA Waste by the granting of annual awards comprised of bonuses, salary adjustments, and the issuance of stock options under the 1993 Stock Incentive Plan ("Annual Awards").</w:t>
      </w:r>
    </w:p>
    <w:p>
      <w:pPr>
        <w:spacing w:after="0" w:line="17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the granting of Annual Awards, the Compensation Committee considers the financial performance and growth of USA Waste, USA Waste's performance relative to others in its industry, as well as the long-term soundness and financial integrity of USA Waste. In reviewing USA Waste's financial performance, the Compensation Committee considers such items as return on equity, earnings per share improvements, results compared to competitors, business acquisitions and new markets entered, the assimilation of new acquisitions into USA Waste, and progress made in projects that will benefit USA Waste in the future. To date, such Annual Awards for USA Waste's senior executives have been granted on a discretionary basis.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1992, USA Waste commissioned a compensation plan study that remains under review and consideration by the Compensation Committee. The study's basic proposal encompasses the concept of an "Annual Award Pool" for senior executives based on a formula, the key ingredient of which adjusts net income for the implicit cost of equity capital to arrive at "economic net income." This is an approximation of the value added, by the senior management, relative to the risk inherent in the business. Although not a precise measure, it is believed this guideline correctly aligns the interests of USA Waste's shareholders and management. A percentage of the calculated economic net income would then be available for awards to senior executives. Although the granting of Annual Awards has been discretionary up to now, all previous grants would have been within the parameters of the compensation plan study had the proposals from such study been in effect.</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Compensation Policy Applicable to the Chief Executive Officer. The compensation policies applicable to Mr. Drury, Chief Executive Officer of USA Waste, are the same as noted for other executive officers. The Compensation Committee considers Mr. Drury's experience and knowledge of the solid waste management industry to be important to USA Waste's continued growth and prosperity. Mr. Drury became associated with USA Waste in May 1994 following the acquisition of Envirofil. At the time of his employment with USA Waste, Mr. Drury's annual base salary was set at $500,000 following negotiations between Mr. Moorehead, on behalf of the USA Waste Board of Directors, and Mr. Drury. No change in Mr. Drury's annual base salary was made in 1994. As part of his compensation package Mr. Drury was granted a warrant to purchase 850,000 shares of USA Waste Common Stock at $11.375 per share, the market price of USA Waste Common Stock at the time of his employment. Such warrant vests 25% a year commencing on June 1, 1995. Through his investment in Envirofil and previous investments in USA Waste, Mr. Drury has acquired a significant investment in USA Waste Common Stock. Although the Compensation Committee believes that Mr. Drury is compensated fairly, it recognizes that, in addition to his compensation, Mr. Drury has great incentive for the</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295"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63</w:t>
      </w:r>
    </w:p>
    <w:p>
      <w:pPr>
        <w:spacing w:after="0" w:line="18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continued prosperity of USA Waste by reason of his substantial personal investment in USA Waste Common Stock and the warrant issued to Mr. Drury upon his employment with USA Waste.</w:t>
      </w:r>
    </w:p>
    <w:p>
      <w:pPr>
        <w:spacing w:after="0" w:line="18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Compensation Committee</w:t>
      </w:r>
    </w:p>
    <w:p>
      <w:pPr>
        <w:spacing w:after="0" w:line="183"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George L. Ball</w:t>
      </w:r>
    </w:p>
    <w:p>
      <w:pPr>
        <w:spacing w:after="0" w:line="5"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Donald F. Moorehead, Jr.</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Robert A. Mosley</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Performance Graph. The following performance graph compares the performance of USA Waste Common Stock to the New York Stock Exchange Composite Index and to the Smith Barney Shearson Solid Waste Index ("Peer Group Index") for the period of five years commencing December 31, 1989, and ending December 31, 1994. The graph assumes that $100 was invested on December 31, 1989, in USA Waste Common Stock and each index and that all dividends were reinvested.</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COMPARISON OF FIVE-YEAR CUMULATIVE RETURN</w:t>
      </w:r>
    </w:p>
    <w:p>
      <w:pPr>
        <w:spacing w:after="0" w:line="200" w:lineRule="exact"/>
        <w:rPr>
          <w:sz w:val="20"/>
          <w:szCs w:val="20"/>
          <w:color w:val="auto"/>
        </w:rPr>
      </w:pPr>
    </w:p>
    <w:p>
      <w:pPr>
        <w:spacing w:after="0" w:line="34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24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MEASUREMENT PERIOD</w:t>
            </w:r>
          </w:p>
        </w:tc>
        <w:tc>
          <w:tcPr>
            <w:tcW w:w="156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SBS SOLID</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NYSE</w:t>
            </w:r>
          </w:p>
        </w:tc>
      </w:tr>
      <w:tr>
        <w:trPr>
          <w:trHeight w:val="182"/>
        </w:trPr>
        <w:tc>
          <w:tcPr>
            <w:tcW w:w="24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(FISCAL YEAR COVERED)</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USA WASTE</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WASTE INDEX</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COMPOSITE</w:t>
            </w:r>
          </w:p>
        </w:tc>
      </w:tr>
      <w:tr>
        <w:trPr>
          <w:trHeight w:val="364"/>
        </w:trPr>
        <w:tc>
          <w:tcPr>
            <w:tcW w:w="2400" w:type="dxa"/>
            <w:vAlign w:val="bottom"/>
          </w:tcPr>
          <w:p>
            <w:pPr>
              <w:jc w:val="right"/>
              <w:ind w:right="1381"/>
              <w:spacing w:after="0"/>
              <w:rPr>
                <w:sz w:val="20"/>
                <w:szCs w:val="20"/>
                <w:color w:val="auto"/>
              </w:rPr>
            </w:pPr>
            <w:r>
              <w:rPr>
                <w:rFonts w:ascii="Courier New" w:cs="Courier New" w:eastAsia="Courier New" w:hAnsi="Courier New"/>
                <w:sz w:val="16"/>
                <w:szCs w:val="16"/>
                <w:color w:val="auto"/>
              </w:rPr>
              <w:t>1989</w:t>
            </w:r>
          </w:p>
        </w:tc>
        <w:tc>
          <w:tcPr>
            <w:tcW w:w="15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100</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100</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w:t>
            </w:r>
          </w:p>
        </w:tc>
      </w:tr>
      <w:tr>
        <w:trPr>
          <w:trHeight w:val="182"/>
        </w:trPr>
        <w:tc>
          <w:tcPr>
            <w:tcW w:w="2400" w:type="dxa"/>
            <w:vAlign w:val="bottom"/>
          </w:tcPr>
          <w:p>
            <w:pPr>
              <w:jc w:val="right"/>
              <w:ind w:right="1381"/>
              <w:spacing w:after="0"/>
              <w:rPr>
                <w:sz w:val="20"/>
                <w:szCs w:val="20"/>
                <w:color w:val="auto"/>
              </w:rPr>
            </w:pPr>
            <w:r>
              <w:rPr>
                <w:rFonts w:ascii="Courier New" w:cs="Courier New" w:eastAsia="Courier New" w:hAnsi="Courier New"/>
                <w:sz w:val="16"/>
                <w:szCs w:val="16"/>
                <w:color w:val="auto"/>
              </w:rPr>
              <w:t>1990</w:t>
            </w:r>
          </w:p>
        </w:tc>
        <w:tc>
          <w:tcPr>
            <w:tcW w:w="15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260</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90</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93</w:t>
            </w:r>
          </w:p>
        </w:tc>
      </w:tr>
      <w:tr>
        <w:trPr>
          <w:trHeight w:val="182"/>
        </w:trPr>
        <w:tc>
          <w:tcPr>
            <w:tcW w:w="2400" w:type="dxa"/>
            <w:vAlign w:val="bottom"/>
          </w:tcPr>
          <w:p>
            <w:pPr>
              <w:jc w:val="right"/>
              <w:ind w:right="1381"/>
              <w:spacing w:after="0"/>
              <w:rPr>
                <w:sz w:val="20"/>
                <w:szCs w:val="20"/>
                <w:color w:val="auto"/>
              </w:rPr>
            </w:pPr>
            <w:r>
              <w:rPr>
                <w:rFonts w:ascii="Courier New" w:cs="Courier New" w:eastAsia="Courier New" w:hAnsi="Courier New"/>
                <w:sz w:val="16"/>
                <w:szCs w:val="16"/>
                <w:color w:val="auto"/>
              </w:rPr>
              <w:t>1991</w:t>
            </w:r>
          </w:p>
        </w:tc>
        <w:tc>
          <w:tcPr>
            <w:tcW w:w="15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1007</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96</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118</w:t>
            </w:r>
          </w:p>
        </w:tc>
      </w:tr>
      <w:tr>
        <w:trPr>
          <w:trHeight w:val="182"/>
        </w:trPr>
        <w:tc>
          <w:tcPr>
            <w:tcW w:w="2400" w:type="dxa"/>
            <w:vAlign w:val="bottom"/>
          </w:tcPr>
          <w:p>
            <w:pPr>
              <w:jc w:val="right"/>
              <w:ind w:right="1381"/>
              <w:spacing w:after="0"/>
              <w:rPr>
                <w:sz w:val="20"/>
                <w:szCs w:val="20"/>
                <w:color w:val="auto"/>
              </w:rPr>
            </w:pPr>
            <w:r>
              <w:rPr>
                <w:rFonts w:ascii="Courier New" w:cs="Courier New" w:eastAsia="Courier New" w:hAnsi="Courier New"/>
                <w:sz w:val="16"/>
                <w:szCs w:val="16"/>
                <w:color w:val="auto"/>
              </w:rPr>
              <w:t>1992</w:t>
            </w:r>
          </w:p>
        </w:tc>
        <w:tc>
          <w:tcPr>
            <w:tcW w:w="15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828</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88</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123</w:t>
            </w:r>
          </w:p>
        </w:tc>
      </w:tr>
      <w:tr>
        <w:trPr>
          <w:trHeight w:val="182"/>
        </w:trPr>
        <w:tc>
          <w:tcPr>
            <w:tcW w:w="2400" w:type="dxa"/>
            <w:vAlign w:val="bottom"/>
          </w:tcPr>
          <w:p>
            <w:pPr>
              <w:jc w:val="right"/>
              <w:ind w:right="1381"/>
              <w:spacing w:after="0"/>
              <w:rPr>
                <w:sz w:val="20"/>
                <w:szCs w:val="20"/>
                <w:color w:val="auto"/>
              </w:rPr>
            </w:pPr>
            <w:r>
              <w:rPr>
                <w:rFonts w:ascii="Courier New" w:cs="Courier New" w:eastAsia="Courier New" w:hAnsi="Courier New"/>
                <w:sz w:val="16"/>
                <w:szCs w:val="16"/>
                <w:color w:val="auto"/>
              </w:rPr>
              <w:t>1993</w:t>
            </w:r>
          </w:p>
        </w:tc>
        <w:tc>
          <w:tcPr>
            <w:tcW w:w="15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628</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67</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2400" w:type="dxa"/>
            <w:vAlign w:val="bottom"/>
          </w:tcPr>
          <w:p>
            <w:pPr>
              <w:jc w:val="right"/>
              <w:ind w:right="1381"/>
              <w:spacing w:after="0"/>
              <w:rPr>
                <w:sz w:val="20"/>
                <w:szCs w:val="20"/>
                <w:color w:val="auto"/>
              </w:rPr>
            </w:pPr>
            <w:r>
              <w:rPr>
                <w:rFonts w:ascii="Courier New" w:cs="Courier New" w:eastAsia="Courier New" w:hAnsi="Courier New"/>
                <w:sz w:val="16"/>
                <w:szCs w:val="16"/>
                <w:color w:val="auto"/>
              </w:rPr>
              <w:t>1994</w:t>
            </w:r>
          </w:p>
        </w:tc>
        <w:tc>
          <w:tcPr>
            <w:tcW w:w="15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628</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69</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129</w:t>
            </w:r>
          </w:p>
        </w:tc>
      </w:tr>
      <w:tr>
        <w:trPr>
          <w:trHeight w:val="546"/>
        </w:trPr>
        <w:tc>
          <w:tcPr>
            <w:tcW w:w="2400" w:type="dxa"/>
            <w:vAlign w:val="bottom"/>
          </w:tcPr>
          <w:p>
            <w:pPr>
              <w:spacing w:after="0"/>
              <w:rPr>
                <w:sz w:val="24"/>
                <w:szCs w:val="24"/>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50</w:t>
            </w: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66" w:name="page67"/>
    <w:bookmarkEnd w:id="66"/>
    <w:p>
      <w:pPr>
        <w:ind w:left="283"/>
        <w:spacing w:after="0"/>
        <w:rPr>
          <w:sz w:val="20"/>
          <w:szCs w:val="20"/>
          <w:color w:val="auto"/>
        </w:rPr>
      </w:pPr>
      <w:r>
        <w:rPr>
          <w:rFonts w:ascii="Courier New" w:cs="Courier New" w:eastAsia="Courier New" w:hAnsi="Courier New"/>
          <w:sz w:val="16"/>
          <w:szCs w:val="16"/>
          <w:color w:val="auto"/>
        </w:rPr>
        <w:t>64</w:t>
      </w:r>
    </w:p>
    <w:p>
      <w:pPr>
        <w:spacing w:after="0" w:line="186" w:lineRule="exact"/>
        <w:rPr>
          <w:sz w:val="20"/>
          <w:szCs w:val="20"/>
          <w:color w:val="auto"/>
        </w:rPr>
      </w:pPr>
    </w:p>
    <w:p>
      <w:pPr>
        <w:ind w:left="3" w:right="480" w:firstLine="473"/>
        <w:spacing w:after="0" w:line="239" w:lineRule="auto"/>
        <w:rPr>
          <w:sz w:val="20"/>
          <w:szCs w:val="20"/>
          <w:color w:val="auto"/>
        </w:rPr>
      </w:pPr>
      <w:r>
        <w:rPr>
          <w:rFonts w:ascii="Courier New" w:cs="Courier New" w:eastAsia="Courier New" w:hAnsi="Courier New"/>
          <w:sz w:val="16"/>
          <w:szCs w:val="16"/>
          <w:color w:val="auto"/>
        </w:rPr>
        <w:t>Summary Compensation Table. The following table sets forth information with respect to persons serving as USA Waste's Chief Executive Officer during 1994 and the four most highly compensated executive officers other than the Chief Executive Officer whose total annual salary and bonus for 1994 exceeded $100,000 ("named executive officers").</w:t>
      </w:r>
    </w:p>
    <w:p>
      <w:pPr>
        <w:spacing w:after="0" w:line="185"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ANNUAL COMPENSATION</w:t>
            </w:r>
          </w:p>
        </w:tc>
        <w:tc>
          <w:tcPr>
            <w:tcW w:w="1240" w:type="dxa"/>
            <w:vAlign w:val="bottom"/>
          </w:tcPr>
          <w:p>
            <w:pPr>
              <w:spacing w:after="0"/>
              <w:rPr>
                <w:sz w:val="15"/>
                <w:szCs w:val="15"/>
                <w:color w:val="auto"/>
              </w:rPr>
            </w:pPr>
          </w:p>
        </w:tc>
      </w:tr>
      <w:tr>
        <w:trPr>
          <w:trHeight w:val="182"/>
        </w:trPr>
        <w:tc>
          <w:tcPr>
            <w:tcW w:w="3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20" w:type="dxa"/>
            <w:vAlign w:val="bottom"/>
            <w:gridSpan w:val="5"/>
          </w:tcPr>
          <w:p>
            <w:pPr>
              <w:jc w:val="right"/>
              <w:ind w:right="12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3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OTHER</w:t>
            </w:r>
          </w:p>
        </w:tc>
      </w:tr>
      <w:tr>
        <w:trPr>
          <w:trHeight w:val="182"/>
        </w:trPr>
        <w:tc>
          <w:tcPr>
            <w:tcW w:w="3120" w:type="dxa"/>
            <w:vAlign w:val="bottom"/>
          </w:tcPr>
          <w:p>
            <w:pPr>
              <w:ind w:left="1040"/>
              <w:spacing w:after="0"/>
              <w:rPr>
                <w:sz w:val="20"/>
                <w:szCs w:val="20"/>
                <w:color w:val="auto"/>
              </w:rPr>
            </w:pPr>
            <w:r>
              <w:rPr>
                <w:rFonts w:ascii="Courier New" w:cs="Courier New" w:eastAsia="Courier New" w:hAnsi="Courier New"/>
                <w:sz w:val="16"/>
                <w:szCs w:val="16"/>
                <w:color w:val="auto"/>
              </w:rPr>
              <w:t>NAME AND</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ANNUAL</w:t>
            </w:r>
          </w:p>
        </w:tc>
      </w:tr>
      <w:tr>
        <w:trPr>
          <w:trHeight w:val="182"/>
        </w:trPr>
        <w:tc>
          <w:tcPr>
            <w:tcW w:w="3120" w:type="dxa"/>
            <w:vAlign w:val="bottom"/>
          </w:tcPr>
          <w:p>
            <w:pPr>
              <w:ind w:left="560"/>
              <w:spacing w:after="0"/>
              <w:rPr>
                <w:sz w:val="20"/>
                <w:szCs w:val="20"/>
                <w:color w:val="auto"/>
              </w:rPr>
            </w:pPr>
            <w:r>
              <w:rPr>
                <w:rFonts w:ascii="Courier New" w:cs="Courier New" w:eastAsia="Courier New" w:hAnsi="Courier New"/>
                <w:sz w:val="16"/>
                <w:szCs w:val="16"/>
                <w:color w:val="auto"/>
              </w:rPr>
              <w:t>PRINCIPAL POSITION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SALARY</w:t>
            </w:r>
          </w:p>
        </w:tc>
        <w:tc>
          <w:tcPr>
            <w:tcW w:w="20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BONUS</w:t>
            </w:r>
          </w:p>
        </w:tc>
        <w:tc>
          <w:tcPr>
            <w:tcW w:w="17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COMPENSATION(1)</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6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Chief Executive Officer(2)</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$290,217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260,000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110,000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and</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120" w:type="dxa"/>
            <w:vAlign w:val="bottom"/>
          </w:tcPr>
          <w:p>
            <w:pPr>
              <w:ind w:left="380"/>
              <w:spacing w:after="0"/>
              <w:rPr>
                <w:sz w:val="20"/>
                <w:szCs w:val="20"/>
                <w:color w:val="auto"/>
              </w:rPr>
            </w:pPr>
            <w:r>
              <w:rPr>
                <w:rFonts w:ascii="Courier New" w:cs="Courier New" w:eastAsia="Courier New" w:hAnsi="Courier New"/>
                <w:sz w:val="16"/>
                <w:szCs w:val="16"/>
                <w:color w:val="auto"/>
              </w:rPr>
              <w:t>Chief</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220,000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100,000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Development Officer(4)</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175,000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75,000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251,597</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125,000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President and Chief</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106,154</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100,000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Operating Officer(5)</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155,000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135,000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72,500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Chief Financial Officer,</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45,000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Secretary and Treasurer</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Hubert Bourque</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125,000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 Chief</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66,346</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35,000</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Compliance Officer(7)</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Norman E. Shepard</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85,000</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96"/>
              </w:rPr>
              <w:t>320,000(10)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President and Chief</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Operating Officer(9)</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364" w:lineRule="exact"/>
        <w:rPr>
          <w:sz w:val="20"/>
          <w:szCs w:val="20"/>
          <w:color w:val="auto"/>
        </w:rPr>
      </w:pPr>
    </w:p>
    <w:p>
      <w:pPr>
        <w:ind w:left="183" w:hanging="183"/>
        <w:spacing w:after="0"/>
        <w:tabs>
          <w:tab w:leader="none" w:pos="18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463" w:right="200" w:hanging="368"/>
        <w:spacing w:after="0" w:line="239" w:lineRule="auto"/>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other annual compensation not properly characterized as salary or bonus, and excludes the cost to USA Waste of perquisites and other personal benefits, securities or property the aggregate amount of which, with respect to any named individual, does not exceed 10% of their total annual salary and bonus.</w:t>
      </w:r>
    </w:p>
    <w:p>
      <w:pPr>
        <w:spacing w:after="0" w:line="2" w:lineRule="exact"/>
        <w:rPr>
          <w:rFonts w:ascii="Courier New" w:cs="Courier New" w:eastAsia="Courier New" w:hAnsi="Courier New"/>
          <w:sz w:val="16"/>
          <w:szCs w:val="16"/>
          <w:color w:val="auto"/>
        </w:rPr>
      </w:pPr>
    </w:p>
    <w:p>
      <w:pPr>
        <w:ind w:left="463" w:hanging="368"/>
        <w:spacing w:after="0"/>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Drury joined USA Waste on May 27, 1994.</w:t>
      </w:r>
    </w:p>
    <w:p>
      <w:pPr>
        <w:spacing w:after="0" w:line="4" w:lineRule="exact"/>
        <w:rPr>
          <w:rFonts w:ascii="Courier New" w:cs="Courier New" w:eastAsia="Courier New" w:hAnsi="Courier New"/>
          <w:sz w:val="16"/>
          <w:szCs w:val="16"/>
          <w:color w:val="auto"/>
        </w:rPr>
      </w:pPr>
    </w:p>
    <w:p>
      <w:pPr>
        <w:ind w:left="463" w:right="380" w:hanging="368"/>
        <w:spacing w:after="0" w:line="238" w:lineRule="auto"/>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Drury was granted a warrant to purchase 850,000 shares of USA Waste Common Stock at the time of the Envirofil acquisition to induce Mr. Drury to join USA Waste.</w:t>
      </w:r>
    </w:p>
    <w:p>
      <w:pPr>
        <w:spacing w:after="0" w:line="2" w:lineRule="exact"/>
        <w:rPr>
          <w:rFonts w:ascii="Courier New" w:cs="Courier New" w:eastAsia="Courier New" w:hAnsi="Courier New"/>
          <w:sz w:val="16"/>
          <w:szCs w:val="16"/>
          <w:color w:val="auto"/>
        </w:rPr>
      </w:pPr>
    </w:p>
    <w:p>
      <w:pPr>
        <w:ind w:left="463" w:hanging="368"/>
        <w:spacing w:after="0"/>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Moorehead was Chief Executive Officer until May 27, 1994.</w:t>
      </w:r>
    </w:p>
    <w:p>
      <w:pPr>
        <w:spacing w:after="0" w:line="4" w:lineRule="exact"/>
        <w:rPr>
          <w:rFonts w:ascii="Courier New" w:cs="Courier New" w:eastAsia="Courier New" w:hAnsi="Courier New"/>
          <w:sz w:val="16"/>
          <w:szCs w:val="16"/>
          <w:color w:val="auto"/>
        </w:rPr>
      </w:pPr>
    </w:p>
    <w:p>
      <w:pPr>
        <w:ind w:left="463" w:right="200" w:hanging="368"/>
        <w:spacing w:after="0" w:line="237" w:lineRule="auto"/>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Sutherland-Yoest joined USA Waste in May 1994. From January 1993 to May 1994, he was the President and Chief Executive Officer of Envirofil.</w:t>
      </w:r>
    </w:p>
    <w:p>
      <w:pPr>
        <w:spacing w:after="0" w:line="5" w:lineRule="exact"/>
        <w:rPr>
          <w:rFonts w:ascii="Courier New" w:cs="Courier New" w:eastAsia="Courier New" w:hAnsi="Courier New"/>
          <w:sz w:val="16"/>
          <w:szCs w:val="16"/>
          <w:color w:val="auto"/>
        </w:rPr>
      </w:pPr>
    </w:p>
    <w:p>
      <w:pPr>
        <w:ind w:left="463" w:right="200" w:hanging="368"/>
        <w:spacing w:after="0" w:line="239" w:lineRule="auto"/>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$85,048 to compensate Mr. Sutherland-Yoest for loss of salary under an agreement with his previous employer resulting from his employment with Envirofil, and $45,000, which represents a signing bonus received upon commencement of his employment.</w:t>
      </w:r>
    </w:p>
    <w:p>
      <w:pPr>
        <w:spacing w:after="0" w:line="5" w:lineRule="exact"/>
        <w:rPr>
          <w:rFonts w:ascii="Courier New" w:cs="Courier New" w:eastAsia="Courier New" w:hAnsi="Courier New"/>
          <w:sz w:val="16"/>
          <w:szCs w:val="16"/>
          <w:color w:val="auto"/>
        </w:rPr>
      </w:pPr>
    </w:p>
    <w:p>
      <w:pPr>
        <w:ind w:left="463" w:right="200" w:hanging="368"/>
        <w:spacing w:after="0" w:line="238" w:lineRule="auto"/>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Bourque joined USA Waste in May 1994. From January 1993 to May 1994, he was Senior Vice President -- Environmental Affairs and Chief Compliance Officer of Envirofil.</w:t>
      </w:r>
    </w:p>
    <w:p>
      <w:pPr>
        <w:spacing w:after="0" w:line="6" w:lineRule="exact"/>
        <w:rPr>
          <w:rFonts w:ascii="Courier New" w:cs="Courier New" w:eastAsia="Courier New" w:hAnsi="Courier New"/>
          <w:sz w:val="16"/>
          <w:szCs w:val="16"/>
          <w:color w:val="auto"/>
        </w:rPr>
      </w:pPr>
    </w:p>
    <w:p>
      <w:pPr>
        <w:ind w:left="463" w:right="580" w:hanging="368"/>
        <w:spacing w:after="0" w:line="238" w:lineRule="auto"/>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$23,730 to compensate Mr. Bourque for loss of salary with his previous employer and $20,000 which represents a signing bonus received upon commencement of his employment.</w:t>
      </w:r>
    </w:p>
    <w:p>
      <w:pPr>
        <w:spacing w:after="0" w:line="6" w:lineRule="exact"/>
        <w:rPr>
          <w:rFonts w:ascii="Courier New" w:cs="Courier New" w:eastAsia="Courier New" w:hAnsi="Courier New"/>
          <w:sz w:val="16"/>
          <w:szCs w:val="16"/>
          <w:color w:val="auto"/>
        </w:rPr>
      </w:pPr>
    </w:p>
    <w:p>
      <w:pPr>
        <w:ind w:left="463" w:right="580" w:hanging="368"/>
        <w:spacing w:after="0" w:line="237" w:lineRule="auto"/>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Shepard was President and Chief Operating Officer of USA Waste from August 1993 to May 27, 1994.</w:t>
      </w:r>
    </w:p>
    <w:p>
      <w:pPr>
        <w:spacing w:after="0" w:line="5" w:lineRule="exact"/>
        <w:rPr>
          <w:rFonts w:ascii="Courier New" w:cs="Courier New" w:eastAsia="Courier New" w:hAnsi="Courier New"/>
          <w:sz w:val="16"/>
          <w:szCs w:val="16"/>
          <w:color w:val="auto"/>
        </w:rPr>
      </w:pPr>
    </w:p>
    <w:p>
      <w:pPr>
        <w:ind w:left="463" w:right="1140" w:hanging="463"/>
        <w:spacing w:after="0" w:line="237" w:lineRule="auto"/>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Shepard entered into a termination agreement whereby upon his termination with USA Waste, he received $320,000.</w:t>
      </w:r>
    </w:p>
    <w:p>
      <w:pPr>
        <w:spacing w:after="0" w:line="5" w:lineRule="exact"/>
        <w:rPr>
          <w:rFonts w:ascii="Courier New" w:cs="Courier New" w:eastAsia="Courier New" w:hAnsi="Courier New"/>
          <w:sz w:val="16"/>
          <w:szCs w:val="16"/>
          <w:color w:val="auto"/>
        </w:rPr>
      </w:pPr>
    </w:p>
    <w:p>
      <w:pPr>
        <w:ind w:left="463" w:right="860" w:hanging="463"/>
        <w:spacing w:after="0" w:line="238" w:lineRule="auto"/>
        <w:tabs>
          <w:tab w:leader="none" w:pos="46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on July 1, 1994, under USA Waste's 1993 Stock Incentive Plan to replace an equivalent number of options previously granted to Mr. Shepard.</w:t>
      </w:r>
    </w:p>
    <w:p>
      <w:pPr>
        <w:spacing w:after="0" w:line="188" w:lineRule="exact"/>
        <w:rPr>
          <w:sz w:val="20"/>
          <w:szCs w:val="20"/>
          <w:color w:val="auto"/>
        </w:rPr>
      </w:pPr>
    </w:p>
    <w:p>
      <w:pPr>
        <w:ind w:left="3" w:right="200" w:firstLine="473"/>
        <w:spacing w:after="0" w:line="239" w:lineRule="auto"/>
        <w:rPr>
          <w:sz w:val="20"/>
          <w:szCs w:val="20"/>
          <w:color w:val="auto"/>
        </w:rPr>
      </w:pPr>
      <w:r>
        <w:rPr>
          <w:rFonts w:ascii="Courier New" w:cs="Courier New" w:eastAsia="Courier New" w:hAnsi="Courier New"/>
          <w:sz w:val="16"/>
          <w:szCs w:val="16"/>
          <w:color w:val="auto"/>
        </w:rPr>
        <w:t>Employment Agreements. Messrs. Drury and Moorehead are each parties to employment agreements with USA Waste, which have continuously renewing five-year terms until age 65 and which provide for the payment of minimum annual base salaries and for the participation by the employee in all USA Waste benefit plans and programs. Messrs. Sutherland-Yoest, Wilcox and Sangalis are parties to similar agreements with USA Waste, but which have continuously renewing three year terms. In addition, Mr. Drury's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540" w:type="dxa"/>
            <w:vAlign w:val="bottom"/>
            <w:gridSpan w:val="3"/>
          </w:tcPr>
          <w:p>
            <w:pPr>
              <w:jc w:val="right"/>
              <w:ind w:right="861"/>
              <w:spacing w:after="0"/>
              <w:rPr>
                <w:sz w:val="20"/>
                <w:szCs w:val="20"/>
                <w:color w:val="auto"/>
              </w:rPr>
            </w:pPr>
            <w:r>
              <w:rPr>
                <w:rFonts w:ascii="Courier New" w:cs="Courier New" w:eastAsia="Courier New" w:hAnsi="Courier New"/>
                <w:sz w:val="16"/>
                <w:szCs w:val="16"/>
                <w:color w:val="auto"/>
              </w:rPr>
              <w:t>LONG-TERM</w:t>
            </w:r>
          </w:p>
        </w:tc>
      </w:tr>
      <w:tr>
        <w:trPr>
          <w:trHeight w:val="182"/>
        </w:trPr>
        <w:tc>
          <w:tcPr>
            <w:tcW w:w="2540" w:type="dxa"/>
            <w:vAlign w:val="bottom"/>
            <w:gridSpan w:val="3"/>
          </w:tcPr>
          <w:p>
            <w:pPr>
              <w:jc w:val="center"/>
              <w:ind w:right="201"/>
              <w:spacing w:after="0"/>
              <w:rPr>
                <w:sz w:val="20"/>
                <w:szCs w:val="20"/>
                <w:color w:val="auto"/>
              </w:rPr>
            </w:pPr>
            <w:r>
              <w:rPr>
                <w:rFonts w:ascii="Courier New" w:cs="Courier New" w:eastAsia="Courier New" w:hAnsi="Courier New"/>
                <w:sz w:val="16"/>
                <w:szCs w:val="16"/>
                <w:color w:val="auto"/>
                <w:w w:val="98"/>
              </w:rPr>
              <w:t>COMPENSATION</w:t>
            </w:r>
          </w:p>
        </w:tc>
      </w:tr>
      <w:tr>
        <w:trPr>
          <w:trHeight w:val="182"/>
        </w:trPr>
        <w:tc>
          <w:tcPr>
            <w:tcW w:w="1500" w:type="dxa"/>
            <w:vAlign w:val="bottom"/>
            <w:gridSpan w:val="2"/>
          </w:tcPr>
          <w:p>
            <w:pPr>
              <w:jc w:val="center"/>
              <w:ind w:left="681"/>
              <w:spacing w:after="0"/>
              <w:rPr>
                <w:sz w:val="20"/>
                <w:szCs w:val="20"/>
                <w:color w:val="auto"/>
              </w:rPr>
            </w:pPr>
            <w:r>
              <w:rPr>
                <w:rFonts w:ascii="Courier New" w:cs="Courier New" w:eastAsia="Courier New" w:hAnsi="Courier New"/>
                <w:sz w:val="16"/>
                <w:szCs w:val="16"/>
                <w:color w:val="auto"/>
              </w:rPr>
              <w:t>AWARDS</w:t>
            </w:r>
          </w:p>
        </w:tc>
        <w:tc>
          <w:tcPr>
            <w:tcW w:w="1040" w:type="dxa"/>
            <w:vAlign w:val="bottom"/>
          </w:tcPr>
          <w:p>
            <w:pPr>
              <w:spacing w:after="0"/>
              <w:rPr>
                <w:sz w:val="15"/>
                <w:szCs w:val="15"/>
                <w:color w:val="auto"/>
              </w:rPr>
            </w:pPr>
          </w:p>
        </w:tc>
      </w:tr>
      <w:tr>
        <w:trPr>
          <w:trHeight w:val="182"/>
        </w:trPr>
        <w:tc>
          <w:tcPr>
            <w:tcW w:w="254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STOCK</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18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ALL OTHER</w:t>
            </w:r>
          </w:p>
        </w:tc>
      </w:tr>
      <w:tr>
        <w:trPr>
          <w:trHeight w:val="182"/>
        </w:trPr>
        <w:tc>
          <w:tcPr>
            <w:tcW w:w="118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3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COMPENSATION</w:t>
            </w:r>
          </w:p>
        </w:tc>
      </w:tr>
      <w:tr>
        <w:trPr>
          <w:trHeight w:val="182"/>
        </w:trPr>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5"/>
              </w:rPr>
              <w:t>------------</w:t>
            </w:r>
          </w:p>
        </w:tc>
      </w:tr>
      <w:tr>
        <w:trPr>
          <w:trHeight w:val="546"/>
        </w:trPr>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850,000(3)</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364"/>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w:t>
            </w:r>
          </w:p>
        </w:tc>
        <w:tc>
          <w:tcPr>
            <w:tcW w:w="320" w:type="dxa"/>
            <w:vAlign w:val="bottom"/>
          </w:tcPr>
          <w:p>
            <w:pPr>
              <w:spacing w:after="0"/>
              <w:rPr>
                <w:sz w:val="24"/>
                <w:szCs w:val="24"/>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576,652</w:t>
            </w:r>
          </w:p>
        </w:tc>
        <w:tc>
          <w:tcPr>
            <w:tcW w:w="32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130,048(6)</w:t>
            </w:r>
          </w:p>
        </w:tc>
      </w:tr>
      <w:tr>
        <w:trPr>
          <w:trHeight w:val="364"/>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w:t>
            </w:r>
          </w:p>
        </w:tc>
        <w:tc>
          <w:tcPr>
            <w:tcW w:w="320" w:type="dxa"/>
            <w:vAlign w:val="bottom"/>
          </w:tcPr>
          <w:p>
            <w:pPr>
              <w:spacing w:after="0"/>
              <w:rPr>
                <w:sz w:val="24"/>
                <w:szCs w:val="24"/>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364"/>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4"/>
                <w:szCs w:val="24"/>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15,000</w:t>
            </w:r>
          </w:p>
        </w:tc>
        <w:tc>
          <w:tcPr>
            <w:tcW w:w="32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43,370(8)</w:t>
            </w:r>
          </w:p>
        </w:tc>
      </w:tr>
      <w:tr>
        <w:trPr>
          <w:trHeight w:val="364"/>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95,000(11)</w:t>
            </w:r>
          </w:p>
        </w:tc>
        <w:tc>
          <w:tcPr>
            <w:tcW w:w="320" w:type="dxa"/>
            <w:vAlign w:val="bottom"/>
          </w:tcPr>
          <w:p>
            <w:pPr>
              <w:spacing w:after="0"/>
              <w:rPr>
                <w:sz w:val="24"/>
                <w:szCs w:val="24"/>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70,000</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bl>
    <w:p>
      <w:pPr>
        <w:spacing w:after="0" w:line="7821" w:lineRule="exact"/>
        <w:rPr>
          <w:sz w:val="20"/>
          <w:szCs w:val="20"/>
          <w:color w:val="auto"/>
        </w:rPr>
      </w:pPr>
    </w:p>
    <w:p>
      <w:pPr>
        <w:sectPr>
          <w:pgSz w:w="11900" w:h="16838" w:orient="portrait"/>
          <w:cols w:equalWidth="0" w:num="2">
            <w:col w:w="7763" w:space="280"/>
            <w:col w:w="2540"/>
          </w:cols>
          <w:pgMar w:left="237" w:top="295" w:right="1079" w:bottom="883" w:gutter="0" w:footer="0" w:header="0"/>
        </w:sectPr>
      </w:pPr>
    </w:p>
    <w:p>
      <w:pPr>
        <w:ind w:left="3683"/>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583"/>
          </w:cols>
          <w:pgMar w:left="237" w:top="295" w:right="1079" w:bottom="883" w:gutter="0" w:footer="0" w:header="0"/>
          <w:type w:val="continuous"/>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65</w:t>
      </w:r>
    </w:p>
    <w:p>
      <w:pPr>
        <w:spacing w:after="0" w:line="186" w:lineRule="exact"/>
        <w:rPr>
          <w:sz w:val="20"/>
          <w:szCs w:val="20"/>
          <w:color w:val="auto"/>
        </w:rPr>
      </w:pPr>
    </w:p>
    <w:p>
      <w:pPr>
        <w:ind w:right="2759"/>
        <w:spacing w:after="0" w:line="267" w:lineRule="auto"/>
        <w:rPr>
          <w:sz w:val="20"/>
          <w:szCs w:val="20"/>
          <w:color w:val="auto"/>
        </w:rPr>
      </w:pPr>
      <w:r>
        <w:rPr>
          <w:rFonts w:ascii="Courier New" w:cs="Courier New" w:eastAsia="Courier New" w:hAnsi="Courier New"/>
          <w:sz w:val="15"/>
          <w:szCs w:val="15"/>
          <w:color w:val="auto"/>
        </w:rPr>
        <w:t>agreement provides that USA Waste will purchase his residence in Houston, Texas for $1,375,000, the fair market value of such residence at June 1, 1994.</w:t>
      </w:r>
    </w:p>
    <w:p>
      <w:pPr>
        <w:spacing w:after="0" w:line="1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employment agreements include provisions governing compensation and severance benefits upon termination of employment with USA Waste and upon certain changes of control of USA Waste (which term specifically excludes the Merger). The agreements may be terminated by USA Waste other than for cause (as defined in the agreements) on the date five years (three years in the case of Messrs. Sutherland-Yoest, Wilcox, and Sangalis)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event of a change of control of USA Waste,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officers without cause or takes any action adverse to such officers without their consent with respect to, among other things, their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 sum of his base salary in effect at termination and the highest bonus he received in the three-year period prior to termination.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Mr. Bourque also currently has an employment agreement with USA Waste. Pursuant to the terms of his agreement, Mr. Bourque has agreed to serve as a full-time employee of USA Waste for a period of two years (until June 1, 1996) with automatic one-year extensions thereafter unless the agreement is terminated by either party. The agreement provides for a minimum annual salary and for the participation by Mr. Bourque in all USA Waste benefit programs. If Mr. Bourque is terminated without cause, USA Waste is obligated to pay him a lump-sum payment equal to his base salary for the greater of the remaining term of his agreement or 12 months.</w:t>
      </w:r>
    </w:p>
    <w:p>
      <w:pPr>
        <w:spacing w:after="0" w:line="36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the event that Messrs. Drury, Moorehead, Sutherland-Yoest, DeFrates,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Wilcox, Sangalis, or Bourque were terminated without cause during 1995 (or if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DeFrates elected to terminate his agreement), the annual compensation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part-time status or severance payment would be approximately $375,000, $258,750,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$218,531, $122,500, $14,063, $0, and $125,000, respectively, subject to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cost-of-living adjustment. If a change in control were to occur in 1995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Messrs. Drury, Moorehead, Sutherland-Yoest, DeFrates, Wilcox or Sangalis elected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take the change in control payment, they would receive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$870,651, $940,000, $874,127, $742,500, $56,250, and $0, respectively.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entered into by Messrs. Drury, Moorehead, Sutherland-Yoest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Wilcox specifically exclude from a change in control transaction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approved by 75% of the USA Waste Board of Directors.</w:t>
      </w:r>
    </w:p>
    <w:p>
      <w:pPr>
        <w:spacing w:after="0" w:line="36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current annual salaries of Messrs. Drury, Moorehead, Sutherland-Yoest, DeFrates, Wilcox, Sangalis, and Bourque are $500,000, $300,000, $300,000, $175,000, $225,000, $175,000, and $125,000, respectively.</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295" w:right="1440" w:bottom="1440" w:gutter="0" w:footer="0" w:header="0"/>
          <w:type w:val="continuous"/>
        </w:sectPr>
      </w:pPr>
    </w:p>
    <w:bookmarkStart w:id="68" w:name="page69"/>
    <w:bookmarkEnd w:id="68"/>
    <w:p>
      <w:pPr>
        <w:ind w:left="283"/>
        <w:spacing w:after="0"/>
        <w:rPr>
          <w:sz w:val="20"/>
          <w:szCs w:val="20"/>
          <w:color w:val="auto"/>
        </w:rPr>
      </w:pPr>
      <w:r>
        <w:rPr>
          <w:rFonts w:ascii="Courier New" w:cs="Courier New" w:eastAsia="Courier New" w:hAnsi="Courier New"/>
          <w:sz w:val="16"/>
          <w:szCs w:val="16"/>
          <w:color w:val="auto"/>
        </w:rPr>
        <w:t>66</w:t>
      </w:r>
    </w:p>
    <w:p>
      <w:pPr>
        <w:spacing w:after="0" w:line="186" w:lineRule="exact"/>
        <w:rPr>
          <w:sz w:val="20"/>
          <w:szCs w:val="20"/>
          <w:color w:val="auto"/>
        </w:rPr>
      </w:pPr>
    </w:p>
    <w:p>
      <w:pPr>
        <w:ind w:left="3" w:right="380" w:firstLine="473"/>
        <w:spacing w:after="0" w:line="239" w:lineRule="auto"/>
        <w:rPr>
          <w:sz w:val="20"/>
          <w:szCs w:val="20"/>
          <w:color w:val="auto"/>
        </w:rPr>
      </w:pPr>
      <w:r>
        <w:rPr>
          <w:rFonts w:ascii="Courier New" w:cs="Courier New" w:eastAsia="Courier New" w:hAnsi="Courier New"/>
          <w:sz w:val="16"/>
          <w:szCs w:val="16"/>
          <w:color w:val="auto"/>
        </w:rPr>
        <w:t>Upon consummation of the Merger, USA Waste will enter into an employment agreement with Alexander W. Rangos similar to the employment agreements with Messrs. Moorehead and Drury, and into consulting agreements with John W. Rangos, Sr. and John W. Rangos, Jr. See "The Merger and Related Transactions -- Conflicts of Interest."</w:t>
      </w:r>
    </w:p>
    <w:p>
      <w:pPr>
        <w:spacing w:after="0" w:line="189" w:lineRule="exact"/>
        <w:rPr>
          <w:sz w:val="20"/>
          <w:szCs w:val="20"/>
          <w:color w:val="auto"/>
        </w:rPr>
      </w:pPr>
    </w:p>
    <w:p>
      <w:pPr>
        <w:ind w:left="3" w:right="380" w:firstLine="473"/>
        <w:spacing w:after="0" w:line="257" w:lineRule="auto"/>
        <w:rPr>
          <w:sz w:val="20"/>
          <w:szCs w:val="20"/>
          <w:color w:val="auto"/>
        </w:rPr>
      </w:pPr>
      <w:r>
        <w:rPr>
          <w:rFonts w:ascii="Courier New" w:cs="Courier New" w:eastAsia="Courier New" w:hAnsi="Courier New"/>
          <w:sz w:val="15"/>
          <w:szCs w:val="15"/>
          <w:color w:val="auto"/>
        </w:rPr>
        <w:t>Stock Incentive Plans. At USA Waste's 1990 Annual Meeting of Shareholders, the shareholders approved USA Waste's 1990 Stock Option Plan (the "1990 Plan") pursuant to which stock options, incentive stock options, and stock appreciation rights to purchase up to 900,000 shares of USA Waste Common Stock could be granted to officers, directors, and key management employees of USA Waste and its subsidiaries. No stock appreciation rights were issued pursuant to the 1990 Plan. At USA Waste's 1993 Annual Meeting of Shareholders, the shareholders approved USA Waste's 1993 Stock Incentive Plan (the "1993 Plan") pursuant to which stock options, incentive stock options, reload options, alternate appreciation rights, limited rights, automatic stock awards, and stock bonus awards to purchase up to 1,000,000 shares of Common Stock may be granted to officers, directors, and key management employees of USA Waste and its subsidiaries. The 1993 Plan is administered by the Compensation Committee. In connection with the acquisition of Envirofil, USA Waste assumed all of the outstanding options under the Envirofil 1993 Stock Option Plan (the "Envirofil Plan"), which options were converted to options to purchase USA Waste Common Stock on the basis of .20 shares of USA Waste Common Stock for each share of Envirofil common stock at a price equal to five times the stated option price. No additional options have been granted under the Envirofil Plan.</w:t>
      </w:r>
    </w:p>
    <w:p>
      <w:pPr>
        <w:spacing w:after="0" w:line="180" w:lineRule="exact"/>
        <w:rPr>
          <w:sz w:val="20"/>
          <w:szCs w:val="20"/>
          <w:color w:val="auto"/>
        </w:rPr>
      </w:pPr>
    </w:p>
    <w:p>
      <w:pPr>
        <w:ind w:left="3" w:right="560" w:firstLine="473"/>
        <w:spacing w:after="0" w:line="262" w:lineRule="auto"/>
        <w:rPr>
          <w:sz w:val="20"/>
          <w:szCs w:val="20"/>
          <w:color w:val="auto"/>
        </w:rPr>
      </w:pPr>
      <w:r>
        <w:rPr>
          <w:rFonts w:ascii="Courier New" w:cs="Courier New" w:eastAsia="Courier New" w:hAnsi="Courier New"/>
          <w:sz w:val="15"/>
          <w:szCs w:val="15"/>
          <w:color w:val="auto"/>
        </w:rPr>
        <w:t>During 1994, options to purchase an aggregate of 324,000 shares of USA Waste Common Stock were granted at an average price of $12.28 per share. No options have been granted at less than fair market value on the date of grant.</w:t>
      </w:r>
    </w:p>
    <w:p>
      <w:pPr>
        <w:spacing w:after="0" w:line="171" w:lineRule="exact"/>
        <w:rPr>
          <w:sz w:val="20"/>
          <w:szCs w:val="20"/>
          <w:color w:val="auto"/>
        </w:rPr>
      </w:pPr>
    </w:p>
    <w:p>
      <w:pPr>
        <w:ind w:left="3" w:right="380" w:firstLine="473"/>
        <w:spacing w:after="0" w:line="258" w:lineRule="auto"/>
        <w:rPr>
          <w:sz w:val="20"/>
          <w:szCs w:val="20"/>
          <w:color w:val="auto"/>
        </w:rPr>
      </w:pPr>
      <w:r>
        <w:rPr>
          <w:rFonts w:ascii="Courier New" w:cs="Courier New" w:eastAsia="Courier New" w:hAnsi="Courier New"/>
          <w:sz w:val="15"/>
          <w:szCs w:val="15"/>
          <w:color w:val="auto"/>
        </w:rPr>
        <w:t>As of December 31, 1994, options to purchase a total of 1,504,628 shares have been granted under the 1990 and 1993 Plans and the Envirofil Plan at exercise prices ranging from $2.50 to $19.39 per share, with a weighted average exercise price per share of $13.35. Of the options outstanding at December 31, 1994, 605,382 are held by current executive officers and directors and 183,676 are currently exercisable, with the remaining outstanding options exercisable in various annual increments over the next five years.</w:t>
      </w:r>
    </w:p>
    <w:p>
      <w:pPr>
        <w:spacing w:after="0" w:line="176" w:lineRule="exact"/>
        <w:rPr>
          <w:sz w:val="20"/>
          <w:szCs w:val="20"/>
          <w:color w:val="auto"/>
        </w:rPr>
      </w:pPr>
    </w:p>
    <w:p>
      <w:pPr>
        <w:ind w:left="3" w:right="660" w:firstLine="473"/>
        <w:spacing w:after="0" w:line="239" w:lineRule="auto"/>
        <w:rPr>
          <w:sz w:val="20"/>
          <w:szCs w:val="20"/>
          <w:color w:val="auto"/>
        </w:rPr>
      </w:pPr>
      <w:r>
        <w:rPr>
          <w:rFonts w:ascii="Courier New" w:cs="Courier New" w:eastAsia="Courier New" w:hAnsi="Courier New"/>
          <w:sz w:val="16"/>
          <w:szCs w:val="16"/>
          <w:color w:val="auto"/>
        </w:rPr>
        <w:t>Under the 1993 Plan, directors of USA Waste who are not officers or employees of USA Waste automatically are granted on January 1 of each year in which they are a director a stock bonus equal to the number of shares of USA Waste Common Stock determined by dividing $5,000 by the closing price for USA Waste Common Stock on December 31 of the previous year.</w:t>
      </w:r>
    </w:p>
    <w:p>
      <w:pPr>
        <w:spacing w:after="0" w:line="189" w:lineRule="exact"/>
        <w:rPr>
          <w:sz w:val="20"/>
          <w:szCs w:val="20"/>
          <w:color w:val="auto"/>
        </w:rPr>
      </w:pPr>
    </w:p>
    <w:p>
      <w:pPr>
        <w:ind w:left="3" w:right="660" w:firstLine="473"/>
        <w:spacing w:after="0" w:line="237" w:lineRule="auto"/>
        <w:rPr>
          <w:sz w:val="20"/>
          <w:szCs w:val="20"/>
          <w:color w:val="auto"/>
        </w:rPr>
      </w:pPr>
      <w:r>
        <w:rPr>
          <w:rFonts w:ascii="Courier New" w:cs="Courier New" w:eastAsia="Courier New" w:hAnsi="Courier New"/>
          <w:sz w:val="16"/>
          <w:szCs w:val="16"/>
          <w:color w:val="auto"/>
        </w:rPr>
        <w:t>The following table sets forth information concerning the grant of stock options during 1994 to the named executive officers:</w:t>
      </w:r>
    </w:p>
    <w:p>
      <w:pPr>
        <w:spacing w:after="0" w:line="184"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2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INDIVIDUAL GRANTS</w:t>
            </w:r>
          </w:p>
        </w:tc>
        <w:tc>
          <w:tcPr>
            <w:tcW w:w="128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5580" w:type="dxa"/>
            <w:vAlign w:val="bottom"/>
            <w:gridSpan w:val="4"/>
          </w:tcPr>
          <w:p>
            <w:pPr>
              <w:jc w:val="right"/>
              <w:ind w:right="101"/>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PERCENTAGE</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236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NUMBER OF</w:t>
            </w:r>
          </w:p>
        </w:tc>
        <w:tc>
          <w:tcPr>
            <w:tcW w:w="15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OF TOTAL</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ind w:left="320"/>
              <w:spacing w:after="0"/>
              <w:rPr>
                <w:sz w:val="20"/>
                <w:szCs w:val="20"/>
                <w:color w:val="auto"/>
              </w:rPr>
            </w:pPr>
            <w:r>
              <w:rPr>
                <w:rFonts w:ascii="Courier New" w:cs="Courier New" w:eastAsia="Courier New" w:hAnsi="Courier New"/>
                <w:sz w:val="16"/>
                <w:szCs w:val="16"/>
                <w:color w:val="auto"/>
              </w:rPr>
              <w:t>OPTIONS</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UNDERLYING</w:t>
            </w:r>
          </w:p>
        </w:tc>
        <w:tc>
          <w:tcPr>
            <w:tcW w:w="15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GRANTED TO</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EXERCISE</w:t>
            </w:r>
          </w:p>
        </w:tc>
        <w:tc>
          <w:tcPr>
            <w:tcW w:w="128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OPTIONS</w:t>
            </w:r>
          </w:p>
        </w:tc>
        <w:tc>
          <w:tcPr>
            <w:tcW w:w="15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EMPLOYEES IN</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PRICE</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EXPIRATION</w:t>
            </w:r>
          </w:p>
        </w:tc>
      </w:tr>
      <w:tr>
        <w:trPr>
          <w:trHeight w:val="182"/>
        </w:trPr>
        <w:tc>
          <w:tcPr>
            <w:tcW w:w="2360" w:type="dxa"/>
            <w:vAlign w:val="bottom"/>
          </w:tcPr>
          <w:p>
            <w:pPr>
              <w:ind w:left="840"/>
              <w:spacing w:after="0"/>
              <w:rPr>
                <w:sz w:val="20"/>
                <w:szCs w:val="20"/>
                <w:color w:val="auto"/>
              </w:rPr>
            </w:pPr>
            <w:r>
              <w:rPr>
                <w:rFonts w:ascii="Courier New" w:cs="Courier New" w:eastAsia="Courier New" w:hAnsi="Courier New"/>
                <w:sz w:val="16"/>
                <w:szCs w:val="16"/>
                <w:color w:val="auto"/>
              </w:rPr>
              <w:t>NAME</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GRANTED</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FISCAL 1994</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(PER SHARE)</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DATE</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850,000(1)</w:t>
            </w:r>
          </w:p>
        </w:tc>
        <w:tc>
          <w:tcPr>
            <w:tcW w:w="15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74.0%</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$11.38</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5/31/2002</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Donald F. Moorehead,</w:t>
            </w: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Jr...................</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25,000(2)</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2.2</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12.52</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1/03/2004</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David</w:t>
            </w: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Sutherland-Yoest.....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25,000(2)</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2.2</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11.38</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1/03/2004</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Hubert Bourque.........</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Norman E. Shepard......</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95,000(3)</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8.3</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11.25</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7/01/2004</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560" w:hanging="463"/>
        <w:spacing w:after="0" w:line="238" w:lineRule="auto"/>
        <w:tabs>
          <w:tab w:leader="none" w:pos="3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 granted on June 1, 1994, in connection with Mr. Drury's employment as Chief Executive Officer. Such warrant becomes exercisable as to 25% of the shares covered thereby on each anniversary.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380" w:right="180"/>
        <w:spacing w:after="0" w:line="256" w:lineRule="auto"/>
        <w:rPr>
          <w:sz w:val="20"/>
          <w:szCs w:val="20"/>
          <w:color w:val="auto"/>
        </w:rPr>
      </w:pPr>
      <w:r>
        <w:rPr>
          <w:rFonts w:ascii="Courier New" w:cs="Courier New" w:eastAsia="Courier New" w:hAnsi="Courier New"/>
          <w:sz w:val="15"/>
          <w:szCs w:val="15"/>
          <w:color w:val="auto"/>
        </w:rPr>
        <w:t>POTENTIAL REALIZABLE VALUE AT ASSUMED ANNUAL RATE OF STOCK PRICE APPRECIATION FOR OPTION TERM (4)</w:t>
      </w:r>
    </w:p>
    <w:p>
      <w:pPr>
        <w:spacing w:after="0"/>
        <w:rPr>
          <w:sz w:val="20"/>
          <w:szCs w:val="20"/>
          <w:color w:val="auto"/>
        </w:rPr>
      </w:pPr>
      <w:r>
        <w:rPr>
          <w:rFonts w:ascii="Courier New" w:cs="Courier New" w:eastAsia="Courier New" w:hAnsi="Courier New"/>
          <w:sz w:val="16"/>
          <w:szCs w:val="16"/>
          <w:color w:val="auto"/>
        </w:rPr>
        <w:t>----------------------------</w:t>
      </w:r>
    </w:p>
    <w:tbl>
      <w:tblPr>
        <w:tblLayout w:type="fixed"/>
        <w:tblInd w:w="100" w:type="dxa"/>
        <w:tblCellMar>
          <w:top w:w="0" w:type="dxa"/>
          <w:left w:w="0" w:type="dxa"/>
          <w:bottom w:w="0" w:type="dxa"/>
          <w:right w:w="0" w:type="dxa"/>
        </w:tblCellMar>
      </w:tblPr>
      <w:tr>
        <w:trPr>
          <w:trHeight w:val="181"/>
        </w:trPr>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w:t>
            </w:r>
          </w:p>
        </w:tc>
      </w:tr>
      <w:tr>
        <w:trPr>
          <w:trHeight w:val="182"/>
        </w:trPr>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$4,616,397</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$11,057,074</w:t>
            </w:r>
          </w:p>
        </w:tc>
      </w:tr>
      <w:tr>
        <w:trPr>
          <w:trHeight w:val="364"/>
        </w:trPr>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150,217</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424,596</w:t>
            </w:r>
          </w:p>
        </w:tc>
      </w:tr>
      <w:tr>
        <w:trPr>
          <w:trHeight w:val="364"/>
        </w:trPr>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178,842</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453,221</w:t>
            </w:r>
          </w:p>
        </w:tc>
      </w:tr>
      <w:tr>
        <w:trPr>
          <w:trHeight w:val="182"/>
        </w:trPr>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672,131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1,703,312</w:t>
            </w:r>
          </w:p>
        </w:tc>
      </w:tr>
    </w:tbl>
    <w:p>
      <w:pPr>
        <w:spacing w:after="0" w:line="1455" w:lineRule="exact"/>
        <w:rPr>
          <w:sz w:val="20"/>
          <w:szCs w:val="20"/>
          <w:color w:val="auto"/>
        </w:rPr>
      </w:pPr>
    </w:p>
    <w:p>
      <w:pPr>
        <w:sectPr>
          <w:pgSz w:w="11900" w:h="16838" w:orient="portrait"/>
          <w:cols w:equalWidth="0" w:num="2">
            <w:col w:w="7943" w:space="280"/>
            <w:col w:w="2840"/>
          </w:cols>
          <w:pgMar w:left="237" w:top="295" w:right="599" w:bottom="1440" w:gutter="0" w:footer="0" w:header="0"/>
        </w:sectPr>
      </w:pPr>
    </w:p>
    <w:p>
      <w:pPr>
        <w:ind w:left="3683"/>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1063"/>
          </w:cols>
          <w:pgMar w:left="237" w:top="295" w:right="599" w:bottom="1440" w:gutter="0" w:footer="0" w:header="0"/>
          <w:type w:val="continuous"/>
        </w:sectPr>
      </w:pPr>
    </w:p>
    <w:bookmarkStart w:id="69" w:name="page70"/>
    <w:bookmarkEnd w:id="69"/>
    <w:p>
      <w:pPr>
        <w:ind w:left="283"/>
        <w:spacing w:after="0"/>
        <w:rPr>
          <w:sz w:val="20"/>
          <w:szCs w:val="20"/>
          <w:color w:val="auto"/>
        </w:rPr>
      </w:pPr>
      <w:r>
        <w:rPr>
          <w:rFonts w:ascii="Courier New" w:cs="Courier New" w:eastAsia="Courier New" w:hAnsi="Courier New"/>
          <w:sz w:val="16"/>
          <w:szCs w:val="16"/>
          <w:color w:val="auto"/>
        </w:rPr>
        <w:t>67</w:t>
      </w:r>
    </w:p>
    <w:p>
      <w:pPr>
        <w:spacing w:after="0" w:line="186" w:lineRule="exact"/>
        <w:rPr>
          <w:sz w:val="20"/>
          <w:szCs w:val="20"/>
          <w:color w:val="auto"/>
        </w:rPr>
      </w:pPr>
    </w:p>
    <w:p>
      <w:pPr>
        <w:jc w:val="both"/>
        <w:ind w:left="463" w:right="3960" w:hanging="463"/>
        <w:spacing w:after="0" w:line="239" w:lineRule="auto"/>
        <w:tabs>
          <w:tab w:leader="none" w:pos="36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on January 3, 1994, under USA Waste's 1993 Stock Incentive Plan. Twenty percent of each option became exercisable on January 3, 1995, and, subject to acceleration provisions, an additional 20% becomes exercisable each year thereafter.</w:t>
      </w:r>
    </w:p>
    <w:p>
      <w:pPr>
        <w:spacing w:after="0" w:line="5" w:lineRule="exact"/>
        <w:rPr>
          <w:rFonts w:ascii="Courier New" w:cs="Courier New" w:eastAsia="Courier New" w:hAnsi="Courier New"/>
          <w:sz w:val="16"/>
          <w:szCs w:val="16"/>
          <w:color w:val="auto"/>
        </w:rPr>
      </w:pPr>
    </w:p>
    <w:p>
      <w:pPr>
        <w:ind w:left="463" w:right="4620" w:hanging="463"/>
        <w:spacing w:after="0" w:line="256" w:lineRule="auto"/>
        <w:tabs>
          <w:tab w:leader="none" w:pos="3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on July 1, 1994, under USA Waste's 1993 Stock Incentive Plan to replace an equivalent number of options previously granted to Mr. Shepard. Such options were fully vested upon grant.</w:t>
      </w:r>
    </w:p>
    <w:p>
      <w:pPr>
        <w:spacing w:after="0" w:line="1" w:lineRule="exact"/>
        <w:rPr>
          <w:rFonts w:ascii="Courier New" w:cs="Courier New" w:eastAsia="Courier New" w:hAnsi="Courier New"/>
          <w:sz w:val="15"/>
          <w:szCs w:val="15"/>
          <w:color w:val="auto"/>
        </w:rPr>
      </w:pPr>
    </w:p>
    <w:p>
      <w:pPr>
        <w:ind w:left="463" w:right="4060" w:hanging="463"/>
        <w:spacing w:after="0" w:line="239" w:lineRule="auto"/>
        <w:tabs>
          <w:tab w:leader="none" w:pos="36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of each grant of options assuming that the market price of the underlying security appreciates in value from the date of grant to the end of the option term at the rates of 5% and 10% compounded annually.</w:t>
      </w:r>
    </w:p>
    <w:p>
      <w:pPr>
        <w:spacing w:after="0" w:line="187" w:lineRule="exact"/>
        <w:rPr>
          <w:sz w:val="20"/>
          <w:szCs w:val="20"/>
          <w:color w:val="auto"/>
        </w:rPr>
      </w:pPr>
    </w:p>
    <w:p>
      <w:pPr>
        <w:ind w:left="3" w:right="3960" w:firstLine="473"/>
        <w:spacing w:after="0" w:line="237" w:lineRule="auto"/>
        <w:rPr>
          <w:sz w:val="20"/>
          <w:szCs w:val="20"/>
          <w:color w:val="auto"/>
        </w:rPr>
      </w:pPr>
      <w:r>
        <w:rPr>
          <w:rFonts w:ascii="Courier New" w:cs="Courier New" w:eastAsia="Courier New" w:hAnsi="Courier New"/>
          <w:sz w:val="16"/>
          <w:szCs w:val="16"/>
          <w:color w:val="auto"/>
        </w:rPr>
        <w:t>The following table sets forth information concerning the exercise of stock options during 1994 by USA Waste's named executive officers:</w:t>
      </w:r>
    </w:p>
    <w:p>
      <w:pPr>
        <w:spacing w:after="0" w:line="184"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OPTION EXERCISES AND YEAR-END VALUE TABLE</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9"/>
              </w:rPr>
              <w:t>NUMBER OF</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center"/>
              <w:ind w:right="81"/>
              <w:spacing w:after="0"/>
              <w:rPr>
                <w:sz w:val="20"/>
                <w:szCs w:val="20"/>
                <w:color w:val="auto"/>
              </w:rPr>
            </w:pPr>
            <w:r>
              <w:rPr>
                <w:rFonts w:ascii="Courier New" w:cs="Courier New" w:eastAsia="Courier New" w:hAnsi="Courier New"/>
                <w:sz w:val="16"/>
                <w:szCs w:val="16"/>
                <w:color w:val="auto"/>
                <w:w w:val="98"/>
              </w:rPr>
              <w:t>UNEXERCISED</w:t>
            </w:r>
          </w:p>
        </w:tc>
        <w:tc>
          <w:tcPr>
            <w:tcW w:w="200" w:type="dxa"/>
            <w:vAlign w:val="bottom"/>
          </w:tcPr>
          <w:p>
            <w:pPr>
              <w:spacing w:after="0"/>
              <w:rPr>
                <w:sz w:val="15"/>
                <w:szCs w:val="15"/>
                <w:color w:val="auto"/>
              </w:rPr>
            </w:pPr>
          </w:p>
        </w:tc>
        <w:tc>
          <w:tcPr>
            <w:tcW w:w="2580" w:type="dxa"/>
            <w:vAlign w:val="bottom"/>
            <w:gridSpan w:val="3"/>
          </w:tcPr>
          <w:p>
            <w:pPr>
              <w:jc w:val="center"/>
              <w:ind w:right="341"/>
              <w:spacing w:after="0"/>
              <w:rPr>
                <w:sz w:val="20"/>
                <w:szCs w:val="20"/>
                <w:color w:val="auto"/>
              </w:rPr>
            </w:pPr>
            <w:r>
              <w:rPr>
                <w:rFonts w:ascii="Courier New" w:cs="Courier New" w:eastAsia="Courier New" w:hAnsi="Courier New"/>
                <w:sz w:val="16"/>
                <w:szCs w:val="16"/>
                <w:color w:val="auto"/>
                <w:w w:val="97"/>
              </w:rPr>
              <w:t>VALUE OF UNEXERCISED</w:t>
            </w:r>
          </w:p>
        </w:tc>
      </w:tr>
      <w:tr>
        <w:trPr>
          <w:trHeight w:val="182"/>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right"/>
              <w:ind w:right="1001"/>
              <w:spacing w:after="0"/>
              <w:rPr>
                <w:sz w:val="20"/>
                <w:szCs w:val="20"/>
                <w:color w:val="auto"/>
              </w:rPr>
            </w:pPr>
            <w:r>
              <w:rPr>
                <w:rFonts w:ascii="Courier New" w:cs="Courier New" w:eastAsia="Courier New" w:hAnsi="Courier New"/>
                <w:sz w:val="16"/>
                <w:szCs w:val="16"/>
                <w:color w:val="auto"/>
              </w:rPr>
              <w:t>OPTIONS AT</w:t>
            </w:r>
          </w:p>
        </w:tc>
        <w:tc>
          <w:tcPr>
            <w:tcW w:w="200" w:type="dxa"/>
            <w:vAlign w:val="bottom"/>
          </w:tcPr>
          <w:p>
            <w:pPr>
              <w:spacing w:after="0"/>
              <w:rPr>
                <w:sz w:val="15"/>
                <w:szCs w:val="15"/>
                <w:color w:val="auto"/>
              </w:rPr>
            </w:pPr>
          </w:p>
        </w:tc>
        <w:tc>
          <w:tcPr>
            <w:tcW w:w="2580" w:type="dxa"/>
            <w:vAlign w:val="bottom"/>
            <w:gridSpan w:val="3"/>
          </w:tcPr>
          <w:p>
            <w:pPr>
              <w:jc w:val="center"/>
              <w:ind w:right="341"/>
              <w:spacing w:after="0"/>
              <w:rPr>
                <w:sz w:val="20"/>
                <w:szCs w:val="20"/>
                <w:color w:val="auto"/>
              </w:rPr>
            </w:pPr>
            <w:r>
              <w:rPr>
                <w:rFonts w:ascii="Courier New" w:cs="Courier New" w:eastAsia="Courier New" w:hAnsi="Courier New"/>
                <w:sz w:val="16"/>
                <w:szCs w:val="16"/>
                <w:color w:val="auto"/>
                <w:w w:val="97"/>
              </w:rPr>
              <w:t>IN-THE-MONEY</w:t>
            </w:r>
          </w:p>
        </w:tc>
      </w:tr>
      <w:tr>
        <w:trPr>
          <w:trHeight w:val="182"/>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9"/>
              </w:rPr>
              <w:t>DECEMBER 31, 1994</w:t>
            </w:r>
          </w:p>
        </w:tc>
        <w:tc>
          <w:tcPr>
            <w:tcW w:w="200" w:type="dxa"/>
            <w:vAlign w:val="bottom"/>
          </w:tcPr>
          <w:p>
            <w:pPr>
              <w:spacing w:after="0"/>
              <w:rPr>
                <w:sz w:val="15"/>
                <w:szCs w:val="15"/>
                <w:color w:val="auto"/>
              </w:rPr>
            </w:pPr>
          </w:p>
        </w:tc>
        <w:tc>
          <w:tcPr>
            <w:tcW w:w="1560" w:type="dxa"/>
            <w:vAlign w:val="bottom"/>
            <w:gridSpan w:val="2"/>
          </w:tcPr>
          <w:p>
            <w:pPr>
              <w:jc w:val="center"/>
              <w:ind w:left="521"/>
              <w:spacing w:after="0"/>
              <w:rPr>
                <w:sz w:val="20"/>
                <w:szCs w:val="20"/>
                <w:color w:val="auto"/>
              </w:rPr>
            </w:pPr>
            <w:r>
              <w:rPr>
                <w:rFonts w:ascii="Courier New" w:cs="Courier New" w:eastAsia="Courier New" w:hAnsi="Courier New"/>
                <w:sz w:val="16"/>
                <w:szCs w:val="16"/>
                <w:color w:val="auto"/>
                <w:w w:val="99"/>
              </w:rPr>
              <w:t>OPTIONS AT</w:t>
            </w:r>
          </w:p>
        </w:tc>
        <w:tc>
          <w:tcPr>
            <w:tcW w:w="102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right"/>
              <w:ind w:right="1101"/>
              <w:spacing w:after="0"/>
              <w:rPr>
                <w:sz w:val="20"/>
                <w:szCs w:val="20"/>
                <w:color w:val="auto"/>
              </w:rPr>
            </w:pPr>
            <w:r>
              <w:rPr>
                <w:rFonts w:ascii="Courier New" w:cs="Courier New" w:eastAsia="Courier New" w:hAnsi="Courier New"/>
                <w:sz w:val="16"/>
                <w:szCs w:val="16"/>
                <w:color w:val="auto"/>
              </w:rPr>
              <w:t>(SHARES)</w:t>
            </w:r>
          </w:p>
        </w:tc>
        <w:tc>
          <w:tcPr>
            <w:tcW w:w="200" w:type="dxa"/>
            <w:vAlign w:val="bottom"/>
          </w:tcPr>
          <w:p>
            <w:pPr>
              <w:spacing w:after="0"/>
              <w:rPr>
                <w:sz w:val="15"/>
                <w:szCs w:val="15"/>
                <w:color w:val="auto"/>
              </w:rPr>
            </w:pPr>
          </w:p>
        </w:tc>
        <w:tc>
          <w:tcPr>
            <w:tcW w:w="2580" w:type="dxa"/>
            <w:vAlign w:val="bottom"/>
            <w:gridSpan w:val="3"/>
          </w:tcPr>
          <w:p>
            <w:pPr>
              <w:jc w:val="center"/>
              <w:ind w:right="341"/>
              <w:spacing w:after="0"/>
              <w:rPr>
                <w:sz w:val="20"/>
                <w:szCs w:val="20"/>
                <w:color w:val="auto"/>
              </w:rPr>
            </w:pPr>
            <w:r>
              <w:rPr>
                <w:rFonts w:ascii="Courier New" w:cs="Courier New" w:eastAsia="Courier New" w:hAnsi="Courier New"/>
                <w:sz w:val="16"/>
                <w:szCs w:val="16"/>
                <w:color w:val="auto"/>
                <w:w w:val="97"/>
              </w:rPr>
              <w:t>DECEMBER 31, 1994(1)</w:t>
            </w:r>
          </w:p>
        </w:tc>
      </w:tr>
      <w:tr>
        <w:trPr>
          <w:trHeight w:val="182"/>
        </w:trPr>
        <w:tc>
          <w:tcPr>
            <w:tcW w:w="3220" w:type="dxa"/>
            <w:vAlign w:val="bottom"/>
          </w:tcPr>
          <w:p>
            <w:pPr>
              <w:spacing w:after="0"/>
              <w:rPr>
                <w:sz w:val="15"/>
                <w:szCs w:val="15"/>
                <w:color w:val="auto"/>
              </w:rPr>
            </w:pPr>
          </w:p>
        </w:tc>
        <w:tc>
          <w:tcPr>
            <w:tcW w:w="164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SHARES ACQUIRED</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VALUE</w:t>
            </w:r>
          </w:p>
        </w:tc>
        <w:tc>
          <w:tcPr>
            <w:tcW w:w="28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7"/>
              </w:rPr>
              <w:t>---------------------------</w:t>
            </w:r>
          </w:p>
        </w:tc>
        <w:tc>
          <w:tcPr>
            <w:tcW w:w="27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ind w:left="1320"/>
              <w:spacing w:after="0"/>
              <w:rPr>
                <w:sz w:val="20"/>
                <w:szCs w:val="20"/>
                <w:color w:val="auto"/>
              </w:rPr>
            </w:pPr>
            <w:r>
              <w:rPr>
                <w:rFonts w:ascii="Courier New" w:cs="Courier New" w:eastAsia="Courier New" w:hAnsi="Courier New"/>
                <w:sz w:val="16"/>
                <w:szCs w:val="16"/>
                <w:color w:val="auto"/>
              </w:rPr>
              <w:t>NAME</w:t>
            </w:r>
          </w:p>
        </w:tc>
        <w:tc>
          <w:tcPr>
            <w:tcW w:w="1640" w:type="dxa"/>
            <w:vAlign w:val="bottom"/>
          </w:tcPr>
          <w:p>
            <w:pPr>
              <w:ind w:left="180"/>
              <w:spacing w:after="0"/>
              <w:rPr>
                <w:sz w:val="20"/>
                <w:szCs w:val="20"/>
                <w:color w:val="auto"/>
              </w:rPr>
            </w:pPr>
            <w:r>
              <w:rPr>
                <w:rFonts w:ascii="Courier New" w:cs="Courier New" w:eastAsia="Courier New" w:hAnsi="Courier New"/>
                <w:sz w:val="16"/>
                <w:szCs w:val="16"/>
                <w:color w:val="auto"/>
              </w:rPr>
              <w:t>ON EXERCISE</w:t>
            </w: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REALIZED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EXERCISABLE</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UNEXERCISABLE</w:t>
            </w:r>
          </w:p>
        </w:tc>
        <w:tc>
          <w:tcPr>
            <w:tcW w:w="13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EXERCISABLE</w:t>
            </w:r>
          </w:p>
        </w:tc>
        <w:tc>
          <w:tcPr>
            <w:tcW w:w="14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UNEXERCISABLE</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640" w:type="dxa"/>
            <w:vAlign w:val="bottom"/>
          </w:tcPr>
          <w:p>
            <w:pPr>
              <w:ind w:left="18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850,000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38,000</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67,000</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49,875</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3"/>
              </w:rPr>
              <w:t>33,250</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346,057</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230,705</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2,919,858</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71,000</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69,000</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241,125</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3"/>
              </w:rPr>
              <w:t>33,250</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Hubert Bourque..................</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3,000</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12,000</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Norman E. Shepard...............</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95,000</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11,875</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3960" w:hanging="463"/>
        <w:spacing w:after="0" w:line="237" w:lineRule="auto"/>
        <w:tabs>
          <w:tab w:leader="none" w:pos="3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upon the difference between aggregate fair market value based on NYSE closing price less the aggregate exercise price.</w:t>
      </w:r>
    </w:p>
    <w:p>
      <w:pPr>
        <w:spacing w:after="0" w:line="188" w:lineRule="exact"/>
        <w:rPr>
          <w:sz w:val="20"/>
          <w:szCs w:val="20"/>
          <w:color w:val="auto"/>
        </w:rPr>
      </w:pPr>
    </w:p>
    <w:p>
      <w:pPr>
        <w:ind w:left="3" w:right="4420"/>
        <w:spacing w:after="0" w:line="237" w:lineRule="auto"/>
        <w:rPr>
          <w:sz w:val="20"/>
          <w:szCs w:val="20"/>
          <w:color w:val="auto"/>
        </w:rPr>
      </w:pPr>
      <w:r>
        <w:rPr>
          <w:rFonts w:ascii="Courier New" w:cs="Courier New" w:eastAsia="Courier New" w:hAnsi="Courier New"/>
          <w:sz w:val="16"/>
          <w:szCs w:val="16"/>
          <w:color w:val="auto"/>
        </w:rPr>
        <w:t>COMPENSATION COMMITTEE INTERLOCKS AND INSIDER PARTICIPATION IN COMPENSATION DECISIONS</w:t>
      </w:r>
    </w:p>
    <w:p>
      <w:pPr>
        <w:spacing w:after="0" w:line="188" w:lineRule="exact"/>
        <w:rPr>
          <w:sz w:val="20"/>
          <w:szCs w:val="20"/>
          <w:color w:val="auto"/>
        </w:rPr>
      </w:pPr>
    </w:p>
    <w:p>
      <w:pPr>
        <w:ind w:left="3" w:right="3960" w:firstLine="473"/>
        <w:spacing w:after="0"/>
        <w:rPr>
          <w:sz w:val="20"/>
          <w:szCs w:val="20"/>
          <w:color w:val="auto"/>
        </w:rPr>
      </w:pPr>
      <w:r>
        <w:rPr>
          <w:rFonts w:ascii="Courier New" w:cs="Courier New" w:eastAsia="Courier New" w:hAnsi="Courier New"/>
          <w:sz w:val="16"/>
          <w:szCs w:val="16"/>
          <w:color w:val="auto"/>
        </w:rPr>
        <w:t>During 1994, Messrs. Ball, Mosley, and Moorehead served on the Compensation Committee of the Board of Directors. Mr. Moorehead was the only member of the Compensation Committee who has ever served as an officer or employee of USA Waste. During 1994,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6" w:lineRule="exact"/>
        <w:rPr>
          <w:sz w:val="20"/>
          <w:szCs w:val="20"/>
          <w:color w:val="auto"/>
        </w:rPr>
      </w:pPr>
    </w:p>
    <w:p>
      <w:pPr>
        <w:ind w:left="3" w:right="3960" w:firstLine="473"/>
        <w:spacing w:after="0" w:line="257" w:lineRule="auto"/>
        <w:rPr>
          <w:sz w:val="20"/>
          <w:szCs w:val="20"/>
          <w:color w:val="auto"/>
        </w:rPr>
      </w:pPr>
      <w:r>
        <w:rPr>
          <w:rFonts w:ascii="Courier New" w:cs="Courier New" w:eastAsia="Courier New" w:hAnsi="Courier New"/>
          <w:sz w:val="15"/>
          <w:szCs w:val="15"/>
          <w:color w:val="auto"/>
        </w:rPr>
        <w:t>In August 1993, Terry W. Patrick resigned as the President and Chief Operating Officer of USA Waste to become the President and a director of EDM Corporation, a newly formed Texas corporation ("EDM"). EDM was organized for the purpose of acquiring and developing landfills and solid waste collection and transfer operations that do not meet the acquisition requirements of USA Waste. USA Waste has invested $400,000 in EDM in return for a 15% equity interest and agreed to provide a line of credit of up to $5,600,000 to EDM at an interest rate equal to the greater of 8 1/2% or the prime rate plus two percent. USA Waste has a right of first refusal to acquire any landfills, collection, or other operations that EDM wishes to sell. In June 1994, Norman E. Shepard, formerly President of USA Waste, replaced Mr. Patrick as President of EDM.</w:t>
      </w:r>
    </w:p>
    <w:p>
      <w:pPr>
        <w:spacing w:after="0" w:line="181" w:lineRule="exact"/>
        <w:rPr>
          <w:sz w:val="20"/>
          <w:szCs w:val="20"/>
          <w:color w:val="auto"/>
        </w:rPr>
      </w:pPr>
    </w:p>
    <w:p>
      <w:pPr>
        <w:ind w:left="3" w:right="3960" w:firstLine="473"/>
        <w:spacing w:after="0" w:line="260" w:lineRule="auto"/>
        <w:rPr>
          <w:sz w:val="20"/>
          <w:szCs w:val="20"/>
          <w:color w:val="auto"/>
        </w:rPr>
      </w:pPr>
      <w:r>
        <w:rPr>
          <w:rFonts w:ascii="Courier New" w:cs="Courier New" w:eastAsia="Courier New" w:hAnsi="Courier New"/>
          <w:sz w:val="15"/>
          <w:szCs w:val="15"/>
          <w:color w:val="auto"/>
        </w:rPr>
        <w:t>In February 1993, USA Waste purchased a 19% equity interest in WPP, Inc., an Ohio corporation ("WPP"), for $190,000. WPP was engaged in the development of landfill projects and provided consulting, engineering, and permit acquisition services in connection with the development of landfills. In connection</w:t>
      </w:r>
    </w:p>
    <w:p>
      <w:pPr>
        <w:sectPr>
          <w:pgSz w:w="11900" w:h="16838" w:orient="portrait"/>
          <w:cols w:equalWidth="0" w:num="1">
            <w:col w:w="11523"/>
          </w:cols>
          <w:pgMar w:left="237" w:top="295" w:right="139" w:bottom="1440" w:gutter="0" w:footer="0" w:header="0"/>
        </w:sectPr>
      </w:pPr>
    </w:p>
    <w:p>
      <w:pPr>
        <w:spacing w:after="0" w:line="16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1523"/>
          </w:cols>
          <w:pgMar w:left="237" w:top="295" w:right="139" w:bottom="1440" w:gutter="0" w:footer="0" w:header="0"/>
          <w:type w:val="continuous"/>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68</w:t>
      </w:r>
    </w:p>
    <w:p>
      <w:pPr>
        <w:spacing w:after="0" w:line="186"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with such acquisition, USA Waste hired William J. Kozuh as Vice President-Landfill Operations and WPP agreed to pay USA Waste a management fee of $10,000 per month. Mr. Kozuh was a founder and Vice President of WPP and owned a 35% equity interest. Mr. Moorehead and Mr. Patrick each purchased from the existing shareholders of WPP a 5% equity interest in WPP contemporaneously with USA Waste for $50,000 each. In October 1993, Mr. Patrick sold one-half of his interest to Mr. Moorehead for $50,000 and one-half to Timothy J. Salopak, President and co-founder of WPP, for $25,000. On March 30, 1994, Mr. Moorehead sold his 7 1/2% interest to Mr. Salopak for $70,000. On March 30, 1994, USA Waste purchased 81% of the outstanding capital stock of WPP for $810,000 from Mr. Salopak.</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Following its acquisition of WPP, USA Waste sold WPP's landfill development projects to third parties. These sales included a landfill project in Gila Bend, Arizona. In connection with such sales, USA Waste entered into an agreement pursuant to which (i) the purchaser of the Gila Bend project may require USA Waste to repurchase the Gila Bend project, following its completion and permitting and if it meets certain standards, for $5,000,000 or (ii) if the purchaser sells the project to a third party, USA Waste is entitled to a share of any proceeds in excess of $5,000,000. USA Waste has entered into an agreement to assign its rights and obligations under such agreement to EDM. USA Waste and EDM believe that the Gila Bend project if and when completed and permitted will have a value significantly greater than $5,000,000.</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February 1992, Donald F. Moorehead, Jr. and Robert F. Smith each loaned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 shares of USA Waste Common Stock to George O. Moorehead, brother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F. Moorehead, Jr. George O. Moorehead exchanged such shares for all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outstanding shares of the Class A Common Stock of Custom Disposal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an Arizona corporation ("Custom"). George O. Moorehead also loaned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 to Custom to be used to retire certain loans to Custom's former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In addition, Custom executed a $700,000 note to its former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In April 1992, Donald F. Moorehead, Jr. purchased the $2,000,000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from George O. Moorehead for $2,000,000 and in June he loaned Custom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$700,000 to pay the shareholder note. In July 1992, Custom executed a $2,700,000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to Donald F. Moorehead, Jr. to memorialize the debt restructuring.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1992, Custom acquired Cactus Disposal, Inc., an Arizona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("Cactus"), from an unaffiliated party for 142,231 shares of Class B Non-Voting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of Custom. Contemporaneously, USA Waste entered into (i) a management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Custom and its shareholders pursuant to which USA Waste agreed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 Custom with certain management services for a fee of $70,000 per month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(ii) an option agreement to acquire all of the outstanding shares of Custom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exchange for 242,231 shares (subsequently increased to 262,231 shares) of 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Common Stock. At the same time, USA Waste loaned $4,320,000 to Custom,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portion of which was used to repay the note in full to Donald F. Moorehead,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May 1993, USA Waste exercised its option and acquired the 100,000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 of Custom from George O. Moorehead and the 142,231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Class B Non-Voting Stock of Custom from the former owner of Cactus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for 262,231 shares of USA Waste Common Stock.</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May 1993, Donald F. Moorehead, Jr. acquired an approximate 3% interest in Empire Metals, Inc. ("Empire"), another company owned by the former owner of Cactus. In May 1993, USA Waste entered into a management agreement with Empire pursuant to which USA Waste agreed to provide certain administrative, operational, and managerial services to Empire and Empire agreed to pay USA Waste a management fee of $70,000 per month. Such agreement expired at December 31, 1993.</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June 1993, Donald F. Moorehead, Jr. acquired approximately a 5% ownership interest in EMCO Metals &amp; Recycling Corporation ("EMCO"), a company engaged in scrap metal recycling in Phoenix and owned by the former owner of Cactus. In October 1993, Custom acquired certain trucks from EMCO for a purchase price of $191,000 and entered into a three-year service agreement to transport scrap metal for EMCO on the basis of $80 per haul and $1 per mile. Contemporaneously, Custom acquired certain trucks, trailers, and roll-off containers used in the collection and transportation of scrap metal from Capital Recycling, Inc., an unaffiliated entity, for $998,000. During 1994, Custom, in the ordinary course of business, also sold scrap metal to EMCO. In connection with its decision to leave the Phoenix market in October 1994, Custom sold all of the foregoing vehicles and containers to EMCO for $100,000 in cash and a note for $895,000 bearing interest at a rate of 9% per annum and payable in eleven monthly installments of principal and interest of $18,567 and a balloon payment of $765,083.</w:t>
      </w:r>
    </w:p>
    <w:p>
      <w:pPr>
        <w:sectPr>
          <w:pgSz w:w="11900" w:h="16838" w:orient="portrait"/>
          <w:cols w:equalWidth="0" w:num="1">
            <w:col w:w="10219"/>
          </w:cols>
          <w:pgMar w:left="240" w:top="295" w:right="1440" w:bottom="1440"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295" w:right="1440" w:bottom="1440" w:gutter="0" w:footer="0" w:header="0"/>
          <w:type w:val="continuous"/>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69</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February 28, 1992, USA Waste borrowed $3,500,000 from George L. Ball, a director of USA Waste, and two other individuals to complete financing for the acquisition of Best Pak Disposal, Inc. In connection with this financing, USA Waste issued an unsecured Subordinated Note due June 30, 1994. In connection with such loan, USA Waste also issued to the foregoing individuals a warrant to purchase 252,000 shares of Common Stock at a price of $16.00 per share. On April 14, 1992, the foregoing Subordinated Note was repaid in connection with the refinancing of the $3,500,000 debt with an unaffiliated party. In connection with such refinancing, the number of warrants held by the original note holders was reduced to 89,000 and the exercise price was adjusted to $13.50. The holders of such warrants have an option to sell such warrant to Messrs. Moorehead and Smith at a price of $7.00 per share for a 30-day period commencing on April 14, 1995.</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connection with the acquisition of Envirofil in May 1994, SMMI, in its capacity as financial advisor to Envirofil received a fee of $850,000. Prior to joining USA Waste, Mr. Drury was a Managing Director and shareholder of SMMI and remains a director. Mr. Ball is Chairman of the Board and a director of SMMI. In 1992, USA Waste sold $46,000,000 of its 8 1/2% Convertible Subordinated Debentures Due 2002 in a public offering underwritten by Dillon Read &amp; Co., Inc. and SMMI. In connection with such offering, USA Waste paid the underwriters commissions aggregating $1,995,000.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OF REPORTS OF STOCK OWNERSHIP</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the federal securities laws, USA Waste's directors, executive (and certain other) officers, and any person holding more than ten percent of USA Waste Common Stock are required to report their ownership to USA Waste and the Commission. Specific due dates for these reports have been established by regulation and USA Waste is required to report in this Joint Proxy Statement and Prospectus any failure to file by these dates during 1994. All of these filings were satisfied by USA Waste's director's, officers, and ten percent holders, except that James R. Jones failed to file on a timely basis his initial report of ownership on becoming an executive officer of USA Waste, George L. Ball failed to file on a timely basis one report concerning six transactions (all of which arose out of the acquisition of Envirofil), Gene A. Meredith failed to file on a timely basis two reports concerning five transactions, and Donald F. Moorehead, Jr. failed to file on a timely basis two reports concerning five transactions.</w:t>
      </w:r>
    </w:p>
    <w:p>
      <w:pPr>
        <w:spacing w:after="0" w:line="19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of March 1, 1995,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REINCORPORATION</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USA Waste Board of Directors has approved and, for the reasons set forth below, recommends that the shareholders of USA Waste approve a change in the domicile of USA Waste from Oklahoma to Delaware by means of a merger. The USA Waste Board of Directors believes that the best interests of USA Waste and its shareholders will be served by the Reincorporation. The general effect of the Reincorporation, if consummated, upon the rights of USA Waste's shareholders will be that USA Waste in the future will be governed by the corporation laws of Delaware as opposed to the corporation laws of Oklahoma. The effect of the Reincorporation on the rights of the shareholders is set forth below.</w:t>
      </w:r>
    </w:p>
    <w:p>
      <w:pPr>
        <w:spacing w:after="0" w:line="175" w:lineRule="exact"/>
        <w:rPr>
          <w:sz w:val="20"/>
          <w:szCs w:val="20"/>
          <w:color w:val="auto"/>
        </w:rPr>
      </w:pPr>
    </w:p>
    <w:p>
      <w:pPr>
        <w:ind w:right="2939" w:firstLine="473"/>
        <w:spacing w:after="0" w:line="259" w:lineRule="auto"/>
        <w:rPr>
          <w:sz w:val="20"/>
          <w:szCs w:val="20"/>
          <w:color w:val="auto"/>
        </w:rPr>
      </w:pPr>
      <w:r>
        <w:rPr>
          <w:rFonts w:ascii="Courier New" w:cs="Courier New" w:eastAsia="Courier New" w:hAnsi="Courier New"/>
          <w:sz w:val="15"/>
          <w:szCs w:val="15"/>
          <w:color w:val="auto"/>
        </w:rPr>
        <w:t>Shareholders are urged to read carefully the following sections of this Joint Proxy Statement and Prospectus, including the related exhibits, before voting on the Reincorporation. In this discussion of the Reincorporation proposal, the term "USA Oklahoma" refers to the existing Oklahoma corporation and the term "USA Delaware" refers to the new Delaware corporation.</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Reincorporation will be effected by the Reincorporation Merger of USA Oklahoma into USA Delaware, a wholly owned subsidiary of USA Oklahoma, which was recently formed for purposes of the Reincorporation. USA Delaware will be the surviving corporation and its only business immediately after the Reincorporation will be USA Waste's business. Upon completion of the Reincorporation Merger, the name of USA Waste will remain "USA Waste Services, Inc."</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95" w:right="1440" w:bottom="1440" w:gutter="0" w:footer="0" w:header="0"/>
          <w:type w:val="continuous"/>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70</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Agreement and Plan of Merger, a form of which is attached hereto as Appendix D (the "Reincorporation Merger Agreement"), upon the effective date of the Reincorporation, each outstanding share of USA Oklahoma Common Stock will automatically be converted into one share of USA Delaware common stock, par value $.01 per share ("USA Delaware Common Stock"). Each certificate representing issued and outstanding shares of USA Oklahoma Common Stock will continue to represent the same number of shares of Common Stock of USA Delaware. IT WILL NOT BE NECESSARY FOR SHAREHOLDERS OF USA OKLAHOMA TO EXCHANGE THEIR EXISTING STOCK CERTIFICATES FOR STOCK CERTIFICATES OF USA DELAWARE. However, shareholders may exchange their certificates if they so choose. Adoption of the proposed amendments will not affect the listing of shares of the USA Waste Common Stock on the NYSE. After the Reincorporation, the shares of USA Delaware Common Stock will be traded on the NYSE without interruption under the symbol "UW", the same symbol under which the shares of USA Waste Common Stock are presently traded.</w:t>
      </w:r>
    </w:p>
    <w:p>
      <w:pPr>
        <w:spacing w:after="0" w:line="19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Under Oklahoma law, the affirmative vote of a majority of the outstanding shares of the USA Oklahoma Common Stock is required for approval of the Reincorporation. The Reincorporation proposal has been approved by each of USA Oklahoma's and USA Delaware's Board of Directors. The Board of Directors of USA Delaware is and, following the election of directors at the USA Waste Annual Meeting will be, comprised of the members of the Board of Directors of USA Oklahoma.</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USA Oklahoma recommends a vote in favor of the Reincorporation proposal at the USA Waste Annual Meeting. If approved by the shareholders, it is anticipated that the Reincorporation proposal will become effective as soon as practicable after the meeting, upon the filing of appropriate documents with appropriate state offices of Oklahoma and Delaware. However, the Reincorporation Merger may be delayed or abandoned or the Reincorporation Merger Agreement may be amended (except that the principal terms may not be amended without shareholder approval) either before or after shareholder approval has been obtained and prior to the effective date of the Reincorporation Merger if, in the opinion of the Board of Directors of either USA Oklahoma or USA Delaware, circumstances arise that make it inadvisable to proceed.</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discussion contained herein is qualified in its entirety by reference to the Reincorporation Merger Agreement, the Certificate of Incorporation of USA Delaware (the "Delaware Certificate of Incorporation") and the Bylaws of USA Delaware, copies of which are attached hereto as Appendices D, E, and F, respectively. The Delaware Certificate of Incorporation has been filed with the Secretary of State of the State of Delaware.</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APPROVAL BY USA WASTE SHAREHOLDERS OF THE REINCORPORATION PROPOSAL WILL CONSTITUTE APPROVAL OF THE REINCORPORATION MERGER AGREEMENT, A COPY OF WHICH IS SET FORTH AS APPENDIX D TO THIS JOINT PROXY STATEMENT AND PROSPECTUS, AND THE DELAWARE CERTIFICATE OF INCORPORATION, A COPY OF WHICH IS SET FORTH AS APPENDIX E TO THIS JOINT PROXY STATEMENT AND PROSPECTUS.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Reincorporation will effect only a change in the legal domicile of USA Waste and other changes of a legal nature, certain of which are described in this Joint Proxy Statement and Prospectus. The Reincorporation will NOT result in any significant change in the name, business, operations, management, fiscal year, location of the principal executive offices, assets, or liabilities of USA Waste. If the Reincorporation proposal is approved, USA Waste expects that the officers of USA Delaware will be the current officers of USA Oklahoma (except for the addition of Alexander W. Rangos as Executive Vice President for Landfill Development). All employee benefit plans (including USA Waste's 1993 Stock Incentive Plan) will be continued by USA Delaware, and each share of USA Waste Common Stock outstanding or option issued pursuant to such plans, as the case may be, will automatically be converted into the same number of shares of USA Delaware Common Stock or an option to purchase the same number of shares of USA Delaware Common Stock at the same option price per share, upon the same terms and subject to the same conditions as set forth in such Plans. Shareholders should note that approval of the Reincorporation proposal will also constitute approval of the assumption of the foregoing plans by USA Delaware. USA Oklahoma's other</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295" w:right="1440" w:bottom="1440" w:gutter="0" w:footer="0" w:header="0"/>
        </w:sectPr>
      </w:pPr>
    </w:p>
    <w:bookmarkStart w:id="73" w:name="page74"/>
    <w:bookmarkEnd w:id="73"/>
    <w:p>
      <w:pPr>
        <w:ind w:left="283"/>
        <w:spacing w:after="0"/>
        <w:rPr>
          <w:sz w:val="20"/>
          <w:szCs w:val="20"/>
          <w:color w:val="auto"/>
        </w:rPr>
      </w:pPr>
      <w:r>
        <w:rPr>
          <w:rFonts w:ascii="Courier New" w:cs="Courier New" w:eastAsia="Courier New" w:hAnsi="Courier New"/>
          <w:sz w:val="16"/>
          <w:szCs w:val="16"/>
          <w:color w:val="auto"/>
        </w:rPr>
        <w:t>71</w:t>
      </w:r>
    </w:p>
    <w:p>
      <w:pPr>
        <w:spacing w:after="0" w:line="186" w:lineRule="exact"/>
        <w:rPr>
          <w:sz w:val="20"/>
          <w:szCs w:val="20"/>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employee benefit plans and arrangements will be continued by USA Delaware upon the terms and subject to the conditions currently in effect.</w:t>
      </w:r>
    </w:p>
    <w:p>
      <w:pPr>
        <w:spacing w:after="0" w:line="188"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If the Reincorporation is completed USA Delaware will be a foreign corporation transacting business in Oklahoma. Under Oklahoma law, USA Delaware would be required to obtain a certificate of authority by application to the Secretary of State of Oklahoma in order to lawfully continue the transacting of its business in Oklahoma. The management of USA Waste foresees no difficulty in obtaining such certificate of authority.</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PRINCIPAL REASON FOR REINCORPORATION</w:t>
      </w:r>
    </w:p>
    <w:p>
      <w:pPr>
        <w:spacing w:after="0" w:line="18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For many years Delaware has followed a policy of encouraging incorporation in that state and, in furtherance of that policy, has long been a leader in adopting, construing, and implementing comprehensive, flexible corporate laws responsive to the legal and business needs of corporations organized under its laws. The Delaware General Corporation Law is widely regarded as the most extensive and well-defined body of corporate law in the United States. Because of Delaware's prominence as the state of incorporation for many major corporations, both the legislature and courts in Delaware have demonstrated an ability and a willingness to act quickly and effectively to meet changing business needs. Moreover, the Delaware courts have rendered a substantial number of decisions interpreting and explaining Delaware law and public policies with respect to corporate issues. This is especially true in the areas of (i) director liability and (ii) contests for corporate control and the related issues of a board's fiduciary duties in responding to unsolicited tender offers, aggressive market buying programs, proxy contests and other types of efforts to acquire control of a corporation or otherwise influence decisions of USA Waste in a manner that is not in the best interests of USA Waste or its shareholders. As a result, many corporations have initially chosen Delaware for their state of incorporation or have subsequently changed their corporate domicile to Delaware in a manner similar to that proposed by the Board of Directors of USA Oklahoma. Although the Oklahoma General Corporation Act enacted in 1986 is substantially similar to and based upon the Delaware General Corporation Law, the Oklahoma courts have issued few decisions interpreting or explaining the Oklahoma law.</w:t>
      </w:r>
    </w:p>
    <w:p>
      <w:pPr>
        <w:spacing w:after="0" w:line="17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DIRECTOR LIABILITY</w:t>
      </w:r>
    </w:p>
    <w:p>
      <w:pPr>
        <w:spacing w:after="0" w:line="186"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Under both Oklahoma and Delaware law corporations may adopt provisions in their charter documents reducing or eliminating the liability of a director to the corporation or its shareholders or stockholders for monetary damages for breach of fiduciary duty as a director. Both USA Oklahoma and USA Delaware currently have such a provision in their charter documents. However, the courts of Delaware have more frequently interpreted statutory and charter provisions regarding the liability of directors and, as a result, may offer more guidance than the courts of Oklahoma with respect to such provisions. USA Waste believes that these Delaware provisions, and the case law that has been developed by the Delaware courts with respect thereto, may enhance its ability to attract and retain qualified directors.</w:t>
      </w:r>
    </w:p>
    <w:p>
      <w:pPr>
        <w:spacing w:after="0" w:line="189"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It should be noted that, in accordance with Delaware law, the Delaware Certificate of Incorporation does not limit or eliminate liability based on the following types of claims: (1) liability based on a breach of the director's duty of loyalty to USA Delaware or its shareholders; (2) liability based on the payment of an improper dividend or an improper repurchase of USA Delaware's stock under Section 174 of the Delaware General Corporation Law; (3) liability for actions or failure to act which the director knew were in violation of law;</w:t>
      </w:r>
    </w:p>
    <w:p>
      <w:pPr>
        <w:spacing w:after="0" w:line="4" w:lineRule="exact"/>
        <w:rPr>
          <w:sz w:val="20"/>
          <w:szCs w:val="20"/>
          <w:color w:val="auto"/>
        </w:rPr>
      </w:pPr>
    </w:p>
    <w:p>
      <w:pPr>
        <w:ind w:left="3" w:right="2659" w:hanging="3"/>
        <w:spacing w:after="0" w:line="239" w:lineRule="auto"/>
        <w:tabs>
          <w:tab w:leader="none" w:pos="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arising out of intentional misconduct by the director; (5) liability arising out of any transaction pursuant to which the director received some improper personal benefit; or (6) liability for actions taken, or a failure to act, by the director not in good faith.</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INDEMNIFICATION OF DIRECTORS, OFFICERS AND OTHER AGENTS</w:t>
      </w:r>
    </w:p>
    <w:p>
      <w:pPr>
        <w:spacing w:after="0" w:line="186" w:lineRule="exact"/>
        <w:rPr>
          <w:sz w:val="20"/>
          <w:szCs w:val="20"/>
          <w:color w:val="auto"/>
        </w:rPr>
      </w:pPr>
    </w:p>
    <w:p>
      <w:pPr>
        <w:ind w:left="3" w:right="3039" w:firstLine="473"/>
        <w:spacing w:after="0" w:line="238" w:lineRule="auto"/>
        <w:rPr>
          <w:sz w:val="20"/>
          <w:szCs w:val="20"/>
          <w:color w:val="auto"/>
        </w:rPr>
      </w:pPr>
      <w:r>
        <w:rPr>
          <w:rFonts w:ascii="Courier New" w:cs="Courier New" w:eastAsia="Courier New" w:hAnsi="Courier New"/>
          <w:sz w:val="16"/>
          <w:szCs w:val="16"/>
          <w:color w:val="auto"/>
        </w:rPr>
        <w:t>Oklahoma law and Delaware Law have substantially similar provisions and limitations regarding indemnification by a corporation of its officers, directors, employees and other agents.</w:t>
      </w:r>
    </w:p>
    <w:p>
      <w:pPr>
        <w:spacing w:after="0" w:line="188" w:lineRule="exact"/>
        <w:rPr>
          <w:sz w:val="20"/>
          <w:szCs w:val="20"/>
          <w:color w:val="auto"/>
        </w:rPr>
      </w:pPr>
    </w:p>
    <w:p>
      <w:pPr>
        <w:ind w:left="3" w:right="3319" w:firstLine="473"/>
        <w:spacing w:after="0" w:line="262" w:lineRule="auto"/>
        <w:rPr>
          <w:sz w:val="20"/>
          <w:szCs w:val="20"/>
          <w:color w:val="auto"/>
        </w:rPr>
      </w:pPr>
      <w:r>
        <w:rPr>
          <w:rFonts w:ascii="Courier New" w:cs="Courier New" w:eastAsia="Courier New" w:hAnsi="Courier New"/>
          <w:sz w:val="15"/>
          <w:szCs w:val="15"/>
          <w:color w:val="auto"/>
        </w:rPr>
        <w:t>The Bylaws of USA Delaware have implemented the applicable statutory framework. They require that indemnity must be provided to officers and directors where permitted by statute and provide procedural</w:t>
      </w:r>
    </w:p>
    <w:p>
      <w:pPr>
        <w:sectPr>
          <w:pgSz w:w="11900" w:h="16838" w:orient="portrait"/>
          <w:cols w:equalWidth="0" w:num="1">
            <w:col w:w="10222"/>
          </w:cols>
          <w:pgMar w:left="237" w:top="295" w:right="1440" w:bottom="1440" w:gutter="0" w:footer="0" w:header="0"/>
        </w:sectPr>
      </w:pPr>
    </w:p>
    <w:p>
      <w:pPr>
        <w:spacing w:after="0" w:line="16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2"/>
          </w:cols>
          <w:pgMar w:left="237" w:top="295" w:right="1440" w:bottom="1440" w:gutter="0" w:footer="0" w:header="0"/>
          <w:type w:val="continuous"/>
        </w:sectPr>
      </w:pPr>
    </w:p>
    <w:bookmarkStart w:id="74" w:name="page75"/>
    <w:bookmarkEnd w:id="74"/>
    <w:p>
      <w:pPr>
        <w:ind w:left="283"/>
        <w:spacing w:after="0"/>
        <w:rPr>
          <w:sz w:val="20"/>
          <w:szCs w:val="20"/>
          <w:color w:val="auto"/>
        </w:rPr>
      </w:pPr>
      <w:r>
        <w:rPr>
          <w:rFonts w:ascii="Courier New" w:cs="Courier New" w:eastAsia="Courier New" w:hAnsi="Courier New"/>
          <w:sz w:val="16"/>
          <w:szCs w:val="16"/>
          <w:color w:val="auto"/>
        </w:rPr>
        <w:t>72</w:t>
      </w:r>
    </w:p>
    <w:p>
      <w:pPr>
        <w:spacing w:after="0" w:line="186" w:lineRule="exact"/>
        <w:rPr>
          <w:sz w:val="20"/>
          <w:szCs w:val="20"/>
          <w:color w:val="auto"/>
        </w:rPr>
      </w:pPr>
    </w:p>
    <w:p>
      <w:pPr>
        <w:ind w:left="3" w:right="2759"/>
        <w:spacing w:after="0" w:line="238" w:lineRule="auto"/>
        <w:rPr>
          <w:sz w:val="20"/>
          <w:szCs w:val="20"/>
          <w:color w:val="auto"/>
        </w:rPr>
      </w:pPr>
      <w:r>
        <w:rPr>
          <w:rFonts w:ascii="Courier New" w:cs="Courier New" w:eastAsia="Courier New" w:hAnsi="Courier New"/>
          <w:sz w:val="16"/>
          <w:szCs w:val="16"/>
          <w:color w:val="auto"/>
        </w:rPr>
        <w:t>mechanisms for directors and officers to enforce these rights. The protection afforded by these Bylaws may be extended by the Board of Directors to employees and other agents of USA Waste.</w:t>
      </w:r>
    </w:p>
    <w:p>
      <w:pPr>
        <w:spacing w:after="0" w:line="188" w:lineRule="exact"/>
        <w:rPr>
          <w:sz w:val="20"/>
          <w:szCs w:val="20"/>
          <w:color w:val="auto"/>
        </w:rPr>
      </w:pPr>
    </w:p>
    <w:p>
      <w:pPr>
        <w:jc w:val="both"/>
        <w:ind w:left="3" w:right="2659" w:firstLine="473"/>
        <w:spacing w:after="0" w:line="239" w:lineRule="auto"/>
        <w:rPr>
          <w:sz w:val="20"/>
          <w:szCs w:val="20"/>
          <w:color w:val="auto"/>
        </w:rPr>
      </w:pPr>
      <w:r>
        <w:rPr>
          <w:rFonts w:ascii="Courier New" w:cs="Courier New" w:eastAsia="Courier New" w:hAnsi="Courier New"/>
          <w:sz w:val="16"/>
          <w:szCs w:val="16"/>
          <w:color w:val="auto"/>
        </w:rPr>
        <w:t>Other than as described in "Description of USA Waste -- Legal Proceedings," there is no pending litigation or proceeding involving a director or officer of USA Waste where indemnification would be required or permitted. USA Waste is not aware of any threatened litigation or proceeding which may result in a claim for indemnification by any director or officer.</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CONTESTS FOR CORPORATE CONTROL</w:t>
      </w:r>
    </w:p>
    <w:p>
      <w:pPr>
        <w:spacing w:after="0" w:line="186" w:lineRule="exact"/>
        <w:rPr>
          <w:sz w:val="20"/>
          <w:szCs w:val="20"/>
          <w:color w:val="auto"/>
        </w:rPr>
      </w:pPr>
    </w:p>
    <w:p>
      <w:pPr>
        <w:ind w:left="3" w:right="2759" w:firstLine="473"/>
        <w:spacing w:after="0" w:line="258" w:lineRule="auto"/>
        <w:rPr>
          <w:sz w:val="20"/>
          <w:szCs w:val="20"/>
          <w:color w:val="auto"/>
        </w:rPr>
      </w:pPr>
      <w:r>
        <w:rPr>
          <w:rFonts w:ascii="Courier New" w:cs="Courier New" w:eastAsia="Courier New" w:hAnsi="Courier New"/>
          <w:sz w:val="15"/>
          <w:szCs w:val="15"/>
          <w:color w:val="auto"/>
        </w:rPr>
        <w:t>Under Section 203 of the Delaware General Corporation Law and Section 1090.3 of the Oklahoma General Corporation Act certain "business combinations" with an "interested stockholder" of a Delaware corporation (an "interested shareholder" of an Oklahoma corporation) are prohibited for a period of three years following the date that such person or entity becomes an "interested stockholder." Generally, an "interested stockholder" is a person or entity which, together with its affiliates, (i) owns 15% or more of the outstanding voting stock of a corporation or (ii) which is an affiliate or associate of the corporation and was, at any time within the previous three years, the owner of 15% or more of the outstanding voting stock of the corporation.</w:t>
      </w:r>
    </w:p>
    <w:p>
      <w:pPr>
        <w:spacing w:after="0" w:line="174"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term "business combination" is defined broadly to include mergers with or caused by an interested stockholder, sales or other dispositions of assets of the corporation or a subsidiary equal to 10% or more of the value of the corporation's consolidated assets or its outstanding stock to an interested stockholder, transfer of stock of the corporation or a subsidiary to an interested stockholder (except for transfers in a conversion or exchange or a pro rata distribution which does not increase the interested stockholder's proportionate ownership of a class or series) or any receipt by an interested stockholder (except proportionately as a stockholder) of any loans, advances, guarantees, pledges or other financial benefits.</w:t>
      </w:r>
    </w:p>
    <w:p>
      <w:pPr>
        <w:spacing w:after="0" w:line="188"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three-year moratorium imposed on business combinations by Sections 203 and 1090.3 do not apply if (i) prior to a person's becoming an interested stockholder, the board of directors approves the business combination or the transaction which resulted in such person becoming an interested stockholder,</w:t>
      </w:r>
    </w:p>
    <w:p>
      <w:pPr>
        <w:spacing w:after="0" w:line="6" w:lineRule="exact"/>
        <w:rPr>
          <w:sz w:val="20"/>
          <w:szCs w:val="20"/>
          <w:color w:val="auto"/>
        </w:rPr>
      </w:pPr>
    </w:p>
    <w:p>
      <w:pPr>
        <w:ind w:left="3" w:right="2659" w:hanging="3"/>
        <w:spacing w:after="0"/>
        <w:tabs>
          <w:tab w:leader="none" w:pos="476"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interested stockholder owns 85% of the corporation's voting stock upon consummation of the transaction which makes him an interested stockholder (excluding from the 85% calculation shares owned by directors who are also officers and shares held by employee stock plans which do not permit employees to decide confidentially whether to accept a tender offer), or (iii) on or after the date a person becomes an interested stockholder, the business combination is approved by the board of directors of the corporation and by two-thirds of the voting stock not owned by the interested stockholder. Section 203 also permits an interested stockholder to compete with a tender or exchange offer made by an unaffiliated third party and approved, or not opposed, by the board of directors, or with a management sponsored or approved purchase, or certain other transactions.</w:t>
      </w:r>
    </w:p>
    <w:p>
      <w:pPr>
        <w:spacing w:after="0" w:line="189" w:lineRule="exact"/>
        <w:rPr>
          <w:sz w:val="20"/>
          <w:szCs w:val="20"/>
          <w:color w:val="auto"/>
        </w:rPr>
      </w:pPr>
    </w:p>
    <w:p>
      <w:pPr>
        <w:jc w:val="both"/>
        <w:ind w:left="3" w:right="2659" w:firstLine="473"/>
        <w:spacing w:after="0" w:line="238" w:lineRule="auto"/>
        <w:rPr>
          <w:sz w:val="20"/>
          <w:szCs w:val="20"/>
          <w:color w:val="auto"/>
        </w:rPr>
      </w:pPr>
      <w:r>
        <w:rPr>
          <w:rFonts w:ascii="Courier New" w:cs="Courier New" w:eastAsia="Courier New" w:hAnsi="Courier New"/>
          <w:sz w:val="16"/>
          <w:szCs w:val="16"/>
          <w:color w:val="auto"/>
        </w:rPr>
        <w:t>The restrictions of Sections 203 and 1090.3 do not apply to any person who inadvertently becomes an interested stockholder and who, as soon as practicable, sells sufficient shares to no longer be a 15% stockholder.</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Reincorporation proposal does not reflect knowledge on the part of the USA Waste Board of Directors or management of any proposed or threatened takeover or other attempt to acquire control of USA Waste. The USA Waste Board of Directors is not aware of any tender offer, leveraged buyout, proxy contest, or other similar transaction involving a change in control of USA Waste that is now pending or under consideration, except for the Merger. The USA Waste Board may consider from time to time other plans which could have an anti-takeover effect. Such plans could include adoption of a shareholder rights plan although no proposal for a rights plan has been presented to or considered by the Board. In the event the Merger is consummated, any such rights plan would be considered by the Board as constituted after the Merger. Other than as described, management of USA Waste does not currently have under consideration, and does not have any current intention to propose or adopt any other measures which might discourage takeovers apart from those proposed in this Joint Proxy Statement and Prospectus. The Board of Directors</w:t>
      </w:r>
    </w:p>
    <w:p>
      <w:pPr>
        <w:sectPr>
          <w:pgSz w:w="11900" w:h="16838" w:orient="portrait"/>
          <w:cols w:equalWidth="0" w:num="1">
            <w:col w:w="10222"/>
          </w:cols>
          <w:pgMar w:left="237" w:top="295" w:right="1440" w:bottom="1440" w:gutter="0" w:footer="0" w:header="0"/>
        </w:sectPr>
      </w:pPr>
    </w:p>
    <w:p>
      <w:pPr>
        <w:spacing w:after="0" w:line="18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2"/>
          </w:cols>
          <w:pgMar w:left="237" w:top="295" w:right="1440" w:bottom="1440" w:gutter="0" w:footer="0" w:header="0"/>
          <w:type w:val="continuous"/>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73</w:t>
      </w:r>
    </w:p>
    <w:p>
      <w:pPr>
        <w:spacing w:after="0" w:line="186"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may, however, adopt or approve such measures in the future, and shareholder approval may or may not be required at that time.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POSSIBLE NEGATIVE CONSIDERATIONS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effects of the Reincorporation proposal should be examined in connection with other measures that have already been or are proposed to be adopted by USA Waste and that also may have a deterrent effect on unsolicited overtures for control of USA Waste. USA Waste has proposed that its Certificate of Incorporation be amended to provide for a classified Board of Directors. The Certificate of Incorporation of USA Oklahoma has, since its initial organization in 1987, provided for directors' discretion relating to the issuance of preferred stock, which provision has also been provided for in the Delaware Certificate of Incorporation as described below.</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Delaware Certificate of Incorporation provides for classification of the Board of Directors into three classes of directors. The term of office of the directors in each class is three years. As a result, at future USA Waste annual meetings, shareholders will generally vote only for the election of directors in one class. The charter documents of USA Oklahoma and USA Delaware prohibit cumulative voting for Directors.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classified Board of Directors gives the Board of Directors of USA Waste a greater likelihood of continuity, experience, and stability of leadership and policy. The Board of Directors of USA Waste therefore believes that classification of the Board benefits USA Waste. See "Classification of the USA Waste Board and Related Matters." It should be noted, however, that the classified Board of Directors may also extend the time required to elect a majority of the Board even if the majority of shareholders are dissatisfied with the current Board. The USA Waste Board of Directors believes, however, that on balance the shareholders are better served by the inclusion of the classified Board.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charter documents of both USA Delaware and USA Oklahoma authorize the respective Boards of Directors to issue 10,000,000 shares of preferred stock, par value $.01 per share ("Preferred Stock"). The Preferred Stock may be issued from time to time in one or more series, and each series will have such designations, rates of dividends, redemption prices, liquidation payments, voting rights, sinking fund provisions, conversion or exchange rights, and other special rights as the USA Waste Board of Directors may establish at the time of issuance. The Preferred Stock may be issued from time to time upon authorization of the USA Waste Board of Directors, without further approval by the shareholders unless required by applicable law, and for such consideration as the Board of Directors may determine and as may be permitted by applicable law. The Preferred Stock may be used as a means of preventing or dissuading a change in control or takeover of USA Waste. For example, shares could be issued with a voting power greater than that of the Common Stock in an effort to dilute the voting power of persons seeking to obtain control of USA Waste or could be issued to purchasers who would support the USA Waste Board of Directors in opposing a takeover proposal.</w:t>
      </w:r>
    </w:p>
    <w:p>
      <w:pPr>
        <w:spacing w:after="0" w:line="193"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USA Waste has also proposed that the number of authorized shares of USA Waste Common Stock be increased from 50,000,000 shares to 150,000,000 shares. See "Amendment to Increase the Number of Authorized Shares." If approved, this authorized but unissued USA Waste Common Stock could also be used by USA Waste to deter an unfriendly takeover by issuing a large number of shares to persons or entities who support the incumbent management of USA Waste.</w:t>
      </w:r>
    </w:p>
    <w:p>
      <w:pPr>
        <w:spacing w:after="0" w:line="17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Notwithstanding the belief of the USA Waste Board of Directors that the Reincorporation is in the best interests of the shareholders, shareholders should consider that one of the effects of Reincorporation may be to discourage a future transaction. Shareholders should recognize that negotiation does not assure results that would be superior to a direct approach made to the shareholders by means of a tender offer, exchange offer, or proxy contest that is not presented to and approved by the Board. It is possible that unsolicited and unapproved tender offers and takeover attempts might be made at a time and in circumstances which are beneficial to and in the interest of shareholders. Such a transaction might provide shareholders with a substantial premium for their shares over the then current market prices or provide other substantial value which a majority of shareholders might believe to be in their best interests.</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295" w:right="1440" w:bottom="1440" w:gutter="0" w:footer="0" w:header="0"/>
          <w:type w:val="continuous"/>
        </w:sectPr>
      </w:pPr>
    </w:p>
    <w:bookmarkStart w:id="76" w:name="page77"/>
    <w:bookmarkEnd w:id="76"/>
    <w:p>
      <w:pPr>
        <w:ind w:left="283"/>
        <w:spacing w:after="0"/>
        <w:rPr>
          <w:sz w:val="20"/>
          <w:szCs w:val="20"/>
          <w:color w:val="auto"/>
        </w:rPr>
      </w:pPr>
      <w:r>
        <w:rPr>
          <w:rFonts w:ascii="Courier New" w:cs="Courier New" w:eastAsia="Courier New" w:hAnsi="Courier New"/>
          <w:sz w:val="16"/>
          <w:szCs w:val="16"/>
          <w:color w:val="auto"/>
        </w:rPr>
        <w:t>74</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Despite the belief of the USA Waste Board of Directors that the Reincorporation is in the best interest of USA Oklahoma and its shareholders, shareholders should also be aware that Delaware law has been publicly criticized on the grounds that it does not afford minority shareholders the same substantive rights and protections as are available in a number of other states. However, there are no material differences between Oklahoma law and Delaware law with respect to (1) shareholder approval of corporate transactions, (2) shareholder approval of amendments to charter documents, (3) newly created directorships, (4) removal of directors, (5) elimination of shareholder power to call special shareholders' meeting, (6) inspection of books, records and shareholder lists, (7) appraisal rights, (8) dissolution, (9) dividends, (10) shareholder action without a meeting, (11) repurchase or redemption of shares, or (12) proxies.</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OTHER CONCERNS</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Federal Income Tax Consequences of the Reincorporation. Set forth below is a summary of certain Federal income tax consequence to USA Oklahoma shareholders who become holders of USA Delaware Common stock in exchange for USA Oklahoma Common Stock as a result of the Reincorporation. The statement does not deal with all aspects of Federal taxation that may be relevant to particular USA Oklahoma shareholders, such as dealers in securities and certain holders of stock options or shares acquired upon exercise of stock options. In view of the individual nature of tax consequences, shareholders are urged to consult their own tax advisors as to the specific tax consequences to them of the Reincorporation, including the applicability of federal, state, local and foreign tax laws.</w:t>
      </w:r>
    </w:p>
    <w:p>
      <w:pPr>
        <w:spacing w:after="0" w:line="189"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USA Oklahoma has not requested a ruling from the Service with respect to the Federal income tax consequences of the Reincorporation under the Code. USA Oklahoma will, however, receive an opinion from its legal counsel, Snell &amp; Smith, P.C., substantially to the effect that: (i) the Reincorporation will constitute a tax-free reorganization under Section 368(a) of the Code; (ii) no gain or loss will be recognized by holders of Common Stock of USA Oklahoma upon receipt of Common Stock of USA Delaware pursuant to the Reincorporation; (iii) the aggregate tax basis of the Common Stock of USA Delaware received by each shareholder will be the same as the aggregate tax basis of the Common Stock of USA Oklahoma held by such shareholder at the time of the Reincorporation, and</w:t>
      </w:r>
    </w:p>
    <w:p>
      <w:pPr>
        <w:spacing w:after="0" w:line="6" w:lineRule="exact"/>
        <w:rPr>
          <w:sz w:val="20"/>
          <w:szCs w:val="20"/>
          <w:color w:val="auto"/>
        </w:rPr>
      </w:pPr>
    </w:p>
    <w:p>
      <w:pPr>
        <w:ind w:left="3" w:right="2659" w:hanging="3"/>
        <w:spacing w:after="0" w:line="239" w:lineRule="auto"/>
        <w:tabs>
          <w:tab w:leader="none" w:pos="47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Common Stock of USA Delaware received by each shareholder of USA Oklahoma will include the period for which such shareholder held the Common Stock of USA Oklahoma surrendered in exchange therefor, provided that such USA Oklahoma Common Stock was held by such shareholder as a capital asset at the time of the Reincorporation.</w:t>
      </w:r>
    </w:p>
    <w:p>
      <w:pPr>
        <w:spacing w:after="0" w:line="189" w:lineRule="exact"/>
        <w:rPr>
          <w:sz w:val="20"/>
          <w:szCs w:val="20"/>
          <w:color w:val="auto"/>
        </w:rPr>
      </w:pPr>
    </w:p>
    <w:p>
      <w:pPr>
        <w:ind w:left="3" w:right="2839" w:firstLine="473"/>
        <w:spacing w:after="0" w:line="238" w:lineRule="auto"/>
        <w:rPr>
          <w:sz w:val="20"/>
          <w:szCs w:val="20"/>
          <w:color w:val="auto"/>
        </w:rPr>
      </w:pPr>
      <w:r>
        <w:rPr>
          <w:rFonts w:ascii="Courier New" w:cs="Courier New" w:eastAsia="Courier New" w:hAnsi="Courier New"/>
          <w:sz w:val="16"/>
          <w:szCs w:val="16"/>
          <w:color w:val="auto"/>
        </w:rPr>
        <w:t>USA Waste will not recognize gain or loss for federal income tax purposes as a result of the Reincorporation. USA Delaware will succeed, without adjustment, to the federal income tax attributes of USA Waste.</w:t>
      </w:r>
    </w:p>
    <w:p>
      <w:pPr>
        <w:spacing w:after="0" w:line="188"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Accounting Treatment of the Reincorporation. The Reincorporation will be accounted for as a reorganization of companies under common control in a manner similar to pooling of interests accounting. Therefore, the historical financial statements will be carried forward as if the merging companies had been one company.</w:t>
      </w:r>
    </w:p>
    <w:p>
      <w:pPr>
        <w:spacing w:after="0" w:line="189"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Federal and State Regulatory Requirements in Connection with the Reincorporation. This Joint Proxy Statement and Prospectus has been filed with the Commission. In addition, if the Reincorporation is approved by the shareholders and the Reincorporation Merger is consummated, merger documents will be filed with the appropriate authorities in the State of Oklahoma and Delaware.</w:t>
      </w:r>
    </w:p>
    <w:p>
      <w:pPr>
        <w:spacing w:after="0" w:line="190" w:lineRule="exact"/>
        <w:rPr>
          <w:sz w:val="20"/>
          <w:szCs w:val="20"/>
          <w:color w:val="auto"/>
        </w:rPr>
      </w:pPr>
    </w:p>
    <w:p>
      <w:pPr>
        <w:ind w:left="3" w:right="2839" w:firstLine="473"/>
        <w:spacing w:after="0" w:line="262" w:lineRule="auto"/>
        <w:rPr>
          <w:sz w:val="20"/>
          <w:szCs w:val="20"/>
          <w:color w:val="auto"/>
        </w:rPr>
      </w:pPr>
      <w:r>
        <w:rPr>
          <w:rFonts w:ascii="Courier New" w:cs="Courier New" w:eastAsia="Courier New" w:hAnsi="Courier New"/>
          <w:sz w:val="15"/>
          <w:szCs w:val="15"/>
          <w:color w:val="auto"/>
        </w:rPr>
        <w:t>No Dissenters' Rights of Appraisal. Shareholders of USA Oklahoma who dissent from the Reincorporation proposal and the Reincorporation Merger Agreement will not have any right to exercise dissenters' rights of appraisal.</w:t>
      </w:r>
    </w:p>
    <w:p>
      <w:pPr>
        <w:spacing w:after="0" w:line="171" w:lineRule="exact"/>
        <w:rPr>
          <w:sz w:val="20"/>
          <w:szCs w:val="20"/>
          <w:color w:val="auto"/>
        </w:rPr>
      </w:pPr>
    </w:p>
    <w:p>
      <w:pPr>
        <w:ind w:left="3" w:right="2759" w:firstLine="473"/>
        <w:spacing w:after="0" w:line="260" w:lineRule="auto"/>
        <w:rPr>
          <w:sz w:val="20"/>
          <w:szCs w:val="20"/>
          <w:color w:val="auto"/>
        </w:rPr>
      </w:pPr>
      <w:r>
        <w:rPr>
          <w:rFonts w:ascii="Courier New" w:cs="Courier New" w:eastAsia="Courier New" w:hAnsi="Courier New"/>
          <w:sz w:val="15"/>
          <w:szCs w:val="15"/>
          <w:color w:val="auto"/>
        </w:rPr>
        <w:t>Recommendation of the Board of Directors. THE USA WASTE BOARD OF DIRECTORS RECOMMENDS THAT USA WASTE'S SHAREHOLDERS VOTE FOR THE REINCORPORATION, which affirmative vote will also constitute approval of the Reincorporation Merger Agreement and the Delaware Certificate of Incorporation.</w:t>
      </w:r>
    </w:p>
    <w:p>
      <w:pPr>
        <w:spacing w:after="0" w:line="173" w:lineRule="exact"/>
        <w:rPr>
          <w:sz w:val="20"/>
          <w:szCs w:val="20"/>
          <w:color w:val="auto"/>
        </w:rPr>
      </w:pPr>
    </w:p>
    <w:p>
      <w:pPr>
        <w:ind w:left="3" w:right="3219" w:firstLine="473"/>
        <w:spacing w:after="0" w:line="239"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USA Waste Common Stock is required for the approval of the Reincorporation, the Reincorporation Merger Agreement, and the Delaware Certificate of Incorporation.</w:t>
      </w:r>
    </w:p>
    <w:p>
      <w:pPr>
        <w:sectPr>
          <w:pgSz w:w="11900" w:h="16838" w:orient="portrait"/>
          <w:cols w:equalWidth="0" w:num="1">
            <w:col w:w="10222"/>
          </w:cols>
          <w:pgMar w:left="237" w:top="295" w:right="1440" w:bottom="1440" w:gutter="0" w:footer="0" w:header="0"/>
        </w:sectPr>
      </w:pP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22"/>
          </w:cols>
          <w:pgMar w:left="237" w:top="295" w:right="1440" w:bottom="1440"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75</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CLASSIFICATION OF THE USA WASTE BOARD AND RELATED MATTERS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shareholders of USA Waste are being asked to approve an amendment to the Certificate of Incorporation of USA Waste whereby: (1) the Board of Directors shall be divided into three classes, as nearly equal in number as possible; (2) vacancies in the Board of Directors shall be filled by a majority vote of the directors then in office; (3) directors may be removed, with or without cause, only by the affirmative vote of either a majority of the Board of Directors or the holders of at least 66 2/3% of USA Waste's outstanding voting shares; and (4) that the foregoing provisions may be amended, altered or repealed only by the affirmative vote of the holders of at least 66 2/3% of USA Waste's outstanding voting shares (collectively, the "Board Classification Proposals"). The provisions of the proposed Board Classification Proposals are set forth in their entirety in the Articles of Amendment included in Appendix G attached hereto.</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USA Waste Board of Directors believes that the proposed Board Classification Proposals would, if adopted, reduce the possibility that a third party could utilize certain tactics to effect a sudden or surprise change in control of the Board of Directors of USA Waste without the support of incumbent directors. However, adoption of the Board Classification Proposals may have significant effects on the ability of shareholders of USA Waste to change the composition of the Board of Directors, to affect its policies generally, and to benefit from transactions that are opposed by incumbent directors. If the Board Classification Proposals and the Reincorporation are both approved, the Delaware Certificate of Incorporation will reflect the Board Classification Proposals. The following comments highlight some specific effects of the Board Classification Proposals.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CLASSIFIED BOARD</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Directors of USA Waste currently are elected annually by USA Waste's shareholders to serve until the next annual meeting and until their successors are elected and qualified.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Both Oklahoma and Delaware law permit provisions in a certificate of incorporation or a by-law approved by shareholders that provide for a classified board of directors. The Board Classification Proposals provide that directors shall be classified, with respect to the time for which they individually hold office, into three classes, as nearly equal in number as possible. One class would hold office initially for a term expiring at USA Waste's 1996 annual meeting of shareholders, another class would hold office initially for a term expiring at the 1997 annual meeting, and another class would hold office initially for a term expiring at the 1998 annual meeting, with the members of each class holding office until their successors have been duly elected and qualified. At each annual meeting following this initial classification and election, the successors to the class of directors whose terms expire at that meeting would be elected for a term of office to expire at the third succeeding annual meeting after their election and until their successors have been duly elected and qualified. See "Election of USA Waste Directors" as to the composition of each class of directors if the Board Classification Proposals are adopted.</w:t>
      </w:r>
    </w:p>
    <w:p>
      <w:pPr>
        <w:spacing w:after="0" w:line="19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classification of the USA Waste Board of Directors will have the effect of making it more difficult to change the composition of the Board of Directors. At least two annual shareholders' meetings, instead of one, will generally be required for shareholders to effect a change in control of the Board of Directors, because only a minority of the directors will be elected at each meeting. Although USA Waste has experienced no problems with respect to the continuity and stability of its Board of Directors, the Board of Directors believes that requiring a longer period of time to elect a majority of directors will help to assure continuity and stability of USA Waste's affairs and policies in the future since a majority of directors at any given time will have prior experience as directors of USA Waste. The Board of Directors also believes that board classification is desirable to help discourage hostile attempts to take control of USA Waste. However, it should also be noted that the classification provision of the Board Classification Proposals will apply to every election of directors, whether or not a change in the Board of Directors would be desirable in the opinion of some or a majority of the USA Waste's shareholders.</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Board Classification Proposals would also allow the Board of Directors to increase the number of directors and to fill the resulting vacancies as a means of preventing a takeover of USA Waste or of diluting the vote of Board members opposed by a majority of the Board of Directors.</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95" w:right="1440" w:bottom="144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76</w:t>
      </w:r>
    </w:p>
    <w:p>
      <w:pPr>
        <w:spacing w:after="0" w:line="186" w:lineRule="exact"/>
        <w:rPr>
          <w:sz w:val="20"/>
          <w:szCs w:val="20"/>
          <w:color w:val="auto"/>
        </w:rPr>
      </w:pPr>
    </w:p>
    <w:p>
      <w:pPr>
        <w:jc w:val="both"/>
        <w:ind w:right="3039" w:firstLine="473"/>
        <w:spacing w:after="0" w:line="262" w:lineRule="auto"/>
        <w:rPr>
          <w:sz w:val="20"/>
          <w:szCs w:val="20"/>
          <w:color w:val="auto"/>
        </w:rPr>
      </w:pPr>
      <w:r>
        <w:rPr>
          <w:rFonts w:ascii="Courier New" w:cs="Courier New" w:eastAsia="Courier New" w:hAnsi="Courier New"/>
          <w:sz w:val="15"/>
          <w:szCs w:val="15"/>
          <w:color w:val="auto"/>
        </w:rPr>
        <w:t>The USA Waste Board of Directors has also proposed that the USA Waste's Delaware Bylaws provide for a classified Board and to otherwise conform such Bylaws with the changes effected by the Board Classification Proposals.</w:t>
      </w:r>
    </w:p>
    <w:p>
      <w:pPr>
        <w:spacing w:after="0" w:line="17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Neither the Oklahoma Certificate of Incorporation nor the Delaware Certificate of Incorporation permits cumulative voting in the election of directors. Accordingly, the holders of a majority of the shares of USA Waste Common Stock can elect all of the directors being elected at any annual meeting of shareholders for the election of directors.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FILLING VACANCIES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Board Classification Proposals also provide for the Bylaws of USA Delaware to (i) require the directors then in office to fill vacancies and newly created directorships; and (ii) have the appointed directors hold office until the next annual meeting of shareholders at which the term of the class to which they have been elected expires. In addition, the Bylaw provisions provide that no decrease in the number of directors shall shorten the term of an incumbent director.</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Both Oklahoma and Delaware law currently provide that if, at the time of filling any vacancies or newly created directorships, the directors then in office constitute less than a majority of the whole Board of Directors, certain shareholders may apply to a court for an order to hold an election to fill such vacancies or newly-created directorships, or to replace the directors chosen by the directors then in office.</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provisions of the Board Classification Proposals relating to the removal of directors (see "Removal of Directors" below) and the filling of vacancies are designed to protect the classified Board structure by precluding the holders of less than 66 2/3% of the shares of USA Waste's stock entitled to vote generally in the election of directors from removing incumbent directors and simultaneously gaining control of the Board of Directors by filling the vacancies created by removal with their own nominees. Moreover, the provision that newly created directorships are to be filled only by the Board of Directors would, except as otherwise provided by Oklahoma and Delaware law, prevent any person seeking majority representation on the Board of Directors from obtaining such representation simply by enlarging the Board of Directors and filling the new directorships created thereby with his own nominees.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REMOVAL OF DIRECTORS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Bylaws currently do not address the removal of directors. Both Oklahoma and Delaware law provide that, unless the Certificate of Incorporation provides otherwise, shareholders of a corporation with a classified board may effect the removal of a director only for cause. Although neither Oklahoma nor Delaware law defines "cause," malfeasance in office, gross misconduct or neglect, false or fraudulent misrepresentations inducing the director's appointment, willful conversion of corporate funds, a breach of the obligation to make full disclosure, incompetency, gross inefficiency, and moral turpitude generally have been held to constitute cause for removal. The Board Classification Proposals provide, in general, that any director or directors may be removed from office at any time, with or without cause, by the affirmative vote of either 66 2/3% or more of the Board of Directors or the holders of at least 66 2/3% of the outstanding shares entitled to vote generally in election of directors.</w:t>
      </w:r>
    </w:p>
    <w:p>
      <w:pPr>
        <w:spacing w:after="0" w:line="191"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provisions relating to the removal of directors and the filling of vacancies (see "Filling Vacancies" above) would preclude the holders of less than 66 2/3% of the shares of USA Waste's stock entitled to vote generally in the election of directors from removing incumbent directors and simultaneously gaining control of the Board of Directors by filling the vacancies created by removal with their own nominees.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ALTERATION OR REPEAL OF THESE PROVISIONS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Under Oklahoma and Delaware law, amendments to a certificate of incorporation require the approval of the holders of a majority of the shares of common stock and a majority of the outstanding shares of each class entitled to vote thereon as a class. Both Oklahoma and Delaware law also permit provisions in a certificate of incorporation that require a greater vote than the vote otherwise required by law for any corporate action. With</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295" w:right="1440" w:bottom="1440"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77</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respect to such super-majority provisions, both Oklahoma and Delaware law require that any amendment, alteration, or repeal thereof be approved by an equally large super-majority vote. As permitted by these provisions of both Oklahoma and Delaware law, the Board Classification Proposals would require the affirmative vote of the holders of at least 66 2/3% of the then outstanding shares of capital stock of USA Waste entitled to vote generally in the election of directors, voting together as a single class, to amend, alter, or repeal the these provisions. Accordingly, in the event that the Board Classification Proposals are adopted by less than a 66 2/3% vote, shareholders having the same percentage of voting power as those who voted in favor of its adoption will not have sufficient voting power to amend, alter, or repeal such amendments at a later date. The requirement of an increased shareholder vote may prevent a shareholder or shareholders controlling a majority of USA Waste's Common Stock from avoiding the requirements of these provisions simply by repealing them. Thus, the holders of 33 1/3% or more of the shares of stock entitled to vote could block their future repeal or modification even if such repeal or modification was deemed beneficial to the holders of more than a majority (although less than 66 2/3%) of such stock.</w:t>
      </w:r>
    </w:p>
    <w:p>
      <w:pPr>
        <w:spacing w:after="0" w:line="19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Effect of Shareholders Agreement. The filling of vacancies and the removal of directors may be affected by the Shareholders Agreement. In addition, the Shareholders Agreement will provide that any amendment to the Certificate of Incorporation or Bylaws of USA Waste must be approved by at least 66 2/3% of the Board of Directors. See "The Merger and Related Transactions -- Shareholders Agreement."</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Recommendation of the Board of Directors. The Board Classification Proposals are being presented to shareholders for their approval as a single proposal and will either be adopted or rejected in their entirety based on the vote of shareholders. THE USA WASTE BOARD OF DIRECTORS RECOMMENDS A VOTE FOR THE DIRECTORSHIP AMENDMENTS.</w:t>
      </w:r>
    </w:p>
    <w:p>
      <w:pPr>
        <w:spacing w:after="0" w:line="189"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shares of USA Waste Common Stock is required for approval of the Board Classification Proposals.</w:t>
      </w:r>
    </w:p>
    <w:p>
      <w:pPr>
        <w:spacing w:after="0" w:line="184"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AMENDMENT TO INCREASE THE NUMBER OF AUTHORIZED SHARES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authorized capital stock of USA Waste currently consists of 50,000,000 shares of Common Stock, par value $.01 per share, and 10,000,000 shares of Preferred Stock, par value $.01 per share. On the Record Date, 22,967,256 shares of USA Waste Common Stock were issued and outstanding, and 7,609,828 shares were reserved for issuance upon exercise of outstanding options, warrants, and convertible securities. As of the date of this Joint Proxy Statement and Prospectus, no shares of Preferred Stock have been issued or are outstanding. The Preferred Stock may be issued from time to time in one or more series, and each series will have such designations, rates of dividends, redemptions prices, liquidation payments, voting rights, sinking fund provisions, conversion or exchange rights, and other special rights as the Board of Directors of USA Waste may establish at the time of issuance.</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Merger will require the issuance of approximately 27.8 million shares of USA Waste Common Stock. In addition to the shares to be issued in connection with the Merger, the USA Waste Board of Directors believes that it is in the best interests of USA Waste to have additional shares of USA Waste Common Stock available for issuance at its discretion for future acquisitions, stock splits, stock dividends, equity financings, employee benefit plans, and other corporate purposes. Accordingly, the USA Waste Board of Directors has proposed an amendment to the Certificate of Incorporation of USA Waste to increase the number of shares of USA Waste Common Stock available for issuance from 50,000,000 to 150,000,000.</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proposal is approved by the shareholders of USA Waste as described below, the additional shares of USA Waste Common Stock may be issued from time to time upon authorization of the Board of Directors, without further approval by the stockholders unless required by applicable law or NYSE rules, which generally require the approval of a majority of USA Waste's shareholders when USA Waste Common Stock is to be issued if such USA Waste Common Stock has voting power equal to or in excess of 20% of the voting power outstanding, and for such consideration as the USA Waste Board of Directors may determine and as may be permitted by applicable law. The availability of additional shares of USA Waste Common Stock for issuance will afford USA Waste greater flexibility in acting upon proposed transactions.</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295" w:right="1440" w:bottom="1440" w:gutter="0" w:footer="0" w:header="0"/>
          <w:type w:val="continuous"/>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78</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increase in authorized shares is not being proposed as a means of preventing or dissuading a change in control or takeover of USA Waste. However, use of these shares for such a purpose is possible. Shares of authorized but unissued or unreserved USA Waste Common Stock and Preferred Stock, for example, could be issued in an effort to dilute the stock ownership and voting power of persons seeking to obtain control of USA Waste or could be issued to purchasers who would support the Board of Directors in opposing a takeover proposal. In addition, the increase in authorized shares, if approved, may have the effect of discouraging a challenge for control or making it less likely that such a challenge, if attempted, would be successful.</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proposed amendment does not change the terms of the USA Waste Common Stock, which does not have preemptive rights. The additional shares of USA Waste Common Stock for which authorization is sought will have the same voting rights, the same rights to dividends and distribution and will be identical in all other respects to the shares of USA Waste Common Stock now authorized.</w:t>
      </w:r>
    </w:p>
    <w:p>
      <w:pPr>
        <w:spacing w:after="0" w:line="189" w:lineRule="exact"/>
        <w:rPr>
          <w:sz w:val="20"/>
          <w:szCs w:val="20"/>
          <w:color w:val="auto"/>
        </w:rPr>
      </w:pPr>
    </w:p>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Recommendation of the Board of Directors. THE USA WASTE BOARD OF DIRECTORS RECOMMENDS THAT USA WASTE'S SHAREHOLDERS VOTE FOR THE INCREASE OF THE AUTHORIZED SHARES OF USA WASTE COMMON STOCK FROM 50,000,000 SHARES TO 150,000,000 SHARES.</w:t>
      </w:r>
    </w:p>
    <w:p>
      <w:pPr>
        <w:spacing w:after="0" w:line="171"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shares of USA Waste Common Stock is required for approval of the proposed amendment to the Certificate of Incorporation.</w:t>
      </w:r>
    </w:p>
    <w:p>
      <w:pPr>
        <w:spacing w:after="0" w:line="184"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AMENDMENT OF THE USA WASTE 1993 STOCK INCENTIVE PLAN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has for many years utilized stock incentives as part of its overall compensation program. The Board of Directors of USA Waste believes stock options and stock-based incentives play an important role in attracting and retaining the services of outstanding personnel and in encouraging such employees to have a greater personal financial investment in USA Waste.</w:t>
      </w:r>
    </w:p>
    <w:p>
      <w:pPr>
        <w:spacing w:after="0" w:line="189"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Since 1987, USA Waste has had a stock option plan. The USA Waste shareholders approved the 1993 Stock Incentive Plan (the "1993 Plan") at the 1993 annual meeting. See "Election of USA Waste Directors -- Executive Compensation -- Stock Incentive Plans."</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1993 Plan permits the granting, either alone or in combination, of "nonqualified" stock options that do not qualify for beneficial treatment under the Code, incentive stock options under Section 422A of the Code, reload options, alternate appreciation rights, limited rights, and stock bonuses. Grants may be made to non-employee directors, officers, and other employees of USA Waste who are responsible for or contribute to the management, growth, success, and profitability of USA Waste and who are designated by the committee that administers the 1993 Plan. Messrs. Ball, Mosley, and Spellman are the current members of such committee.</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Stock options permit the recipient to purchase shares of USA Waste Common Stock at a fixed price,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shareholder, including the right to vote the shares and receive dividends; however the stock may not be transferred by the recipient until certain restrictions (as determined by the committee) lapse.</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USA Waste desires to amend the 1993 Plan to increase the number of shares of USA Waste Common Stock authorized for granting of awards under the 1993 Plan from 1,000,000 to 4,000,000, which requires shareholder approval. As of March 31, 1995, options to acquire and stock bonuses covering approximately 698,000 shares of USA Waste Common Stock had been granted under the 1993 Plan and 302,000 shares remained available for future awards. At the time of the original approval of the 1993 Plan, USA Waste had approximately 10.6 million shares outstanding. USA Waste currently has approximately 23.0 million shares outstanding and if the Merger is approved, will have approximately 50.8 million shares outstanding. The Board of Directors of USA Waste believes this amendment is necessary to assure that an adequate number of shares of USA Waste Common Stock will be available for future award grants in order to</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295" w:right="1440" w:bottom="1440" w:gutter="0" w:footer="0" w:header="0"/>
          <w:type w:val="continuous"/>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79</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provide appropriate incentives to employees of USA Waste (and current employees of Chambers upon consummation of the Merger).</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SHAREHOLDERS VOTE FOR THE INCREASE IN THE NUMBER OF SHARES OF USA WASTE COMMON STOCK THAT MAY BE ISSUED UNDER THE 1993 PLAN FROM 1,000,000 TO 4,000,000.</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Vote Required for Approval. The affirmative vote of the holders of a majority of the shares of USA Waste Common Stock present or represented by proxy and entitled to vote at the USA Waste Annual Meeting is required for approval of the proposed amendment to the 1993 Plan.</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RATIFICATION OF APPOINTMENT OF AUDITORS</w:t>
      </w:r>
    </w:p>
    <w:p>
      <w:pPr>
        <w:spacing w:after="0" w:line="186"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The firm of Coopers &amp; Lybrand L.L.P. was engaged in 1994 to audit USA Waste's financial statements. The Board of Directors of USA Waste proposes to continue the services of this firm as certified public accountants to audit USA Waste's financial statement for 1995. If the appointment of Coopers &amp; Lybrand L.L.P. is ratified by the shareholders, the firm will audit the financial statements of USA Waste and its subsidiaries for the current fiscal year and perform other appropriate accounting services as requested. Coopers &amp; Lybrand L.L.P. has advised USA Waste that no member of the firm has any financial interest, direct or indirect, in USA Waste or any of its subsidiaries in any capacity other than that of public accountants. Representatives of Coopers &amp; Lybrand L.L.P. will be present at the USA Waste Annual Meeting and available to answer appropriate questions from shareholders.</w:t>
      </w:r>
    </w:p>
    <w:p>
      <w:pPr>
        <w:spacing w:after="0" w:line="181"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SHAREHOLDERS VOTE FOR RATIFICATION OF THE APPOINTMENT OF COOPERS &amp; LYBRAND L.L.P. AS CERTIFIED PUBLIC ACCOUNTANTS TO AUDIT USA WASTE'S FINANCIAL STATEMENTS FOR FISCAL 1995.</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shares of USA Waste Common Stock present or represented by proxy and entitled to vote at the USA Waste Annual Meeting is required for the ratification of the appointment of Coopers &amp; Lybrand L.L.P. as certified public accountants to audit USA Waste's financial statements for fiscal 1995.</w:t>
      </w:r>
    </w:p>
    <w:p>
      <w:pPr>
        <w:spacing w:after="0" w:line="18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THE PLAN OF MERGER AND TERMS OF THE MERGER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OF THE MERGER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Merger Agreement provides that the Merger will become effective at such time as shall be stated in a Certificate of Merger to be filed with the Secretary of State of Delaware. It is anticipated that if the Merger Agreement is approved at the USA Waste Annual Meeting and the Chambers Special Meeting and all other conditions to the Merger have been satisfied or waived, the Effective Time will occur within five business days after the date on which the last of the conditions to closing contained in the Merger Agreement is fulfilled or waived or at such other time as USA Waste and Chambers shall agree. See "-- Conditions to the Merger."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MANNER AND BASIS FOR CONVERTING SHARES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At the Effective Time, each outstanding share of Chambers Common Stock and Chambers Class A Common Stock will be converted into .41667 of a share of USA Waste Common Stock.</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Promptly after the Effective Time, USA Waste will cause The First National Bank of Boston, which will act as exchange agent (the "Exchange Agent"), to mail to each record holder of Chambers Common Stock and Chambers Class A Common Stock immediately prior to the Effective Time, a letter of transmittal and other information advising such holder of the consummation of the Merger and instructions for use in effecting the surrender of Chambers Common Stock and Chambers Class A Common Stock certificates in exchange for USA Waste Common Stock certificates and cash in lieu of fractional shares. Letters of transmittal will also be available following the Effective Time at the offices of the Exchange Agent. After the Effective Time, there will be no further registration of transfers on the stock transfer books of Chambers of shares of</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295" w:right="1440" w:bottom="1440" w:gutter="0" w:footer="0" w:header="0"/>
          <w:type w:val="continuous"/>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80</w:t>
      </w:r>
    </w:p>
    <w:p>
      <w:pPr>
        <w:spacing w:after="0" w:line="186"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Chambers Common Stock and Chambers Class A Common Stock that were outstanding immediately prior to the Effective Time. SHARE CERTIFICATES SHOULD NOT BE SURRENDERED FOR EXCHANGE BY STOCKHOLDERS OF CHAMBERS PRIOR TO APPROVAL OF THE MERGER AND THE RECEIPT OF A LETTER OF TRANSMITTAL.</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 fractional shares of USA Waste Common Stock will be issued in the Merger. Each stockholder of Chambers otherwise entitled to a fractional share will receive an amount in cash equal to the value of such fractional share based upon the closing sale price of USA Waste Common Stock on the NYSE composite tape on the last trading day preceding the Effective Time. No interest will be paid on such amount, and all shares of Chambers Common Stock held by a record holder will be aggregated for purposes of computing the number of shares of USA Waste Common Stock to be issued in the Merger.</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Until such time as a holder of Chambers Common Stock or Chambers Class A Common Stock surrenders his outstanding stock certificate to the Exchange Agent, together with the letter of transmittal, the shares of Chambers Common Stock or Chambers Class A Common Stock represented thereby will be deemed from and after the Effective Time, for all corporate purposes, to evidence the ownership of the number of full shares of USA Waste Common Stock into which such shares shall have been converted. Unless and until such outstanding certificates are surrendered, no dividends payable to the holders of USA Waste Common Stock, as of any time on and after the Effective Time, will be paid to the holders of such outstanding certificates. Upon surrender of the certificates previously representing shares of Chambers Common Stock or Chambers Class A Common Stock, the holder thereof will receive certificates representing the whole number of shares of USA Waste Common Stock to which he or she is entitled, cash in lieu of fractional shares, and the amount of any dividends payable which theretofore became payable to holders of USA Waste Common Stock on or after the Effective Time with respect to such shares, without interest thereon.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OPTIONS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Merger Agreement provides that USA Waste and Chambers will take such actions as may be necessary to cause each unexpired and unexercised Chambers Option to be automatically converted at the Effective Time into an option to purchase a number of shares of USA Waste Common Stock equal to the number of Chambers Class A Common Stock that could have been purchased under the Chambers Option multiplied by the Exchange Ratio, at a price per share of USA Waste Common Stock equal to the option exercise price determined pursuant to the Chambers Option divided by the Exchange Ratio, and subject to the same terms and conditions as the Chambers Option. USA Waste will assume all of Chambers' obligations with respect to the Chambers Options as so amended and shall, from and after the Effective Time, make available for issuance upon exercise of any such options all shares of USA Waste Common Stock covered thereby and amend its Registration Statement on Form S-8 covering its 1993 Stock Incentive Plan, if necessary, to cover the additional shares of USA Waste Common Stock subject to such options granted in replacement of the Chambers Options.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respective obligations of USA Waste and Chambers to consummate the Merger are subject to the satisfaction of the following conditions: (a) the Merger Agreement and the Merger shall have been approved and adopted by the requisite vote of the shareholders of USA Waste and the stockholders of Chambers under applicable law and applicable listing requirements; (b) the USA Waste Common Stock issuable in the Merger shall have been authorized for listing on the NYSE subject to official notice of issuance; (c) the waiting period applicable to consummation of the Merger under the HSR Act shall have expired or been terminated; (d) the Registration Statement shall have become effective in accordance with the provisions of the Securities Act, and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injunction, order, or decree lifted); (f) no action shall have been taken, and no statute, rule, or regulation shall have been enacted, by any state or federal government or</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295" w:right="1440" w:bottom="1440" w:gutter="0" w:footer="0" w:header="0"/>
          <w:type w:val="continuous"/>
        </w:sectPr>
      </w:pPr>
    </w:p>
    <w:bookmarkStart w:id="83" w:name="page84"/>
    <w:bookmarkEnd w:id="83"/>
    <w:p>
      <w:pPr>
        <w:ind w:left="283"/>
        <w:spacing w:after="0"/>
        <w:rPr>
          <w:sz w:val="20"/>
          <w:szCs w:val="20"/>
          <w:color w:val="auto"/>
        </w:rPr>
      </w:pPr>
      <w:r>
        <w:rPr>
          <w:rFonts w:ascii="Courier New" w:cs="Courier New" w:eastAsia="Courier New" w:hAnsi="Courier New"/>
          <w:sz w:val="16"/>
          <w:szCs w:val="16"/>
          <w:color w:val="auto"/>
        </w:rPr>
        <w:t>81</w:t>
      </w:r>
    </w:p>
    <w:p>
      <w:pPr>
        <w:spacing w:after="0" w:line="186" w:lineRule="exact"/>
        <w:rPr>
          <w:sz w:val="20"/>
          <w:szCs w:val="20"/>
          <w:color w:val="auto"/>
        </w:rPr>
      </w:pPr>
    </w:p>
    <w:p>
      <w:pPr>
        <w:ind w:left="3" w:right="2659"/>
        <w:spacing w:after="0" w:line="258" w:lineRule="auto"/>
        <w:rPr>
          <w:sz w:val="20"/>
          <w:szCs w:val="20"/>
          <w:color w:val="auto"/>
        </w:rPr>
      </w:pPr>
      <w:r>
        <w:rPr>
          <w:rFonts w:ascii="Courier New" w:cs="Courier New" w:eastAsia="Courier New" w:hAnsi="Courier New"/>
          <w:sz w:val="15"/>
          <w:szCs w:val="15"/>
          <w:color w:val="auto"/>
        </w:rPr>
        <w:t>governmental agency in the United States which would prevent the consummation of the Merger or make the consummation of the Merger illegal; (g) all governmental waivers, consents, orders, and approvals legally required for the consummation of the Merger and the transactions contemplated hereby, and all consents from lenders required to consummate the Merger, shall have been obtained and be in effect at the Effective Time; and (h) Coopers &amp; Lybrand L.L.P., certified public accountants for USA Waste, shall have delivered a letter, dated the Closing Date (as hereinafter defined), in form and substance satisfactory to USA Waste and Chambers, stating that the Merger will qualify as a pooling of interests transaction under Accounting Principles Board Opinion No. 16.</w:t>
      </w:r>
    </w:p>
    <w:p>
      <w:pPr>
        <w:spacing w:after="0" w:line="174"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The obligation of Chambers to effect the Merger is further subject to the fulfillment of the following additional conditions: (a) USA Waste and Acquisition shall have performed in all material respects their agreements in the Merger Agreement required to be performed on or prior to the date on which the transactions contemplated by the Merger Agreement are consummated (the "Closing Date") and the representations and warranties of USA Waste and Acquisition contained in the Merger Agreement shall be true and correct in all material respects on and as of the date made and on and as of the Closing Date as if made at and as of such date, and Chambers shall have received a certificate of the Chairman of the Board and Chief Executive Officer, the President or a Vice President of USA Waste and of the President and Chief Executive Officer or a Vice President of Acquisition to that effect; (b) Chambers shall have received an opinion of its legal counsel, Thorp, Reed &amp; Armstrong, in form and substance reasonably satisfactory to Chambers, dated the Closing Date, to the effect that Chambers and the holders of Chambers Common Stock and Chambers Class A Common Stock (except to the extent any stockholders receive cash in lieu of fractional shares) will recognize no gain or loss for federal income tax purposes as a result of consummation of the Merger; (c) Chambers shall have received an opinion from Andrews &amp; Kurth L.L.P. and/or Snell</w:t>
      </w:r>
    </w:p>
    <w:p>
      <w:pPr>
        <w:spacing w:after="0" w:line="12" w:lineRule="exact"/>
        <w:rPr>
          <w:sz w:val="20"/>
          <w:szCs w:val="20"/>
          <w:color w:val="auto"/>
        </w:rPr>
      </w:pPr>
    </w:p>
    <w:p>
      <w:pPr>
        <w:ind w:left="3" w:right="2659" w:hanging="3"/>
        <w:spacing w:after="0" w:line="257" w:lineRule="auto"/>
        <w:tabs>
          <w:tab w:leader="none" w:pos="19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P.C., counsel to USA Waste and Acquisition, dated the Closing Date, reasonably satisfactory to Chambers and covering the due incorporation of USA Waste and Acquisition, the binding nature of the Merger Agreement, the effectiveness of the Merger, the validity of the USA Waste Common Stock to be issued in connection with the Merger and such other matters as may be reasonably requested by Chambers; (d) Chambers shall have received a letter from Coopers &amp; Lybrand L.L.P., certified public accountants for USA Waste and Acquisition, dated the date of this Joint Proxy Statement and Prospectus, the effective date of the Registration Statement, and the Closing Date (or such other date reasonably acceptable to Chambers) with respect to certain financial information included in the Registration Statement; (e) since November 28, 1994, (i) there shall have been no changes that constitute, and (ii) no event or events shall have occurred which have resulted in or constitute, a material adverse change in the business, operations, properties, assets, condition (financial or other), results of operations, or prospects of USA Waste and its subsidiaries, taken as a whole; (f)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any statute, rule, or regulation which, when taken together with all promulgations, would materially impair the value to USA Waste of the Merger; (g) Chambers shall have received from J.P. Morgan (or other nationally recognized investment banking firm reasonably acceptable to USA Waste) an opinion, dated as of the date on which this Joint Proxy Statement and Prospectus is first distributed to the stockholders of Chambers, to the effect that the consideration to be received by the stockholders of Chambers in the Merger is fair, from a financial point of view, to the holders of Chambers Common Stock and Chambers Class A Common Stock, and such opinion shall not have been withdrawn.</w:t>
      </w:r>
    </w:p>
    <w:p>
      <w:pPr>
        <w:spacing w:after="0" w:line="362"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The obligation of USA Waste to effect the Merger is further subject to the fulfillment of the following additional conditions: (a) Chambers shall have performed in all material respects its agreements in the Merger Agreement required to be performed on or prior to the Closing Date and the representations and warranties of Chambers contained in the Merger Agreement shall be true and correct in all material respects on and as of the date made and on and as of the Closing Date as if made at and as of such date, and USA Waste shall have received a certificate of the President and Chief Executive Officer or of a Vice President of Chambers to that effect; (b) USA Waste shall have received an opinion of its special counsel, Andrews &amp; Kurth L.L.P., in form and substance satisfactory to USA Waste, dated the Closing Date, to the effect that</w:t>
      </w:r>
    </w:p>
    <w:p>
      <w:pPr>
        <w:sectPr>
          <w:pgSz w:w="11900" w:h="16838" w:orient="portrait"/>
          <w:cols w:equalWidth="0" w:num="1">
            <w:col w:w="10222"/>
          </w:cols>
          <w:pgMar w:left="237" w:top="295" w:right="1440" w:bottom="1440" w:gutter="0" w:footer="0" w:header="0"/>
        </w:sectPr>
      </w:pPr>
    </w:p>
    <w:p>
      <w:pPr>
        <w:spacing w:after="0" w:line="17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22"/>
          </w:cols>
          <w:pgMar w:left="237" w:top="295" w:right="1440" w:bottom="1440" w:gutter="0" w:footer="0" w:header="0"/>
          <w:type w:val="continuous"/>
        </w:sectPr>
      </w:pPr>
    </w:p>
    <w:bookmarkStart w:id="84" w:name="page85"/>
    <w:bookmarkEnd w:id="84"/>
    <w:p>
      <w:pPr>
        <w:ind w:left="283"/>
        <w:spacing w:after="0"/>
        <w:rPr>
          <w:sz w:val="20"/>
          <w:szCs w:val="20"/>
          <w:color w:val="auto"/>
        </w:rPr>
      </w:pPr>
      <w:r>
        <w:rPr>
          <w:rFonts w:ascii="Courier New" w:cs="Courier New" w:eastAsia="Courier New" w:hAnsi="Courier New"/>
          <w:sz w:val="16"/>
          <w:szCs w:val="16"/>
          <w:color w:val="auto"/>
        </w:rPr>
        <w:t>82</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USA Waste and Acquisition will recognize no gain or loss for federal income tax purposes as a result of consummation of the Merger; (c) USA Waste shall have received an opinion from Sullivan &amp; Cromwell and/or Thorp, Reed &amp; Armstrong, special counsel to Chambers, dated the Closing Date, reasonably satisfactory to USA Waste and covering the due incorporation of Chambers, the binding nature of the Merger Agreement, the effectiveness of the Merger, and such other matters as may be reasonably requested by USA Waste; (d) USA Waste shall have received a letter from Deloitte &amp; Touche LLP, certified public accountants for Chambers, dated the date hereof, the effective date of the Registration Statement, and the Closing Date (or such other date reasonably acceptable to USA Waste) with respect to certain financial information included in the Registration Statement;</w:t>
      </w:r>
    </w:p>
    <w:p>
      <w:pPr>
        <w:spacing w:after="0" w:line="7" w:lineRule="exact"/>
        <w:rPr>
          <w:sz w:val="20"/>
          <w:szCs w:val="20"/>
          <w:color w:val="auto"/>
        </w:rPr>
      </w:pPr>
    </w:p>
    <w:p>
      <w:pPr>
        <w:ind w:left="3" w:right="2659" w:hanging="3"/>
        <w:spacing w:after="0" w:line="257" w:lineRule="auto"/>
        <w:tabs>
          <w:tab w:leader="none" w:pos="38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shall have received from each principal executive officer, each director, and each other person who is an "affiliate," as that term is defined in paragraphs (c) and (d) of Rule 145 under the Securities Act, of Chambers written agreements to the effect that such person will not offer to sell, sell, or otherwise dispose of any shares of USA Waste Common Stock issued in the Merger, except, in each case, pursuant to an effective registration statement or in compliance with Rule 145, or in a transaction which is exempt from the registration requirements of the Securities Act and, in any case, until after the results covering 30 days of post-Merger combined operations of USA Waste and Chambers have been filed with the Commission, sent to shareholders of USA Waste, or otherwise publicly issued; (f) since November 28, 1994, (i) there shall have been no changes that constitute, and (ii) no event or events shall have occurred which have resulted in or constitute, a material adverse change in the business, operations, properties, assets, condition (financial or other), results of operations, or prospects of Chambers and its subsidiaries, taken as a whole; (g)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and statute, rule, or regulation which, when taken together with all promulgations, would materially impair the value to USA Waste of the Merger; (h) certain shareholder litigation and proceedings involving Chambers shall have been fully and irrevocably settled, a final, nonappealable order shall have been entered and all claims, demands, and causes of action pertaining in any way to such litigation or proceedings shall have been fully and irrevocably released and discharged, all substantially upon the terms and conditions agreed upon by USA Waste and Chambers or otherwise upon terms and conditions satisfactory to USA Waste in its sole discretion; (i) the Commission shall have agreed to a consent order as to a certain investigation of Chambers and USA Waste shall have determined within 15 business days after being notified of the terms and conditions thereof that such consent decree is satisfactory to USA Waste in its sole discretion; and (j) USA Waste shall have received from DLJ (or other nationally recognized investment banking firm reasonably acceptable to USA Waste), an opinion reasonably acceptable to USA Waste, dated as of the date this Joint Proxy Statement and Prospectus is first distributed to the shareholders of USA Waste, to the effect that the Exchange Ratio is fair, from a financial point of view to USA Waste's holders of USA Waste Common Stock, and such opinion shall have not been withdrawn.</w:t>
      </w:r>
    </w:p>
    <w:p>
      <w:pPr>
        <w:spacing w:after="0" w:line="361"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Neither USA Waste nor Acquisition has any obligation to consummate the Merger if any condition to its obligation to consummate the Merger is not satisfied on or prior to the Closing Date of the Merger, and Chambers has no obligation to consummate the Merger if any condition to its obligation to consummate the Merger is not satisfied on or prior to the Closing Date of the Merger. However, termination of the Merger Agreement will not relieve either party from liability for any breach of the Merger Agreement. Any of the conditions to the obligations of USA Waste, Acquisition, or Chambers to consummate the Merger may be waived by the party that is, or whose shareholders are, entitled to the benefits thereof.</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REPRESENTATIONS AND WARRANTIES OF USA WASTE AND CHAMBERS</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In the Merger Agreement, USA Waste and Chambers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ectPr>
          <w:pgSz w:w="11900" w:h="16838" w:orient="portrait"/>
          <w:cols w:equalWidth="0" w:num="1">
            <w:col w:w="10222"/>
          </w:cols>
          <w:pgMar w:left="237" w:top="295" w:right="1440" w:bottom="1440" w:gutter="0" w:footer="0" w:header="0"/>
        </w:sectPr>
      </w:pPr>
    </w:p>
    <w:p>
      <w:pPr>
        <w:spacing w:after="0" w:line="18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22"/>
          </w:cols>
          <w:pgMar w:left="237" w:top="295" w:right="1440" w:bottom="1440" w:gutter="0" w:footer="0" w:header="0"/>
          <w:type w:val="continuous"/>
        </w:sectPr>
      </w:pPr>
    </w:p>
    <w:bookmarkStart w:id="85" w:name="page86"/>
    <w:bookmarkEnd w:id="85"/>
    <w:p>
      <w:pPr>
        <w:ind w:left="283"/>
        <w:spacing w:after="0"/>
        <w:rPr>
          <w:sz w:val="20"/>
          <w:szCs w:val="20"/>
          <w:color w:val="auto"/>
        </w:rPr>
      </w:pPr>
      <w:r>
        <w:rPr>
          <w:rFonts w:ascii="Courier New" w:cs="Courier New" w:eastAsia="Courier New" w:hAnsi="Courier New"/>
          <w:sz w:val="16"/>
          <w:szCs w:val="16"/>
          <w:color w:val="auto"/>
        </w:rPr>
        <w:t>83</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CONDUCT OF THE BUSINESS OF USA WASTE AND CHAMBERS PRIOR TO THE MERGER</w:t>
      </w:r>
    </w:p>
    <w:p>
      <w:pPr>
        <w:spacing w:after="0" w:line="186"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Pursuant to the Merger Agreement, Chambers has agreed that, prior to the Effective Time, and except as otherwise agreed to in writing by USA Waste, it shall, and shall cause each of its subsidiaries to: (a) conduct their respective businesses in the ordinary and usual course of business and consistent with past practice; (b) not (i) amend or propose to amend their respective charter or bylaws, (ii) split, combine, or reclassify their outstanding capital stock, or</w:t>
      </w:r>
    </w:p>
    <w:p>
      <w:pPr>
        <w:spacing w:after="0" w:line="4" w:lineRule="exact"/>
        <w:rPr>
          <w:sz w:val="20"/>
          <w:szCs w:val="20"/>
          <w:color w:val="auto"/>
        </w:rPr>
      </w:pPr>
    </w:p>
    <w:p>
      <w:pPr>
        <w:ind w:left="3" w:right="2659" w:hanging="3"/>
        <w:spacing w:after="0" w:line="257" w:lineRule="auto"/>
        <w:tabs>
          <w:tab w:leader="none" w:pos="57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distribution payable in cash, stock, property, or otherwise, except for the payment of dividends or distributions by a wholly owned subsidiary of Chambers; (c) not issue, sell, pledge, or dispose of, or agree to issue, sell, pledge, or dispose of, any additional shares of, or options, warrants, or rights of any kind to acquire any shares of their capital stock of any class or any debt or equity securities convertible into or exchangeable for such capital stock, except that Chambers may issue shares upon conversion of convertible securities and exercise of options outstanding on the date hereof; (d) not (i) incur or become contingently liable with respect to any indebtedness for borrowed money other than (A) borrowings in the ordinary course of business or (B) borrowings to refinance existing indebtedness, (ii) redeem, purchase, 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(iv) take or fail to take any action which action or failure to take action would cause Chambers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 (vii) 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 contemplated by the Merger Agreement; (f) confer on a regular and frequent basis with one or more representatives of USA Waste to report material operational matters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Chambers and its subsidiaries shall in no event enter into any written employment agreement which provides for an annual base salary in excess of $125,000 and has a term in excess of one year or enter into or amend any severance or termination arrangement;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 (i) maintain with financially responsible insurance companies insurance on their tangible assets and their businesses in such amounts and against such risks and losses as are consistent with past practice.</w:t>
      </w:r>
    </w:p>
    <w:p>
      <w:pPr>
        <w:spacing w:after="0" w:line="360"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Pursuant to the Merger Agreement, USA Waste has agreed that, prior to the Effective Time, and except as otherwise agreed to in writing by Chambers, it shall, and shall cause each of its subsidiaries to: (a) conduct their respective businesses in the ordinary and usual course of business and consistent with past practice; (b) not (i) amend or propose to amend their respective charters or bylaws, (ii) split, combine, or reclassify (whether by stock dividend or otherwise) their outstanding capital stock, (iii) declare, set aside, or pay any dividend or distribution payable in cash, stock, property, or otherwise, except for the payment of dividends or distributions by a wholly owned subsidiary of USA Waste; (c) not issue, sell, pledge, or dispose of, or agree to issue, sell, pledge, or dispose of, any shares of USA Waste Common Stock, or any options, warrants, or rights of any kind to acquire any shares of their capital stock of any class or any debt or equity securities convertible into or exchangeable for such capital stock, except for the issuance and sale of shares issuable upon conversion of convertible securities and exercise of options outstanding on the date hereof; (d) not (i) incur or become contingently liable with respect to any indebtedness for borrowed money other than (A) borrowings in the ordinary course of business or (B) borrowings to refinance existing indebtedness, (ii) redeem, purchase,</w:t>
      </w:r>
    </w:p>
    <w:p>
      <w:pPr>
        <w:sectPr>
          <w:pgSz w:w="11900" w:h="16838" w:orient="portrait"/>
          <w:cols w:equalWidth="0" w:num="1">
            <w:col w:w="10222"/>
          </w:cols>
          <w:pgMar w:left="237" w:top="295" w:right="1440" w:bottom="1440" w:gutter="0" w:footer="0" w:header="0"/>
        </w:sectPr>
      </w:pPr>
    </w:p>
    <w:p>
      <w:pPr>
        <w:spacing w:after="0" w:line="19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22"/>
          </w:cols>
          <w:pgMar w:left="237" w:top="295" w:right="1440" w:bottom="1440" w:gutter="0" w:footer="0" w:header="0"/>
          <w:type w:val="continuous"/>
        </w:sectPr>
      </w:pPr>
    </w:p>
    <w:bookmarkStart w:id="86" w:name="page87"/>
    <w:bookmarkEnd w:id="86"/>
    <w:p>
      <w:pPr>
        <w:ind w:left="283"/>
        <w:spacing w:after="0"/>
        <w:rPr>
          <w:sz w:val="20"/>
          <w:szCs w:val="20"/>
          <w:color w:val="auto"/>
        </w:rPr>
      </w:pPr>
      <w:r>
        <w:rPr>
          <w:rFonts w:ascii="Courier New" w:cs="Courier New" w:eastAsia="Courier New" w:hAnsi="Courier New"/>
          <w:sz w:val="16"/>
          <w:szCs w:val="16"/>
          <w:color w:val="auto"/>
        </w:rPr>
        <w:t>84</w:t>
      </w:r>
    </w:p>
    <w:p>
      <w:pPr>
        <w:spacing w:after="0" w:line="186" w:lineRule="exact"/>
        <w:rPr>
          <w:sz w:val="20"/>
          <w:szCs w:val="20"/>
          <w:color w:val="auto"/>
        </w:rPr>
      </w:pPr>
    </w:p>
    <w:p>
      <w:pPr>
        <w:ind w:left="3" w:right="2759"/>
        <w:spacing w:after="0" w:line="256" w:lineRule="auto"/>
        <w:rPr>
          <w:sz w:val="20"/>
          <w:szCs w:val="20"/>
          <w:color w:val="auto"/>
        </w:rPr>
      </w:pPr>
      <w:r>
        <w:rPr>
          <w:rFonts w:ascii="Courier New" w:cs="Courier New" w:eastAsia="Courier New" w:hAnsi="Courier New"/>
          <w:sz w:val="15"/>
          <w:szCs w:val="15"/>
          <w:color w:val="auto"/>
        </w:rPr>
        <w:t>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(iv) take or fail to take any action which action or failure to take action would cause USA Waste or its shareholders (except to the extent that any shareholders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w:t>
      </w:r>
    </w:p>
    <w:p>
      <w:pPr>
        <w:spacing w:after="0" w:line="6" w:lineRule="exact"/>
        <w:rPr>
          <w:sz w:val="20"/>
          <w:szCs w:val="20"/>
          <w:color w:val="auto"/>
        </w:rPr>
      </w:pPr>
    </w:p>
    <w:p>
      <w:pPr>
        <w:ind w:left="3" w:right="2659" w:hanging="3"/>
        <w:spacing w:after="0" w:line="257" w:lineRule="auto"/>
        <w:tabs>
          <w:tab w:leader="none" w:pos="47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pledge, dispose of or encumber any assets or businesses other than sales in the ordinary course of business, or (vii) 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the Merger Agreement; (f) confer on a regular and frequent basis with one or more representatives of Chambers to report material operational matters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USA Waste and its subsidiaries shall in no event enter into in excess of $125,000 and has a term in excess of one year or enter into or amend any severance or termination arrangement;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 (i) maintain with financially responsible insurance companies insurance on their tangible assets and their businesses in such amounts and against such risks and losses as are consistent with past practice.</w:t>
      </w:r>
    </w:p>
    <w:p>
      <w:pPr>
        <w:spacing w:after="0" w:line="35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 SOLICITATION OF ACQUISITION TRANSACTIONS</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Merger Agreement further provides that neither Chambers nor USA Waste shall, and shall not permit any of its subsidiaries to, initiate, solicit, negotiate, encourage, or provide confidential information to facilitate, and each of Chambers and USA Waste shall, and shall cause each of its subsidiaries to, (i) cause any officer, director, or employee of, or any attorney, accountant, or other agent retained by it and (ii) use its reasonable best efforts to cause any financial adviser or investment banker retained by it, not to initiate, solicit, negotiate, encourage, or provide non-public or confidential information to facilitate, any proposal or offer to acquire all or any substantial part of the business and properties of Chambers or USA Waste, or any capital stock of Chambers or USA Waste, whether by merger, purchase of assets, tender offer, or otherwise, whether for cash, securities, or any other consideration or combination thereof ("Acquisition Transactions"); provided, however, that either Chambers or USA Waste may, in response to an unsolicited written proposal with respect to an Acquisition Transaction, which proposal (insofar as it relates to the consideration to be paid to Chambers and its stockholders) is not subject to a financing condition, furnish (subject to a confidentiality agreement reasonably acceptable to USA Waste and Chambers) confidential or non-public information concerning its business, properties, or assets to a financially capable corporation, partnership, person, or other entity or group (a "Potential Acquiror") if (i) it shall have given not less than five business days advance written notice of its intention to do so to the other party, (ii) its board of directors is advised by one or more of its independent financial advisors that providing confidential or non-public information to the Potential Acquiror is likely to lead to an Acquisition Transaction on terms that would yield a materially higher value to its stockholders than the Merger, and (iii) based upon advice of its independent legal counsel, its Board of Directors determines in good faith that there is a significant risk that the failure to provide such confidential or non-public information would constitute a breach of its fiduciary duty to its stockholders. In the event either Chambers or USA Waste shall determine to provide information or negotiate as described above, or shall receive any offer of the type referred to above, it shall promptly inform the other party that information is to be provided, that negotiations are to take place, or that an offer has been received and shall furnish to the other party the identity of the person receiving such information or the proponent of the offer, if applicable, and, if an offer has been received, a description of the material terms thereof. Chambers or USA Waste may enter</w:t>
      </w:r>
    </w:p>
    <w:p>
      <w:pPr>
        <w:sectPr>
          <w:pgSz w:w="11900" w:h="16838" w:orient="portrait"/>
          <w:cols w:equalWidth="0" w:num="1">
            <w:col w:w="10222"/>
          </w:cols>
          <w:pgMar w:left="237" w:top="295" w:right="1440" w:bottom="1440" w:gutter="0" w:footer="0" w:header="0"/>
        </w:sectPr>
      </w:pPr>
    </w:p>
    <w:p>
      <w:pPr>
        <w:spacing w:after="0" w:line="20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22"/>
          </w:cols>
          <w:pgMar w:left="237" w:top="295" w:right="1440" w:bottom="1440" w:gutter="0" w:footer="0" w:header="0"/>
          <w:type w:val="continuous"/>
        </w:sectPr>
      </w:pPr>
    </w:p>
    <w:bookmarkStart w:id="87" w:name="page88"/>
    <w:bookmarkEnd w:id="87"/>
    <w:p>
      <w:pPr>
        <w:ind w:left="283"/>
        <w:spacing w:after="0"/>
        <w:rPr>
          <w:sz w:val="20"/>
          <w:szCs w:val="20"/>
          <w:color w:val="auto"/>
        </w:rPr>
      </w:pPr>
      <w:r>
        <w:rPr>
          <w:rFonts w:ascii="Courier New" w:cs="Courier New" w:eastAsia="Courier New" w:hAnsi="Courier New"/>
          <w:sz w:val="16"/>
          <w:szCs w:val="16"/>
          <w:color w:val="auto"/>
        </w:rPr>
        <w:t>85</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into a definitive agreement for an Acquisition Transaction which meets the requirements above with a Potential Acquiror with which it is permitted to negotiate pursuant to the Merger Agreement, but only if (i) its Board of Directors shall have duly determined that such Acquisition Transaction would yield a materially higher value to its stockholders than the Merger and that execution of such definitive agreement is in the best interests of its stockholders, (ii) at least ten business days prior to the execution of such definitive agreement, it shall have furnished the other party with a copy of such definitive agreement, and (iii) the other party shall have failed within such ten-day period to offer to amend the terms of the Merger Agreement in order that the Merger would yield a value to such party's stockholders at least equal to the Acquisition Transaction. In making the determination required by clause</w:t>
      </w:r>
    </w:p>
    <w:p>
      <w:pPr>
        <w:spacing w:after="0" w:line="8" w:lineRule="exact"/>
        <w:rPr>
          <w:sz w:val="20"/>
          <w:szCs w:val="20"/>
          <w:color w:val="auto"/>
        </w:rPr>
      </w:pPr>
    </w:p>
    <w:p>
      <w:pPr>
        <w:ind w:left="3" w:right="2659" w:hanging="3"/>
        <w:spacing w:after="0"/>
        <w:tabs>
          <w:tab w:leader="none" w:pos="38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foregoing sentence, the Board of Directors referred to therein shall consider all relevant considerations, the extent to which the economic benefits of the Acquisition Transaction differ from the economic benefits contemplated by the Merger Agreement, the likelihood the Potential Acquiror will be able to obtain financing to consummate the Acquisition Transaction, the proposed closing date, the certainty of consummation, antitrust issues, and closing conditions. USA Waste and Chambers have agreed that the foregoing agreements shall be specifically enforceable and that specific enforcement and injunctive relief shall be a remedy properly available to the other party for a breach of such agreements.</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CONDUCT OF THE BUSINESS OF THE COMBINED COMPANIES FOLLOWING THE MERGER</w:t>
      </w:r>
    </w:p>
    <w:p>
      <w:pPr>
        <w:spacing w:after="0" w:line="186" w:lineRule="exact"/>
        <w:rPr>
          <w:sz w:val="20"/>
          <w:szCs w:val="20"/>
          <w:color w:val="auto"/>
        </w:rPr>
      </w:pPr>
    </w:p>
    <w:p>
      <w:pPr>
        <w:ind w:left="3" w:right="2659" w:firstLine="473"/>
        <w:spacing w:after="0" w:line="258" w:lineRule="auto"/>
        <w:rPr>
          <w:sz w:val="20"/>
          <w:szCs w:val="20"/>
          <w:color w:val="auto"/>
        </w:rPr>
      </w:pPr>
      <w:r>
        <w:rPr>
          <w:rFonts w:ascii="Courier New" w:cs="Courier New" w:eastAsia="Courier New" w:hAnsi="Courier New"/>
          <w:sz w:val="15"/>
          <w:szCs w:val="15"/>
          <w:color w:val="auto"/>
        </w:rPr>
        <w:t>Following the Merger, Chambers will be a wholly owned subsidiary of USA Waste. Pursuant to the Merger Agreement, the Certificate of Incorporation and the Bylaws of Acquisition, as in effect immediately prior to the Effective Time, will be the Certificate of Incorporation and Bylaws of the surviving corporation until amended as provided therein and under the Delaware General Corporation Law. Except as otherwise agreed to by Chambers and USA Waste, the officers of the surviving corporation immediately following the Effective Time shall be the officers of Chambers in office immediately prior to the Effective Time.</w:t>
      </w:r>
    </w:p>
    <w:p>
      <w:pPr>
        <w:spacing w:after="0" w:line="17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At the Effective Time of the Merger, USA Waste, Donald F. Moorehead, Jr. and John E. Drury will enter into the Shareholders Agreement with the Rangos Shareholders that will provide certain rights to the Rangos Shareholders to name or participate in the naming of members to the Board of Directors of USA Waste, to name certain members of the Executive Committee of the Board of Directors of USA Waste, and to require certain matters to be approved by a two-thirds vote of the Board of Directors. Pursuant to the Shareholders Agreement, USA Waste and Messrs. Moorehead and Drury will be obligated after the Effective Time, to use their best efforts to cause John G. Rangos, Sr. and Alexander W. Rangos to be appointed as directors of USA Waste. In addition, during the term of the Shareholders Agreement, USA Waste, Messrs. Moorehead and Drury, and the Rangos Shareholders will use their best efforts to cause the Board of Directors to include at all times (in addition to the two directors designated by the Rangos Shareholders) four persons who are approved by at least four members of the Executive Committee of the Board of Directors and none of whom is an officer or employee of USA Waste or Chambers. The Shareholders Agreement will also provide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 The Shareholders Agreement will remain in effect until the aggregate number of shares of USA Waste Common Stock beneficially held by the Rangos Shareholders and their affiliates is less than 5% of the outstanding shares of USA Waste Common Stock.</w:t>
      </w:r>
    </w:p>
    <w:p>
      <w:pPr>
        <w:spacing w:after="0" w:line="362" w:lineRule="exact"/>
        <w:rPr>
          <w:sz w:val="20"/>
          <w:szCs w:val="20"/>
          <w:color w:val="auto"/>
        </w:rPr>
      </w:pPr>
    </w:p>
    <w:p>
      <w:pPr>
        <w:ind w:left="3" w:right="2659" w:firstLine="473"/>
        <w:spacing w:after="0" w:line="258" w:lineRule="auto"/>
        <w:rPr>
          <w:sz w:val="20"/>
          <w:szCs w:val="20"/>
          <w:color w:val="auto"/>
        </w:rPr>
      </w:pPr>
      <w:r>
        <w:rPr>
          <w:rFonts w:ascii="Courier New" w:cs="Courier New" w:eastAsia="Courier New" w:hAnsi="Courier New"/>
          <w:sz w:val="15"/>
          <w:szCs w:val="15"/>
          <w:color w:val="auto"/>
        </w:rPr>
        <w:t>The Shareholders Agreement will also provide that certain actions taken by USA Waste must be approved by a two-thirds majority of the Board of Directors including future mergers of USA Waste, the transfer of all or substantially all of the assets of USA Waste, the issuance of any shares of, or rights to acquire shares of, the capital stock of USA Waste, any acquisition transaction involving consideration of more than $5,000,000, any disposition transaction involving assets having a value of more than $1,000,000, any amendment to the Certificate of Incorporation, incurrence of debt in excess of $5,000,000, a lease of real or personal property involving annual payments of more than $1,000,000, and the approval or modification of annual operating and capital budgets of USA Waste.</w:t>
      </w:r>
    </w:p>
    <w:p>
      <w:pPr>
        <w:spacing w:after="0" w:line="17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22"/>
          </w:cols>
          <w:pgMar w:left="237" w:top="295"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86</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Upon consummation of the Merger, John E. Drury will be Chairman of the Board of USA Waste, Donald F. Moorehead, Jr. and John G. Rangos, Sr. will become Vice Chairmen, and Alexander W. Rangos will become Executive Vice President for Landfill Development. The other executive officers of USA Waste will remain the same as prior to the Merger.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OR AMENDMENT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Merger Agreement may be terminated at any time prior to the Closing Date, whether before or after approval by the shareholders of USA Waste and the stockholders of Chambers, as follows: (a) by the mutual consent of USA Waste and Chambers, (b) by either USA Waste or Chambers if(i) the Merger is not completed by July 31, 1995, otherwise than on account of delay on the part of the Terminating Party or any of its 5% stockholders or any of their affiliates or associates, (ii) if the Merger is enjoined by a final unappealable court order not entered at the request of either party or any of its 5% stockholders or any of their affiliates or associates; (iii) if (x) the Terminating Party receives an offer from any third party (excluding any affiliate of the Terminating Party or any group of which any affiliate of the party is a member) with respect to a merger, sale of substantial assets or other business combination involving the Terminating Party, (y) the Board of Directors of the Terminating Party determines, in good faith and after consultation with an independent financial advisor, that such offer would yield a materially higher value to such party or its stockholders than the Merger, and (z) the other party fails, within ten business days after it is notified of such determination and of the terms and conditions of such offer, to make an offer which is substantially equivalent to, or more favorable than, such offer, (iv) if (x) a tender/exchange offer is commenced by a third party (excluding any affiliate of the Terminating Party or any group of which any affiliate of the Terminating Party is a member) for all outstanding shares of the Terminating Party, (y) the Board of Directors of the Terminating Party determines, in good faith and after consultation with an independent financial advisor, that such offer would yield a materially higher value for such party or its stockholders than the Merger, and (z) the other party fails, within 10 business days after it is notified of such determination,to make an offer which is substantially equivalent to, or more favorable than, such tender/exchange offer, or (v) if the party other than the Terminating Party (x) fails to perform in any material respect any material covenant in the Merger Agreement and (y) does not cure such default in all material respects within 30 days after written notice of such default is given by the Terminating Party. However, termination of the Merger Agreement will not relieve either party from liability for any breach of the Merger Agreement.</w:t>
      </w:r>
    </w:p>
    <w:p>
      <w:pPr>
        <w:spacing w:after="0" w:line="36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Merger Agreement may only be amended by action taken by the respective Boards of Directors of the parties or duly authorized committees thereof and then only by an instrument in writing signed on behalf of each party and in compliance with applicable law. Such amendment may occur at any time, including after approval of the Merger Agreement by the shareholders of USA Waste and the stockholders of Chambers at the Meetings.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FEES</w:t>
      </w:r>
    </w:p>
    <w:p>
      <w:pPr>
        <w:spacing w:after="0" w:line="186"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Chambers and USA Waste have each agreed to pay a termination fee to the other party should certain of the termination rights described in</w:t>
      </w:r>
    </w:p>
    <w:p>
      <w:pPr>
        <w:spacing w:after="0" w:line="6"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 Termination or Amendment" above be exercised under certain circumstances. Chambers has agreed to pay USA Waste a fee of $28,000,000, plus the reasonable out-of-pocket expenses incurred by USA Waste in connection with the Merger Agreement and the transactions contemplated thereby, if (a) Chambers terminates the Merger Agreement as described in clauses (b)(iii) or (b)(iv) of</w:t>
      </w:r>
    </w:p>
    <w:p>
      <w:pPr>
        <w:spacing w:after="0" w:line="3"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 Termination or Amendment" above, or (b) USA Waste terminates the Merger Agreement as described in clause (b)(iv) of "-- Termination or Amendment" above, and, prior to one year after such Termination, one or more of the following events occurs: (i) Chambers is acquired by merger or otherwise by another person under terms which provide for Chambers and/or its stockholders to receive consideration having a fair value on the date of the first public announcement of such merger or other acquisition transaction equal to or greater than that provided for under the terms of the Merger Agreement; (ii) Chambers enters into a merger or other agreement which contemplates the acquisition of Chambers by another person under terms which provide for Chambers and/or its stockholders to receive consideration having a fair value on the date of the first public announcement of such merger or other agreement equal to or greater than that provided for</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295" w:right="1440" w:bottom="1440" w:gutter="0" w:footer="0" w:header="0"/>
          <w:type w:val="continuous"/>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87</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under the terms of the Merger Agreement; (iii) another person acquires or becomes the beneficial owner of more than 50% of the outstanding shares of Chambers Common Stock and Chambers Class A Common Stock for consideration having a fair value on the date of such acquisition greater than that provided for under the terms of the Merger Agreement; (iv) another person acquires all or any substantial portion of Chambers' assets under terms which provide for Chambers and/or its stockholders to receive consideration having a fair value on the date of the first public announcement of such acquisition transaction equal to or greater than that provided for under the terms of the Merger Agreement; or (v) Chambers adopts a plan of liquidation relating to all or a substantial portion of its assets or declares a distribution to its stockholders of all or a substantial portion of its assets and in connection therewith the stockholders receive consideration having a fair value on the date of the first public announcement of such plan of liquidation or dividend declaration equal to or greater than that provided for under the terms of the Merger Agreement. USA Waste has agreed to pay Chambers a fee of $21,000,000, plus the reasonable out-of-pocket expenses incurred by Chambers in connection with the Merger Agreement and the transactions contemplated thereby, if USA Waste terminates the Merger Agreement as described in clauses (b)(iii) or (b)(iv) of "-- Termination or Amendment" above.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Merger Agreement provides that, except as described in "-- Termination Fees" above, all costs and expenses incurred in connection with the Merger Agreement and the Transactions contemplated thereby shall be paid by the party incurring such expenses, except that those expenses incurred in connection with printing this Joint Proxy Statement and Prospectus shall be shared equally by USA Waste and Chambers.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Merger Agreement provides for the indemnification, to the fullest extent permitted under applicable law, of the present and former directors, officers, employees, and agents of Chambers or any of its subsidiaries against any costs or expenses (including attorneys fees), judgments, fines, losses, claims, damages, liabilities, and amounts paid in settlement in connection with any claim, action, suit, proceeding, investigation, whether civil or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Chambers) or arising out of or pertaining to the transactions contemplated by the Merger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ARRANGEMENTS WITH CERTAIN INDIVIDUALS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Pursuant to the Merger Agreement, Alexander W. Rangos, President and Chief Operating Officer of Chambers will become a director and Executive Vice President for Landfill Development of USA Waste following the Merger. USA Waste has agreed to enter into an employment agreement with Mr. Rangos for a five-year term at a base salary of $275,000 per year. In addition, at the Effective Time, USA Waste will enter into a Consulting and Non-Compete Agreement with each of John G. Rangos, Sr. and John G. Rangos, Jr. providing for annual compensation of $450,000 and $250,000, respectively, and terms of five years each. See "The Merger and Related Transactions -- Conflicts of Interest."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295" w:right="1440" w:bottom="1440" w:gutter="0" w:footer="0" w:header="0"/>
        </w:sectPr>
      </w:pPr>
    </w:p>
    <w:bookmarkStart w:id="90" w:name="page91"/>
    <w:bookmarkEnd w:id="90"/>
    <w:p>
      <w:pPr>
        <w:ind w:left="283"/>
        <w:spacing w:after="0"/>
        <w:rPr>
          <w:sz w:val="20"/>
          <w:szCs w:val="20"/>
          <w:color w:val="auto"/>
        </w:rPr>
      </w:pPr>
      <w:r>
        <w:rPr>
          <w:rFonts w:ascii="Courier New" w:cs="Courier New" w:eastAsia="Courier New" w:hAnsi="Courier New"/>
          <w:sz w:val="16"/>
          <w:szCs w:val="16"/>
          <w:color w:val="auto"/>
        </w:rPr>
        <w:t>88</w:t>
      </w:r>
    </w:p>
    <w:p>
      <w:pPr>
        <w:spacing w:after="0" w:line="183"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COMPARATIVE RIGHTS OF STOCKHOLDERS OF USA WASTE AND CHAMBERS</w:t>
      </w:r>
    </w:p>
    <w:p>
      <w:pPr>
        <w:spacing w:after="0" w:line="186"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The rights of holders of Chambers Common Stock and Chambers Class A Common Stock are currently governed by Delaware law, Chambers' Certificate of Incorporation, and Chambers' Bylaws. If the Reincorporation is approved and becomes effective, the rights of USA Waste's shareholders after the Merger (including those persons who were stockholders in Chambers prior to the Merger) will be governed by Delaware law, and the Certificate of Incorporation and Bylaws of USA Delaware. If the Reincorporation Merger is not approved or is abandoned, the rights of USA Waste's shareholders after the Merger (including those persons who were stockholders in Chambers prior to the Merger) will be governed by Oklahoma law, and USA Waste's Certificate of Incorporation and USA Waste's Bylaws, as amended.</w:t>
      </w:r>
    </w:p>
    <w:p>
      <w:pPr>
        <w:spacing w:after="0" w:line="189"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The Oklahoma General Corporation Act (the "OGCA") is modeled after and based on the DGCL and is generally amended from time to time to conform to amendments made in the DGCL. Accordingly, the general corporate law applicable to holders of Chambers Common Stock and Chambers Class A Common Stock and USA Waste Common Stock is similar. See "The Reincorporation." The OGCA and the DGCL contain similar provisions with respect to (i) amendments to the Certificates of Incorporation and Bylaws of USA Waste and Chambers, (ii) mergers, exchanges, consolidations, and dissolutions, (iii) the disposition of assets, (iv) newly created directorships, (v) the removal of directors, (vi) the power to call special meetings of shareholders, (vii) shareholders' action without a meeting,</w:t>
      </w:r>
    </w:p>
    <w:p>
      <w:pPr>
        <w:spacing w:after="0" w:line="6" w:lineRule="exact"/>
        <w:rPr>
          <w:sz w:val="20"/>
          <w:szCs w:val="20"/>
          <w:color w:val="auto"/>
        </w:rPr>
      </w:pPr>
    </w:p>
    <w:p>
      <w:pPr>
        <w:ind w:left="3" w:right="2839" w:hanging="3"/>
        <w:spacing w:after="0" w:line="238" w:lineRule="auto"/>
        <w:tabs>
          <w:tab w:leader="none" w:pos="66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declaration of dividends, and (ix) dissenters' rights. Neither the Certificates of Incorporation nor Bylaws of Chambers and USA Waste contain any special provisions pertaining to business combinations.</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Certificates of Incorporation and Bylaws of USA Waste and Chambers do not contain any substantial differences with respect to shareholders meetings, boards of directors, or officers except that the Chambers Certificate of Incorporation provides for a classified board of directors. If the Board Classification Proposals are approved, the USA Waste Certificate of Incorporation will be amended to provide for a classified board of directors substantially similar to the classified board provided in the Chambers Certificate of Incorporation. The Chambers Certificate of Incorporation provides for two classes of Common Stock, the Chambers Common Stock and Chambers Class A Common Stock, with different voting rights and dividend preferences. The USA Waste Certificate of Incorporation and the USA Delaware Certificate of Incorporation provide for one class of common stock. As a result of the Merger, holders of Chambers Class A Common Stock will lose their preferential dividend rights and the exclusive rights to elect one-fourth of the number (or the next higher whole number) of directors while participating in the election of the remaining directors; holders of Chambers Common Stock will lose their preferential voting rights.</w:t>
      </w:r>
    </w:p>
    <w:p>
      <w:pPr>
        <w:spacing w:after="0" w:line="193"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Moreover, although the Certificates of Incorporation of USA Waste and Chambers do not contain any provision concerning shareholders' written consent in lieu of a shareholder meeting, the effect of the absence of such a provision on each company is different because of dissimilarities in the DGCL and the OGCA. Thus, with respect to USA Waste, any action required or permitted to be taken by its shareholders may be taken by shareholders' written consents without a meeting, without prior notice and without a vote only if such consent is unanimous; with respect to Chambers, such consent must only be signed by the same minimum number of stockholders necessary to authorize such action at a stockholder meeting at which all shares entitled to vote thereon were present and voted. If the Merger is consummated and the Reincorporation is not approved, any written consent in lieu of a meeting must be unanimous.</w:t>
      </w:r>
    </w:p>
    <w:p>
      <w:pPr>
        <w:spacing w:after="0" w:line="181" w:lineRule="exact"/>
        <w:rPr>
          <w:sz w:val="20"/>
          <w:szCs w:val="20"/>
          <w:color w:val="auto"/>
        </w:rPr>
      </w:pPr>
    </w:p>
    <w:p>
      <w:pPr>
        <w:ind w:left="3" w:right="2759" w:firstLine="473"/>
        <w:spacing w:after="0" w:line="258" w:lineRule="auto"/>
        <w:rPr>
          <w:sz w:val="20"/>
          <w:szCs w:val="20"/>
          <w:color w:val="auto"/>
        </w:rPr>
      </w:pPr>
      <w:r>
        <w:rPr>
          <w:rFonts w:ascii="Courier New" w:cs="Courier New" w:eastAsia="Courier New" w:hAnsi="Courier New"/>
          <w:sz w:val="15"/>
          <w:szCs w:val="15"/>
          <w:color w:val="auto"/>
        </w:rPr>
        <w:t>This summary is not intended to be relied upon as an exclusive list of material rights of shareholders of USA Waste and stockholders of Chambers or a detailed description and analysis of the provisions discussed and is qualified in its entirety by the DGCL and the OGCA, and the Certificates of Incorporation and Bylaws of USA Waste, USA Delaware and Chambers. See "The Reincorporation" and "Classification of the USA Waste Board and Related Matters."</w:t>
      </w:r>
    </w:p>
    <w:p>
      <w:pPr>
        <w:spacing w:after="0" w:line="17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22"/>
          </w:cols>
          <w:pgMar w:left="237" w:top="295"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89</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COMBINED HISTORICAL UNAUDITED PRO FORMA CONDENSED FINANCIAL STATEMENTS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following combined historical unaudited pro forma condensed financial statements are based upon the historical consolidated financial statements of USA Waste and Chambers included elsewhere in this Joint Proxy Statement and Prospectus and should be read in conjunction with those consolidated financial statements and related notes. These combined historical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historical unaudited pro forma condensed financial statements give effect to the Merger by combining the results of operations of USA Waste and Chambers using the "pooling of interests" method of accounting as if the companies had been combined since their inception.</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295"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90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COMBINED HISTORICAL UNAUDITED PRO FORMA CONDENSED BALANCE SHEET</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MARCH 31, 1995</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following combined historical unaudited pro forma condensed balance sheet presents the combined financial position of USA Waste and Chambers as of March 31, 1995. Such combined unaudited pro forma information is based upon information derived from the historical balance sheets of USA Waste and Chambers as of that date,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4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 FORMA</w:t>
            </w: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USA WASTE</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CHAMBERS</w:t>
            </w:r>
          </w:p>
        </w:tc>
        <w:tc>
          <w:tcPr>
            <w:tcW w:w="17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ADJUSTMENTS</w:t>
            </w: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HISTORICAL</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(IN THOUSANDS)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4"/>
        </w:trPr>
        <w:tc>
          <w:tcPr>
            <w:tcW w:w="45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and cash equivalents....................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7,620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$ 16,432</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24,052</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 net.....................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20,481</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26,206</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46,687</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assets held for sale.....................</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9,432</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9,432</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Notes and other receivables..................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11,794</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978</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12,772</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Prepaid expenses and other...................</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2,869</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20,182</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23,051</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42,764</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73,230</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115,994</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Notes and other receivables....................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2,522</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5,100</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7,622</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Property and equipment, net....................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181,707</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355,463</w:t>
            </w:r>
          </w:p>
        </w:tc>
        <w:tc>
          <w:tcPr>
            <w:tcW w:w="32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(13,121)(a,e)</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524,049</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businesses, net..............................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74,363</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5,814</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(10,075)(e)</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70,102</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intangible assets, net...................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13,798</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9,558</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23,356</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Funds held for escrow requirements and</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construction.................................</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22,726</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22,726</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assets...................................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23,070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4,472</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(4,300)(a)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23,242</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assets.........................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$338,224</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$476,363</w:t>
            </w:r>
          </w:p>
        </w:tc>
        <w:tc>
          <w:tcPr>
            <w:tcW w:w="17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 (27,496)</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$ 787,091</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$ 11,249</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7,237</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18,486</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Accrued liabilities..........................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8,730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33,737</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42,467</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revenues............................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2,008</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4,343</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6,351</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Current portion of long-term debt............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1,735</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36,874</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38,609</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23,722</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82,191</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105,913</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Revolving credit facility......................</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115,000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115,000</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Convertible subordinated debentures............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49,000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49,000</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long-term debt...........................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3,715</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210,799</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214,514</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Accrued shareholder litigation settlement......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75,300</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75,300</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Closure, post-closure and other liabilities....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17,149</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49,410</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(4,300)(a)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62,259</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Deferred income taxes..........................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16,292</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(16,292)(e)</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liabilities....................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224,878</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417,700</w:t>
            </w:r>
          </w:p>
        </w:tc>
        <w:tc>
          <w:tcPr>
            <w:tcW w:w="32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(20,592)</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621,986</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Commitments and contingencies..................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Preferred stock..............................</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Common stock.................................</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228</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33,580</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(33,302)(c)</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506</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Additional paid-in capital...................</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96,329</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395,121</w:t>
            </w:r>
          </w:p>
        </w:tc>
        <w:tc>
          <w:tcPr>
            <w:tcW w:w="32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29,152(c)</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520,602</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Retained earnings (deficit)..................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18,750</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(365,888)</w:t>
            </w:r>
          </w:p>
        </w:tc>
        <w:tc>
          <w:tcPr>
            <w:tcW w:w="32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(6,904)(a,e)</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(354,042)</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Less treasury stock, at cost.................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(1,961)</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(4,150)</w:t>
            </w:r>
          </w:p>
        </w:tc>
        <w:tc>
          <w:tcPr>
            <w:tcW w:w="32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4,150(c)</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(1,961)</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stockholders' equity...........</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113,346</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58,663</w:t>
            </w:r>
          </w:p>
        </w:tc>
        <w:tc>
          <w:tcPr>
            <w:tcW w:w="32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(6,904)</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165,105</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liabilities and stockholders'</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equity.............................</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$338,224</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$476,363</w:t>
            </w:r>
          </w:p>
        </w:tc>
        <w:tc>
          <w:tcPr>
            <w:tcW w:w="17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 (27,496)</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$ 787,091</w:t>
            </w:r>
          </w:p>
        </w:tc>
      </w:tr>
      <w:tr>
        <w:trPr>
          <w:trHeight w:val="182"/>
        </w:trPr>
        <w:tc>
          <w:tcPr>
            <w:tcW w:w="45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219"/>
          </w:cols>
          <w:pgMar w:left="240" w:top="295" w:right="1440" w:bottom="1065"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295" w:right="1440" w:bottom="1065" w:gutter="0" w:footer="0" w:header="0"/>
          <w:type w:val="continuous"/>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91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COMBINED HISTORICAL UNAUDITED PRO FORMA CONDENSED BALANCE SHEET</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DECEMBER 31, 1994</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following combined historical unaudited pro forma condensed balance sheet presents the combined financial position of USA Waste and Chambers as of December 31, 1994. Such combined unaudited pro forma information is based upon information derived from the historical balance sheets of USA Waste and Chambers as of that date,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4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 FORMA</w:t>
            </w: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USA WASTE</w:t>
            </w:r>
          </w:p>
        </w:tc>
        <w:tc>
          <w:tcPr>
            <w:tcW w:w="120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CHAMBERS</w:t>
            </w:r>
          </w:p>
        </w:tc>
        <w:tc>
          <w:tcPr>
            <w:tcW w:w="17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ADJUSTMENTS</w:t>
            </w: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HISTORICAL</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3"/>
          </w:tcPr>
          <w:p>
            <w:pPr>
              <w:jc w:val="right"/>
              <w:ind w:right="781"/>
              <w:spacing w:after="0"/>
              <w:rPr>
                <w:sz w:val="20"/>
                <w:szCs w:val="20"/>
                <w:color w:val="auto"/>
              </w:rPr>
            </w:pPr>
            <w:r>
              <w:rPr>
                <w:rFonts w:ascii="Courier New" w:cs="Courier New" w:eastAsia="Courier New" w:hAnsi="Courier New"/>
                <w:sz w:val="16"/>
                <w:szCs w:val="16"/>
                <w:color w:val="auto"/>
              </w:rPr>
              <w:t>(IN THOUSANDS)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and cash equivalents...................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6,613</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23,548</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30,161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 net....................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19,992</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28,961</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(188)(a)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48,765</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assets held for sale....................</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9,298</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9,298</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Notes and other receivables.................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8,072</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13,673</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(2,500)(a)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19,245</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Prepaid expenses and other..................</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2,361</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9,286</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11,647</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37,038</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84,766</w:t>
            </w:r>
          </w:p>
        </w:tc>
        <w:tc>
          <w:tcPr>
            <w:tcW w:w="32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(2,688)</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119,116</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Notes and other receivables...................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2,462</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5,159</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Property and equipment, net...................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182,415</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354,428</w:t>
            </w:r>
          </w:p>
        </w:tc>
        <w:tc>
          <w:tcPr>
            <w:tcW w:w="32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(13,286)(a,e)</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523,557</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businesses, net.............................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73,305</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5,934</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(10,075)(e)</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69,164</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intangible assets, net..................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14,375</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9,877</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24,252</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Funds held for escrow requirements and</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construction................................</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23,506</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23,506</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assets..................................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13,572</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4,828</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18,400</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assets........................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$323,167</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$ 488,498</w:t>
            </w:r>
          </w:p>
        </w:tc>
        <w:tc>
          <w:tcPr>
            <w:tcW w:w="17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 (26,049)</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$ 785,616</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$ 12,023</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10,889</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22,912</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Accrued liabilities.........................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12,783</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34,751</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(188)(a)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47,346</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revenues...........................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1,783</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4,881</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6,664</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Current maturities of long-term debt........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1,830</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46,465</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48,295</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28,419</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96,986</w:t>
            </w:r>
          </w:p>
        </w:tc>
        <w:tc>
          <w:tcPr>
            <w:tcW w:w="32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(188)</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125,217</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Revolving credit facility.....................</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98,000</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98,000</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Convertible subordinated debentures...........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49,000</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49,000</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long-term debt..........................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6,903</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211,016</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(2,500)(a)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215,419</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Accrued shareholder litigation settlement.....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75,300</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75,300</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Closure, post-closure and other liabilities...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17,067</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41,264</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58,331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Deferred income taxes.........................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15,792</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(15,792)(e)</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liabilities...................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215,181</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424,566</w:t>
            </w:r>
          </w:p>
        </w:tc>
        <w:tc>
          <w:tcPr>
            <w:tcW w:w="32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(18,480)</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621,267</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Commitments and contingencies.................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Preferred stock.............................</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Common stock................................</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227</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33,580</w:t>
            </w:r>
          </w:p>
        </w:tc>
        <w:tc>
          <w:tcPr>
            <w:tcW w:w="3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(33,302)(c)</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505</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Additional paid-in capital..................</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95,758</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395,121</w:t>
            </w:r>
          </w:p>
        </w:tc>
        <w:tc>
          <w:tcPr>
            <w:tcW w:w="32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29,152(c)</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520,031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Retained earnings (deficit).................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13,962</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(360,619)</w:t>
            </w:r>
          </w:p>
        </w:tc>
        <w:tc>
          <w:tcPr>
            <w:tcW w:w="32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(7,569)(a,e)</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(354,226)</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Less treasury stock, at cost................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(1,961)</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(4,150)</w:t>
            </w:r>
          </w:p>
        </w:tc>
        <w:tc>
          <w:tcPr>
            <w:tcW w:w="32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4,150(c)</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(1,961)</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stockholders' equity..........</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107,986</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63,932</w:t>
            </w:r>
          </w:p>
        </w:tc>
        <w:tc>
          <w:tcPr>
            <w:tcW w:w="32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(7,569)</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164,349</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Total liabilities and stockholders'</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equity............................</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$323,167</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$ 488,498</w:t>
            </w:r>
          </w:p>
        </w:tc>
        <w:tc>
          <w:tcPr>
            <w:tcW w:w="17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 (26,049)</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$ 785,616</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295" w:right="1440" w:bottom="1440" w:gutter="0" w:footer="0" w:header="0"/>
          <w:type w:val="continuous"/>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92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THREE MONTHS ENDED MARCH 31, 1995</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three months ended March 31, 1995, was prepared based upon information derived from the historical statements of operations of USA Waste and Chambers for such period,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4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 FORMA</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USA WASTE</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CHAMBERS</w:t>
            </w:r>
          </w:p>
        </w:tc>
        <w:tc>
          <w:tcPr>
            <w:tcW w:w="16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ADJUSTMENTS</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HISTORICAL</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15"/>
                <w:szCs w:val="15"/>
                <w:color w:val="auto"/>
              </w:rPr>
            </w:pPr>
          </w:p>
        </w:tc>
        <w:tc>
          <w:tcPr>
            <w:tcW w:w="5200" w:type="dxa"/>
            <w:vAlign w:val="bottom"/>
            <w:gridSpan w:val="6"/>
          </w:tcPr>
          <w:p>
            <w:pPr>
              <w:jc w:val="right"/>
              <w:ind w:right="761"/>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$46,508</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$54,734</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$ 101,242</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25,496</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38,442</w:t>
            </w:r>
          </w:p>
        </w:tc>
        <w:tc>
          <w:tcPr>
            <w:tcW w:w="42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(5,659)(b)</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58,279</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6,087</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5,837</w:t>
            </w:r>
          </w:p>
        </w:tc>
        <w:tc>
          <w:tcPr>
            <w:tcW w:w="420" w:type="dxa"/>
            <w:vAlign w:val="bottom"/>
          </w:tcPr>
          <w:p>
            <w:pPr>
              <w:spacing w:after="0"/>
              <w:rPr>
                <w:sz w:val="15"/>
                <w:szCs w:val="15"/>
                <w:color w:val="auto"/>
              </w:rPr>
            </w:pPr>
          </w:p>
        </w:tc>
        <w:tc>
          <w:tcPr>
            <w:tcW w:w="12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5,659(b)</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17,583</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5,408</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7,737</w:t>
            </w:r>
          </w:p>
        </w:tc>
        <w:tc>
          <w:tcPr>
            <w:tcW w:w="42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(165)(a)</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12,980</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36,991</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52,016</w:t>
            </w:r>
          </w:p>
        </w:tc>
        <w:tc>
          <w:tcPr>
            <w:tcW w:w="42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(165)</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88,842</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from operations........................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9,517</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2,718</w:t>
            </w:r>
          </w:p>
        </w:tc>
        <w:tc>
          <w:tcPr>
            <w:tcW w:w="420" w:type="dxa"/>
            <w:vAlign w:val="bottom"/>
          </w:tcPr>
          <w:p>
            <w:pPr>
              <w:spacing w:after="0"/>
              <w:rPr>
                <w:sz w:val="15"/>
                <w:szCs w:val="15"/>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165</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12,400</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(3,152)</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(8,591)</w:t>
            </w:r>
          </w:p>
        </w:tc>
        <w:tc>
          <w:tcPr>
            <w:tcW w:w="420" w:type="dxa"/>
            <w:vAlign w:val="bottom"/>
          </w:tcPr>
          <w:p>
            <w:pPr>
              <w:spacing w:after="0"/>
              <w:rPr>
                <w:sz w:val="15"/>
                <w:szCs w:val="15"/>
                <w:color w:val="auto"/>
              </w:rPr>
            </w:pPr>
          </w:p>
        </w:tc>
        <w:tc>
          <w:tcPr>
            <w:tcW w:w="12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19(a)</w:t>
            </w:r>
          </w:p>
        </w:tc>
        <w:tc>
          <w:tcPr>
            <w:tcW w:w="30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(11,724)</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288</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462</w:t>
            </w:r>
          </w:p>
        </w:tc>
        <w:tc>
          <w:tcPr>
            <w:tcW w:w="42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(19)(a)</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income, net...........................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947</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167</w:t>
            </w:r>
          </w:p>
        </w:tc>
        <w:tc>
          <w:tcPr>
            <w:tcW w:w="420" w:type="dxa"/>
            <w:vAlign w:val="bottom"/>
          </w:tcPr>
          <w:p>
            <w:pPr>
              <w:spacing w:after="0"/>
              <w:rPr>
                <w:sz w:val="15"/>
                <w:szCs w:val="15"/>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1,114</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(1,917)</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(7,962)</w:t>
            </w:r>
          </w:p>
        </w:tc>
        <w:tc>
          <w:tcPr>
            <w:tcW w:w="420" w:type="dxa"/>
            <w:vAlign w:val="bottom"/>
          </w:tcPr>
          <w:p>
            <w:pPr>
              <w:spacing w:after="0"/>
              <w:rPr>
                <w:sz w:val="15"/>
                <w:szCs w:val="15"/>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(9,879)</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(loss) before income tax provision.....</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7,600</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(5,244)</w:t>
            </w:r>
          </w:p>
        </w:tc>
        <w:tc>
          <w:tcPr>
            <w:tcW w:w="420" w:type="dxa"/>
            <w:vAlign w:val="bottom"/>
          </w:tcPr>
          <w:p>
            <w:pPr>
              <w:spacing w:after="0"/>
              <w:rPr>
                <w:sz w:val="15"/>
                <w:szCs w:val="15"/>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165</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2,521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tax provision..........................</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2,812</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25</w:t>
            </w:r>
          </w:p>
        </w:tc>
        <w:tc>
          <w:tcPr>
            <w:tcW w:w="42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(500)(e)</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2,337</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$ 4,788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$(5,269)</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665</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per</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common share................................</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0.21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(0.08)</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0.00(d)</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equivalent shares outstanding...............</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23,259</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66,789</w:t>
            </w:r>
          </w:p>
        </w:tc>
        <w:tc>
          <w:tcPr>
            <w:tcW w:w="42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(38,960)(d)</w:t>
            </w:r>
          </w:p>
        </w:tc>
        <w:tc>
          <w:tcPr>
            <w:tcW w:w="30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51,088</w:t>
            </w:r>
          </w:p>
        </w:tc>
      </w:tr>
      <w:tr>
        <w:trPr>
          <w:trHeight w:val="182"/>
        </w:trPr>
        <w:tc>
          <w:tcPr>
            <w:tcW w:w="444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295"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93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THREE MONTHS ENDED MARCH 31, 1994</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three months ended March 31, 1994, was prepared based upon information derived from the historical statements of operations of USA Waste and Chambers for such period,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4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 FORMA</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USA WASTE</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CHAMBERS</w:t>
            </w: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ADJUSTMENTS</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HISTORICAL</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 EXCEPT</w:t>
            </w:r>
          </w:p>
        </w:tc>
        <w:tc>
          <w:tcPr>
            <w:tcW w:w="2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PER SHARE AMOUNTS)</w:t>
            </w:r>
          </w:p>
        </w:tc>
      </w:tr>
      <w:tr>
        <w:trPr>
          <w:trHeight w:val="364"/>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Operating revenues..........................</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$38,205</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$59,766</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$97,971</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21,915</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41,776</w:t>
            </w:r>
          </w:p>
        </w:tc>
        <w:tc>
          <w:tcPr>
            <w:tcW w:w="24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(5,459)(b)</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58,232</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5,321</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5,356</w:t>
            </w:r>
          </w:p>
        </w:tc>
        <w:tc>
          <w:tcPr>
            <w:tcW w:w="240" w:type="dxa"/>
            <w:vAlign w:val="bottom"/>
          </w:tcPr>
          <w:p>
            <w:pPr>
              <w:spacing w:after="0"/>
              <w:rPr>
                <w:sz w:val="15"/>
                <w:szCs w:val="15"/>
                <w:color w:val="auto"/>
              </w:rPr>
            </w:pPr>
          </w:p>
        </w:tc>
        <w:tc>
          <w:tcPr>
            <w:tcW w:w="12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5,459(b)</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16,136</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4,393</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9,319</w:t>
            </w:r>
          </w:p>
        </w:tc>
        <w:tc>
          <w:tcPr>
            <w:tcW w:w="24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(52)(a)</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13,660</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31,629</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56,451</w:t>
            </w:r>
          </w:p>
        </w:tc>
        <w:tc>
          <w:tcPr>
            <w:tcW w:w="24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(52)</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88,028</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from operations......................</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6,576</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3,315</w:t>
            </w:r>
          </w:p>
        </w:tc>
        <w:tc>
          <w:tcPr>
            <w:tcW w:w="240" w:type="dxa"/>
            <w:vAlign w:val="bottom"/>
          </w:tcPr>
          <w:p>
            <w:pPr>
              <w:spacing w:after="0"/>
              <w:rPr>
                <w:sz w:val="15"/>
                <w:szCs w:val="15"/>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9,943</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(2,457)</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(5,726)</w:t>
            </w:r>
          </w:p>
        </w:tc>
        <w:tc>
          <w:tcPr>
            <w:tcW w:w="240" w:type="dxa"/>
            <w:vAlign w:val="bottom"/>
          </w:tcPr>
          <w:p>
            <w:pPr>
              <w:spacing w:after="0"/>
              <w:rPr>
                <w:sz w:val="15"/>
                <w:szCs w:val="15"/>
                <w:color w:val="auto"/>
              </w:rPr>
            </w:pPr>
          </w:p>
        </w:tc>
        <w:tc>
          <w:tcPr>
            <w:tcW w:w="12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44(a)</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(8,139)</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116</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505</w:t>
            </w:r>
          </w:p>
        </w:tc>
        <w:tc>
          <w:tcPr>
            <w:tcW w:w="24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(44)(a)</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577</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income, net.........................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105</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55</w:t>
            </w:r>
          </w:p>
        </w:tc>
        <w:tc>
          <w:tcPr>
            <w:tcW w:w="240" w:type="dxa"/>
            <w:vAlign w:val="bottom"/>
          </w:tcPr>
          <w:p>
            <w:pPr>
              <w:spacing w:after="0"/>
              <w:rPr>
                <w:sz w:val="15"/>
                <w:szCs w:val="15"/>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(2,236)</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(5,166)</w:t>
            </w:r>
          </w:p>
        </w:tc>
        <w:tc>
          <w:tcPr>
            <w:tcW w:w="240" w:type="dxa"/>
            <w:vAlign w:val="bottom"/>
          </w:tcPr>
          <w:p>
            <w:pPr>
              <w:spacing w:after="0"/>
              <w:rPr>
                <w:sz w:val="15"/>
                <w:szCs w:val="15"/>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(7,402)</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(loss) before income tax provision...</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4,340</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(1,851)</w:t>
            </w:r>
          </w:p>
        </w:tc>
        <w:tc>
          <w:tcPr>
            <w:tcW w:w="240" w:type="dxa"/>
            <w:vAlign w:val="bottom"/>
          </w:tcPr>
          <w:p>
            <w:pPr>
              <w:spacing w:after="0"/>
              <w:rPr>
                <w:sz w:val="15"/>
                <w:szCs w:val="15"/>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2,541</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tax provision........................</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1,636</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124</w:t>
            </w:r>
          </w:p>
        </w:tc>
        <w:tc>
          <w:tcPr>
            <w:tcW w:w="24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(341)(e)</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1,419</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$ 2,704</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$(1,975)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393</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$ 1,122</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(loss) from continuing operations per</w:t>
            </w: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common share..............................</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0.12(d)</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(0.03)</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0.02(d)</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Weighted average number of common and common</w:t>
            </w: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equivalent shares outstanding.............</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19,408</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66,789</w:t>
            </w:r>
          </w:p>
        </w:tc>
        <w:tc>
          <w:tcPr>
            <w:tcW w:w="24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(38,960)(d)</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47,237</w:t>
            </w:r>
          </w:p>
        </w:tc>
      </w:tr>
      <w:tr>
        <w:trPr>
          <w:trHeight w:val="182"/>
        </w:trPr>
        <w:tc>
          <w:tcPr>
            <w:tcW w:w="426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295"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94</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YEAR ENDED DECEMBER 31, 1994</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1994, was prepared based upon information derived from the historical statements of operations of USA Waste and Chambers for such period, after giving effect to the Merger using the "pooling</w:t>
      </w:r>
    </w:p>
    <w:p>
      <w:pPr>
        <w:spacing w:after="0" w:line="7"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PRO FORMA</w:t>
            </w: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USA WASTE</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CHAMBERS</w:t>
            </w: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ADJUSTMENTS</w:t>
            </w: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HISTORICAL</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 EXCEPT</w:t>
            </w:r>
          </w:p>
        </w:tc>
        <w:tc>
          <w:tcPr>
            <w:tcW w:w="282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PER SHARE AMOUNTS)</w:t>
            </w:r>
          </w:p>
        </w:tc>
      </w:tr>
      <w:tr>
        <w:trPr>
          <w:trHeight w:val="364"/>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$176,235</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$ 257,989</w:t>
            </w: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$ 434,224</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2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101,069</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179,542</w:t>
            </w:r>
          </w:p>
        </w:tc>
        <w:tc>
          <w:tcPr>
            <w:tcW w:w="22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(23,241)(b)</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257,370</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23,463</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24,796</w:t>
            </w:r>
          </w:p>
        </w:tc>
        <w:tc>
          <w:tcPr>
            <w:tcW w:w="22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23,241(b)</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71,500</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Merger costs............................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3,782</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3,782</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8,863</w:t>
            </w:r>
          </w:p>
        </w:tc>
        <w:tc>
          <w:tcPr>
            <w:tcW w:w="22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8,863</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18,785</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37,568</w:t>
            </w:r>
          </w:p>
        </w:tc>
        <w:tc>
          <w:tcPr>
            <w:tcW w:w="22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(214)(a)</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56,139</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147,099</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250,769</w:t>
            </w:r>
          </w:p>
        </w:tc>
        <w:tc>
          <w:tcPr>
            <w:tcW w:w="220" w:type="dxa"/>
            <w:vAlign w:val="bottom"/>
          </w:tcPr>
          <w:p>
            <w:pPr>
              <w:spacing w:after="0"/>
              <w:rPr>
                <w:sz w:val="15"/>
                <w:szCs w:val="15"/>
                <w:color w:val="auto"/>
              </w:rPr>
            </w:pP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(214)</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397,654</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from operations....................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29,136</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7,220</w:t>
            </w:r>
          </w:p>
        </w:tc>
        <w:tc>
          <w:tcPr>
            <w:tcW w:w="22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214</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36,570</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2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shareholders litigation</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settlement and other litigation</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related costs........................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(79,400)</w:t>
            </w:r>
          </w:p>
        </w:tc>
        <w:tc>
          <w:tcPr>
            <w:tcW w:w="22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(79,400)</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(10,385)</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(23,843)</w:t>
            </w:r>
          </w:p>
        </w:tc>
        <w:tc>
          <w:tcPr>
            <w:tcW w:w="22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170(a)</w:t>
            </w:r>
          </w:p>
        </w:tc>
        <w:tc>
          <w:tcPr>
            <w:tcW w:w="24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(34,058)</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591</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2,220</w:t>
            </w:r>
          </w:p>
        </w:tc>
        <w:tc>
          <w:tcPr>
            <w:tcW w:w="22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(170)(a)</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2,641</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income (expense), net.............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2,249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(372)</w:t>
            </w:r>
          </w:p>
        </w:tc>
        <w:tc>
          <w:tcPr>
            <w:tcW w:w="22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1,877</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(7,545)</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(101,395)</w:t>
            </w:r>
          </w:p>
        </w:tc>
        <w:tc>
          <w:tcPr>
            <w:tcW w:w="22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4"/>
              </w:rPr>
              <w:t>(108,940)</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before income tax provision</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(benefit)...............................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21,591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(94,175)</w:t>
            </w:r>
          </w:p>
        </w:tc>
        <w:tc>
          <w:tcPr>
            <w:tcW w:w="22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214</w:t>
            </w:r>
          </w:p>
        </w:tc>
        <w:tc>
          <w:tcPr>
            <w:tcW w:w="24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(72,370)</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tax provision (benefit)............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7,760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(3,931)</w:t>
            </w:r>
          </w:p>
        </w:tc>
        <w:tc>
          <w:tcPr>
            <w:tcW w:w="22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79(e)</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3,908</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operations..............................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$ 13,831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(90,244)</w:t>
            </w: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135</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(76,278)</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per common share from</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continuing operations...................</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   0.61 (d)</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(1.35)</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(1.55)(d)</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common equivalent shares outstanding....</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21,842</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66,789</w:t>
            </w:r>
          </w:p>
        </w:tc>
        <w:tc>
          <w:tcPr>
            <w:tcW w:w="22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(38,960)(d)</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49,671</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295"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95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YEAR ENDED DECEMBER 31, 1993</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1993, was prepared based upon information derived from the historical statements of operations of USA Waste and Chambers for such year,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 FORMA</w:t>
            </w:r>
          </w:p>
        </w:tc>
        <w:tc>
          <w:tcPr>
            <w:tcW w:w="1140" w:type="dxa"/>
            <w:vAlign w:val="bottom"/>
            <w:gridSpan w:val="2"/>
          </w:tcPr>
          <w:p>
            <w:pPr>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USA WASTE</w:t>
            </w:r>
          </w:p>
        </w:tc>
        <w:tc>
          <w:tcPr>
            <w:tcW w:w="1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CHAMBERS</w:t>
            </w:r>
          </w:p>
        </w:tc>
        <w:tc>
          <w:tcPr>
            <w:tcW w:w="19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ADJUSTMENTS</w:t>
            </w:r>
          </w:p>
        </w:tc>
        <w:tc>
          <w:tcPr>
            <w:tcW w:w="1140" w:type="dxa"/>
            <w:vAlign w:val="bottom"/>
            <w:gridSpan w:val="2"/>
          </w:tcPr>
          <w:p>
            <w:pPr>
              <w:spacing w:after="0"/>
              <w:rPr>
                <w:sz w:val="20"/>
                <w:szCs w:val="20"/>
                <w:color w:val="auto"/>
              </w:rPr>
            </w:pPr>
            <w:r>
              <w:rPr>
                <w:rFonts w:ascii="Courier New" w:cs="Courier New" w:eastAsia="Courier New" w:hAnsi="Courier New"/>
                <w:sz w:val="16"/>
                <w:szCs w:val="16"/>
                <w:color w:val="auto"/>
              </w:rPr>
              <w:t>HISTORICAL</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7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4"/>
        </w:trPr>
        <w:tc>
          <w:tcPr>
            <w:tcW w:w="1700" w:type="dxa"/>
            <w:vAlign w:val="bottom"/>
          </w:tcPr>
          <w:p>
            <w:pPr>
              <w:spacing w:after="0"/>
              <w:rPr>
                <w:sz w:val="20"/>
                <w:szCs w:val="20"/>
                <w:color w:val="auto"/>
              </w:rPr>
            </w:pPr>
            <w:r>
              <w:rPr>
                <w:rFonts w:ascii="Courier New" w:cs="Courier New" w:eastAsia="Courier New" w:hAnsi="Courier New"/>
                <w:sz w:val="16"/>
                <w:szCs w:val="16"/>
                <w:color w:val="auto"/>
                <w:w w:val="97"/>
              </w:rPr>
              <w:t>Operating revenues</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$93,753</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$288,481</w:t>
            </w:r>
          </w:p>
        </w:tc>
        <w:tc>
          <w:tcPr>
            <w:tcW w:w="5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$ 382,234</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Costs and expenses:</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49,251</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194,355</w:t>
            </w:r>
          </w:p>
        </w:tc>
        <w:tc>
          <w:tcPr>
            <w:tcW w:w="520" w:type="dxa"/>
            <w:vAlign w:val="bottom"/>
          </w:tcPr>
          <w:p>
            <w:pPr>
              <w:spacing w:after="0"/>
              <w:rPr>
                <w:sz w:val="15"/>
                <w:szCs w:val="15"/>
                <w:color w:val="auto"/>
              </w:rPr>
            </w:pP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(26,261)(b)</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217,345</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General and administrative............</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17,497</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23,210</w:t>
            </w:r>
          </w:p>
        </w:tc>
        <w:tc>
          <w:tcPr>
            <w:tcW w:w="520" w:type="dxa"/>
            <w:vAlign w:val="bottom"/>
          </w:tcPr>
          <w:p>
            <w:pPr>
              <w:spacing w:after="0"/>
              <w:rPr>
                <w:sz w:val="15"/>
                <w:szCs w:val="15"/>
                <w:color w:val="auto"/>
              </w:rPr>
            </w:pPr>
          </w:p>
        </w:tc>
        <w:tc>
          <w:tcPr>
            <w:tcW w:w="14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26,261(b)</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66,968</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Nonrecurring expenses.................</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923</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4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923</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Unusual items -- operations...........</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(11,851)</w:t>
            </w:r>
          </w:p>
        </w:tc>
        <w:tc>
          <w:tcPr>
            <w:tcW w:w="520" w:type="dxa"/>
            <w:vAlign w:val="bottom"/>
          </w:tcPr>
          <w:p>
            <w:pPr>
              <w:spacing w:after="0"/>
              <w:rPr>
                <w:sz w:val="15"/>
                <w:szCs w:val="15"/>
                <w:color w:val="auto"/>
              </w:rPr>
            </w:pPr>
          </w:p>
        </w:tc>
        <w:tc>
          <w:tcPr>
            <w:tcW w:w="14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13,600(a)</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1,749</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10,558</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41,764</w:t>
            </w:r>
          </w:p>
        </w:tc>
        <w:tc>
          <w:tcPr>
            <w:tcW w:w="520" w:type="dxa"/>
            <w:vAlign w:val="bottom"/>
          </w:tcPr>
          <w:p>
            <w:pPr>
              <w:spacing w:after="0"/>
              <w:rPr>
                <w:sz w:val="15"/>
                <w:szCs w:val="15"/>
                <w:color w:val="auto"/>
              </w:rPr>
            </w:pP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(100)(a)</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52,222</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78,229</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247,478</w:t>
            </w:r>
          </w:p>
        </w:tc>
        <w:tc>
          <w:tcPr>
            <w:tcW w:w="520" w:type="dxa"/>
            <w:vAlign w:val="bottom"/>
          </w:tcPr>
          <w:p>
            <w:pPr>
              <w:spacing w:after="0"/>
              <w:rPr>
                <w:sz w:val="15"/>
                <w:szCs w:val="15"/>
                <w:color w:val="auto"/>
              </w:rPr>
            </w:pPr>
          </w:p>
        </w:tc>
        <w:tc>
          <w:tcPr>
            <w:tcW w:w="14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13,500</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339,207</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15,524</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41,003</w:t>
            </w:r>
          </w:p>
        </w:tc>
        <w:tc>
          <w:tcPr>
            <w:tcW w:w="520" w:type="dxa"/>
            <w:vAlign w:val="bottom"/>
          </w:tcPr>
          <w:p>
            <w:pPr>
              <w:spacing w:after="0"/>
              <w:rPr>
                <w:sz w:val="15"/>
                <w:szCs w:val="15"/>
                <w:color w:val="auto"/>
              </w:rPr>
            </w:pPr>
          </w:p>
        </w:tc>
        <w:tc>
          <w:tcPr>
            <w:tcW w:w="14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(13,500)</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43,027</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Unusual item --</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shareholder litigation</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1700" w:type="dxa"/>
            <w:vAlign w:val="bottom"/>
          </w:tcPr>
          <w:p>
            <w:pPr>
              <w:ind w:left="460"/>
              <w:spacing w:after="0"/>
              <w:rPr>
                <w:sz w:val="20"/>
                <w:szCs w:val="20"/>
                <w:color w:val="auto"/>
              </w:rPr>
            </w:pPr>
            <w:r>
              <w:rPr>
                <w:rFonts w:ascii="Courier New" w:cs="Courier New" w:eastAsia="Courier New" w:hAnsi="Courier New"/>
                <w:sz w:val="16"/>
                <w:szCs w:val="16"/>
                <w:color w:val="auto"/>
                <w:w w:val="97"/>
              </w:rPr>
              <w:t>related costs</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(5,500)</w:t>
            </w:r>
          </w:p>
        </w:tc>
        <w:tc>
          <w:tcPr>
            <w:tcW w:w="520" w:type="dxa"/>
            <w:vAlign w:val="bottom"/>
          </w:tcPr>
          <w:p>
            <w:pPr>
              <w:spacing w:after="0"/>
              <w:rPr>
                <w:sz w:val="15"/>
                <w:szCs w:val="15"/>
                <w:color w:val="auto"/>
              </w:rPr>
            </w:pPr>
          </w:p>
        </w:tc>
        <w:tc>
          <w:tcPr>
            <w:tcW w:w="14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(5,500)</w:t>
            </w:r>
          </w:p>
        </w:tc>
      </w:tr>
      <w:tr>
        <w:trPr>
          <w:trHeight w:val="182"/>
        </w:trPr>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w w:val="97"/>
              </w:rPr>
              <w:t>Interest expense</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(6,856)</w:t>
            </w:r>
          </w:p>
        </w:tc>
        <w:tc>
          <w:tcPr>
            <w:tcW w:w="3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(29,163)</w:t>
            </w:r>
          </w:p>
        </w:tc>
        <w:tc>
          <w:tcPr>
            <w:tcW w:w="520" w:type="dxa"/>
            <w:vAlign w:val="bottom"/>
          </w:tcPr>
          <w:p>
            <w:pPr>
              <w:spacing w:after="0"/>
              <w:rPr>
                <w:sz w:val="15"/>
                <w:szCs w:val="15"/>
                <w:color w:val="auto"/>
              </w:rPr>
            </w:pPr>
          </w:p>
        </w:tc>
        <w:tc>
          <w:tcPr>
            <w:tcW w:w="14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44(a)</w:t>
            </w:r>
          </w:p>
        </w:tc>
        <w:tc>
          <w:tcPr>
            <w:tcW w:w="1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(35,975)</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income.......................</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1,113</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2,470</w:t>
            </w:r>
          </w:p>
        </w:tc>
        <w:tc>
          <w:tcPr>
            <w:tcW w:w="520" w:type="dxa"/>
            <w:vAlign w:val="bottom"/>
          </w:tcPr>
          <w:p>
            <w:pPr>
              <w:spacing w:after="0"/>
              <w:rPr>
                <w:sz w:val="15"/>
                <w:szCs w:val="15"/>
                <w:color w:val="auto"/>
              </w:rPr>
            </w:pP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(44)(a)</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3,539</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Other income, net.....................</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822</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1,093</w:t>
            </w:r>
          </w:p>
        </w:tc>
        <w:tc>
          <w:tcPr>
            <w:tcW w:w="520" w:type="dxa"/>
            <w:vAlign w:val="bottom"/>
          </w:tcPr>
          <w:p>
            <w:pPr>
              <w:spacing w:after="0"/>
              <w:rPr>
                <w:sz w:val="15"/>
                <w:szCs w:val="15"/>
                <w:color w:val="auto"/>
              </w:rPr>
            </w:pPr>
          </w:p>
        </w:tc>
        <w:tc>
          <w:tcPr>
            <w:tcW w:w="14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1,915</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(4,921)</w:t>
            </w:r>
          </w:p>
        </w:tc>
        <w:tc>
          <w:tcPr>
            <w:tcW w:w="3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(31,100)</w:t>
            </w:r>
          </w:p>
        </w:tc>
        <w:tc>
          <w:tcPr>
            <w:tcW w:w="520" w:type="dxa"/>
            <w:vAlign w:val="bottom"/>
          </w:tcPr>
          <w:p>
            <w:pPr>
              <w:spacing w:after="0"/>
              <w:rPr>
                <w:sz w:val="15"/>
                <w:szCs w:val="15"/>
                <w:color w:val="auto"/>
              </w:rPr>
            </w:pPr>
          </w:p>
        </w:tc>
        <w:tc>
          <w:tcPr>
            <w:tcW w:w="14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(36,021)</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 provision......</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10,603</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9,903</w:t>
            </w:r>
          </w:p>
        </w:tc>
        <w:tc>
          <w:tcPr>
            <w:tcW w:w="520" w:type="dxa"/>
            <w:vAlign w:val="bottom"/>
          </w:tcPr>
          <w:p>
            <w:pPr>
              <w:spacing w:after="0"/>
              <w:rPr>
                <w:sz w:val="15"/>
                <w:szCs w:val="15"/>
                <w:color w:val="auto"/>
              </w:rPr>
            </w:pPr>
          </w:p>
        </w:tc>
        <w:tc>
          <w:tcPr>
            <w:tcW w:w="14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(13,500)</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7,006</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tax provision....................</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5,413</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1,600</w:t>
            </w:r>
          </w:p>
        </w:tc>
        <w:tc>
          <w:tcPr>
            <w:tcW w:w="520" w:type="dxa"/>
            <w:vAlign w:val="bottom"/>
          </w:tcPr>
          <w:p>
            <w:pPr>
              <w:spacing w:after="0"/>
              <w:rPr>
                <w:sz w:val="15"/>
                <w:szCs w:val="15"/>
                <w:color w:val="auto"/>
              </w:rPr>
            </w:pP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(995)(e)</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6,018</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$ 5,190</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8,303</w:t>
            </w:r>
          </w:p>
        </w:tc>
        <w:tc>
          <w:tcPr>
            <w:tcW w:w="19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 (12,505)</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988</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from continuing operations per</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common share..........................</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0.26(d)</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0.12</w:t>
            </w: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0.01(d)</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common equivalent shares</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outstanding...........................</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18,056</w:t>
            </w:r>
          </w:p>
        </w:tc>
        <w:tc>
          <w:tcPr>
            <w:tcW w:w="3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66,788</w:t>
            </w:r>
          </w:p>
        </w:tc>
        <w:tc>
          <w:tcPr>
            <w:tcW w:w="520" w:type="dxa"/>
            <w:vAlign w:val="bottom"/>
          </w:tcPr>
          <w:p>
            <w:pPr>
              <w:spacing w:after="0"/>
              <w:rPr>
                <w:sz w:val="15"/>
                <w:szCs w:val="15"/>
                <w:color w:val="auto"/>
              </w:rPr>
            </w:pP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(38,959)(d)</w:t>
            </w:r>
          </w:p>
        </w:tc>
        <w:tc>
          <w:tcPr>
            <w:tcW w:w="14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45,885</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295"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96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YEAR ENDED DECEMBER 31, 1992</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1992, was prepared based upon information derived from the historical statements of operations of USA Waste and Chambers for such year,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PRO</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FORMA</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USA</w:t>
            </w:r>
          </w:p>
        </w:tc>
        <w:tc>
          <w:tcPr>
            <w:tcW w:w="104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WASTE</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CHAMBERS</w:t>
            </w:r>
          </w:p>
        </w:tc>
        <w:tc>
          <w:tcPr>
            <w:tcW w:w="16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ADJUSTMENTS</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HISTORICAL</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9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(IN THOUSANDS, EXCEPT PER SHARE AMOUNTS)</w:t>
            </w:r>
          </w:p>
        </w:tc>
        <w:tc>
          <w:tcPr>
            <w:tcW w:w="1180" w:type="dxa"/>
            <w:vAlign w:val="bottom"/>
          </w:tcPr>
          <w:p>
            <w:pPr>
              <w:spacing w:after="0"/>
              <w:rPr>
                <w:sz w:val="15"/>
                <w:szCs w:val="15"/>
                <w:color w:val="auto"/>
              </w:rPr>
            </w:pPr>
          </w:p>
        </w:tc>
      </w:tr>
      <w:tr>
        <w:trPr>
          <w:trHeight w:val="364"/>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$57,049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$294,310</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$351,359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28,128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206,761</w:t>
            </w:r>
          </w:p>
        </w:tc>
        <w:tc>
          <w:tcPr>
            <w:tcW w:w="340" w:type="dxa"/>
            <w:vAlign w:val="bottom"/>
          </w:tcPr>
          <w:p>
            <w:pPr>
              <w:spacing w:after="0"/>
              <w:rPr>
                <w:sz w:val="15"/>
                <w:szCs w:val="15"/>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(25,961)(b)</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208,928</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11,612</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37,853</w:t>
            </w:r>
          </w:p>
        </w:tc>
        <w:tc>
          <w:tcPr>
            <w:tcW w:w="340" w:type="dxa"/>
            <w:vAlign w:val="bottom"/>
          </w:tcPr>
          <w:p>
            <w:pPr>
              <w:spacing w:after="0"/>
              <w:rPr>
                <w:sz w:val="15"/>
                <w:szCs w:val="15"/>
                <w:color w:val="auto"/>
              </w:rPr>
            </w:pP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25,961(b)</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75,426</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Nonrecurring expenses......................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6,756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6,756</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44,291</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44,291</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5,776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38,363</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44,139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52,272</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327,268</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379,540</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operations...................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4,777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(32,958)</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(28,181)</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1980" w:type="dxa"/>
            <w:vAlign w:val="bottom"/>
          </w:tcPr>
          <w:p>
            <w:pPr>
              <w:ind w:left="460"/>
              <w:spacing w:after="0"/>
              <w:rPr>
                <w:sz w:val="20"/>
                <w:szCs w:val="20"/>
                <w:color w:val="auto"/>
              </w:rPr>
            </w:pPr>
            <w:r>
              <w:rPr>
                <w:rFonts w:ascii="Courier New" w:cs="Courier New" w:eastAsia="Courier New" w:hAnsi="Courier New"/>
                <w:sz w:val="16"/>
                <w:szCs w:val="16"/>
                <w:color w:val="auto"/>
              </w:rPr>
              <w:t>Unusual item --</w:t>
            </w:r>
          </w:p>
        </w:tc>
        <w:tc>
          <w:tcPr>
            <w:tcW w:w="266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7"/>
              </w:rPr>
              <w:t>shareholder litigation</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related costs............................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(10,853)</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(10,853)</w:t>
            </w:r>
          </w:p>
        </w:tc>
      </w:tr>
      <w:tr>
        <w:trPr>
          <w:trHeight w:val="182"/>
        </w:trPr>
        <w:tc>
          <w:tcPr>
            <w:tcW w:w="1980" w:type="dxa"/>
            <w:vAlign w:val="bottom"/>
          </w:tcPr>
          <w:p>
            <w:pPr>
              <w:ind w:left="460"/>
              <w:spacing w:after="0"/>
              <w:rPr>
                <w:sz w:val="20"/>
                <w:szCs w:val="20"/>
                <w:color w:val="auto"/>
              </w:rPr>
            </w:pPr>
            <w:r>
              <w:rPr>
                <w:rFonts w:ascii="Courier New" w:cs="Courier New" w:eastAsia="Courier New" w:hAnsi="Courier New"/>
                <w:sz w:val="16"/>
                <w:szCs w:val="16"/>
                <w:color w:val="auto"/>
                <w:w w:val="97"/>
              </w:rPr>
              <w:t>Interest expense</w:t>
            </w:r>
          </w:p>
        </w:tc>
        <w:tc>
          <w:tcPr>
            <w:tcW w:w="2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(4,212)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(31,628)</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(35,840)</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610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4,825</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5,435</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income, net..........................</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1,684</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1,699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(3,587)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(35,972)</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(39,559)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before income tax provision.......</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1,190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(68,930)</w:t>
            </w:r>
          </w:p>
        </w:tc>
        <w:tc>
          <w:tcPr>
            <w:tcW w:w="34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(67,740)</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tax provision............................</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3,955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1,325</w:t>
            </w:r>
          </w:p>
        </w:tc>
        <w:tc>
          <w:tcPr>
            <w:tcW w:w="340" w:type="dxa"/>
            <w:vAlign w:val="bottom"/>
          </w:tcPr>
          <w:p>
            <w:pPr>
              <w:spacing w:after="0"/>
              <w:rPr>
                <w:sz w:val="15"/>
                <w:szCs w:val="15"/>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(4,801)(e)</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Loss from continuing operations.................</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$(2,765)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$(70,255)</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4,801</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$(68,219)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Loss from continuing operations per common</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share.........................................</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(0.20)(d)</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(1.05)</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(1.60)(d)</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equivalent shares outstanding.................</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14,878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66,788</w:t>
            </w:r>
          </w:p>
        </w:tc>
        <w:tc>
          <w:tcPr>
            <w:tcW w:w="340" w:type="dxa"/>
            <w:vAlign w:val="bottom"/>
          </w:tcPr>
          <w:p>
            <w:pPr>
              <w:spacing w:after="0"/>
              <w:rPr>
                <w:sz w:val="15"/>
                <w:szCs w:val="15"/>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(38,959)(d)</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42,707</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295"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97</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COMBINED HISTORICAL UNAUDITED PRO FORMA</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CONDENSED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combined historical unaudited pro forma condensed financial statements assume the issuance of USA Waste Common Stock in exchange for all outstanding Chambers Common Stock and Chambers Class A Common Stock. Such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have been combined from their inception.</w:t>
      </w:r>
    </w:p>
    <w:p>
      <w:pPr>
        <w:spacing w:after="0" w:line="175"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rules and regulations of the Commission, the combined historical unaudited pro forma condensed statements of operations exclude the results of operations associated with discontinued businesses, extraordinary items and cumulative effects of accounting changes. In addition, the combined historical unaudited pro forma condensed financial statements do not include an adjustment for approximately $25 million in estimated nonrecurring costs related to the Merger which are estimated and expected to be incurred within 12 months of the transaction date. These Merger related costs consist of approximately $12 million of transaction costs, $11 million of severance and other termination benefits, and $2 million of nonrecurring costs relating to the integration of the operations of the combined company.</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Certain reclassifications have been made to the historical financial statements of USA Waste and Chambers to conform to the pro forma presentation. Such reclassifications are not material to the combined unaudited pro forma condensed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ADJUSTMENTS</w:t>
      </w:r>
    </w:p>
    <w:p>
      <w:pPr>
        <w:spacing w:after="0" w:line="186" w:lineRule="exact"/>
        <w:rPr>
          <w:sz w:val="20"/>
          <w:szCs w:val="20"/>
          <w:color w:val="auto"/>
        </w:rPr>
      </w:pPr>
    </w:p>
    <w:p>
      <w:pPr>
        <w:ind w:right="2759" w:firstLine="470"/>
        <w:spacing w:after="0"/>
        <w:tabs>
          <w:tab w:leader="none" w:pos="85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intercompany balance sheet and statement of operations items between USA Waste and Chambers have been eliminated in the combined historical unaudited pro forma condensed financial statements. In January 1995, USA Waste paid a deposit of $4.3 million toward the purchase of certain assets of Chambers. In September 1993, Chambers sold certain of its collection and landfill operations to USA Waste and, as a result of such sale, Chambers recorded a gain of approximately $13.6 million. USA Waste accounted for the transaction as a purchase and allocated the purchase price to the assets acquired. Assuming that USA Waste and Chambers had been combined from their inception, the gain recorded by Chambers in 1993 has been removed from the combined historical unaudited pro forma condensed statement of operations for that year and the assets have been reduced by that amount, net of related amortization, in the combined historical unaudited pro forma condensed balance sheet. In addition, the combined historical unaudited pro forma condensed statements of operations for the years ended December 31, 1994 and 1993 have been adjusted for the effect of lower amortization as a result of the reduction in the asset amounts.</w:t>
      </w:r>
    </w:p>
    <w:p>
      <w:pPr>
        <w:spacing w:after="0" w:line="192" w:lineRule="exact"/>
        <w:rPr>
          <w:rFonts w:ascii="Courier New" w:cs="Courier New" w:eastAsia="Courier New" w:hAnsi="Courier New"/>
          <w:sz w:val="16"/>
          <w:szCs w:val="16"/>
          <w:color w:val="auto"/>
        </w:rPr>
      </w:pPr>
    </w:p>
    <w:p>
      <w:pPr>
        <w:ind w:right="2939" w:firstLine="470"/>
        <w:spacing w:after="0" w:line="239" w:lineRule="auto"/>
        <w:tabs>
          <w:tab w:leader="none" w:pos="85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reclassify certain Chambers' operating expenses as general and administrative expenses in the combined historical unaudited pro forma condensed statements of operations to conform to the pro forma presentation of USA Waste as if the companies had been combined since their inception.</w:t>
      </w:r>
    </w:p>
    <w:p>
      <w:pPr>
        <w:spacing w:after="0" w:line="188"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equity accounts of Chambers as of December 31, 1994 have been adjusted to reflect the assumed issuance of approximately 27.8 million shares of USA Waste Common Stock in exchange for all of the outstanding shares of Chambers Common Stock and Chambers Class A Common Stock (based on the Exchange Ratio of .41667 of a share of USA Waste Common Stock for each share of Chambers Common Stock and Chambers Class A Common Stock). The actual number of shares of USA Waste Common Stock to be issued pursuant to the Merger will be based upon the number of shares of Chambers Common Stock and Chambers Class A Common Stock issued and outstanding immediately prior to the consummation of the Merger.</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295"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98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COMBINED HISTORICAL UNAUDITED PRO FORMA</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CONDENSED FINANCIAL STATEMENTS (CONTINUED)</w:t>
      </w:r>
    </w:p>
    <w:p>
      <w:pPr>
        <w:spacing w:after="0" w:line="186" w:lineRule="exact"/>
        <w:rPr>
          <w:sz w:val="20"/>
          <w:szCs w:val="20"/>
          <w:color w:val="auto"/>
        </w:rPr>
      </w:pPr>
    </w:p>
    <w:p>
      <w:pPr>
        <w:ind w:right="2659" w:firstLine="470"/>
        <w:spacing w:after="0" w:line="257" w:lineRule="auto"/>
        <w:tabs>
          <w:tab w:leader="none" w:pos="85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income (loss) from continuing operations per share for each period is based on the combined weighted average number of shares outstanding, after giving effect to the issuance of .41667 of a share of USA Waste Common Stock for each share of Chambers Common Stock and Chambers Class A Common Stock and to preferred stock dividends paid by USA Waste of $152,000, $582,000 and $565,000 for the years ended December 31, 1992, 1993 and 1994, respectively, and $380,000 for the three months ended March 31, 1994. The historical USA Waste income from continuing operations per share has also been adjusted for the preferred stock dividends. Fully diluted earnings (loss) per share are considered equal to primary earnings (loss) per share for all periods presented because the addition of potentially dilutive securities that are not common stock equivalents would have been either antidilutive or immaterial.</w:t>
      </w:r>
    </w:p>
    <w:p>
      <w:pPr>
        <w:spacing w:after="0" w:line="180" w:lineRule="exact"/>
        <w:rPr>
          <w:rFonts w:ascii="Courier New" w:cs="Courier New" w:eastAsia="Courier New" w:hAnsi="Courier New"/>
          <w:sz w:val="15"/>
          <w:szCs w:val="15"/>
          <w:color w:val="auto"/>
        </w:rPr>
      </w:pPr>
    </w:p>
    <w:p>
      <w:pPr>
        <w:ind w:right="2759" w:firstLine="470"/>
        <w:spacing w:after="0"/>
        <w:tabs>
          <w:tab w:leader="none" w:pos="85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combined unaudited pro forma condensed financial statements assume that the Merger qualifies as a "tax-free" reorganization for federal income tax purposes. As a result of the Merger, certain tax net operating loss carryforwards will become available to offset future taxable income of the combined company. Chambers has not recognized any benefit with respect to these tax net operating loss carryforwards in prior years; however, this pro forma presentation assumes the recognition of certain of these benefits in the combined historical unaudited condensed statements of operations only to the extent that deferred tax liabilities are available to offset the benefit. There can be no assurance that the tax net operating loss carryforwards will be utilized or that they will not be subject to limitations See "The Merger and Related Transactions -- Net Operating Loss Carryforwards."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295"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99</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SUPPLEMENTAL INFORMATION RELATING</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TO PRO FORMA STATEMENT OF OPERATIONS</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FOR THE YEAR ENDED DECEMBER 31, 1994</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combined historical unaudited pro forma condensed financial information for the year ended December 31, 1994 included elsewhere herein gives effect to certain pro forma adjustments as described in the notes to such information. In evaluating the Merger, the respective managements of USA Waste and Chambers considered the impact of certain cost and expense savings and other economic benefits that are expected to be realized as a result of the Merger. These adjustments do not include additional cost reductions relating to landfill and collection operations or additional revenues that may result from volume or price increases.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Application of the supplemental adjustments described below to the combined historical unaudited pro forma statement of operations for the year ended December 31, 1994 would result in the following (in thousands, except per share amount):</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$434,224</w:t>
            </w:r>
          </w:p>
        </w:tc>
      </w:tr>
      <w:tr>
        <w:trPr>
          <w:trHeight w:val="182"/>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w w:val="99"/>
              </w:rPr>
              <w:t>Income from operations....................................................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69,097</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6000" w:type="dxa"/>
            <w:vAlign w:val="bottom"/>
          </w:tcPr>
          <w:p>
            <w:pPr>
              <w:ind w:left="60"/>
              <w:spacing w:after="0"/>
              <w:rPr>
                <w:sz w:val="20"/>
                <w:szCs w:val="20"/>
                <w:color w:val="auto"/>
              </w:rPr>
            </w:pPr>
            <w:r>
              <w:rPr>
                <w:rFonts w:ascii="Courier New" w:cs="Courier New" w:eastAsia="Courier New" w:hAnsi="Courier New"/>
                <w:sz w:val="16"/>
                <w:szCs w:val="16"/>
                <w:color w:val="auto"/>
                <w:w w:val="99"/>
              </w:rPr>
              <w:t>continuing operations.........................................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36,976</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6000" w:type="dxa"/>
            <w:vAlign w:val="bottom"/>
          </w:tcPr>
          <w:p>
            <w:pPr>
              <w:ind w:left="60"/>
              <w:spacing w:after="0"/>
              <w:rPr>
                <w:sz w:val="20"/>
                <w:szCs w:val="20"/>
                <w:color w:val="auto"/>
              </w:rPr>
            </w:pPr>
            <w:r>
              <w:rPr>
                <w:rFonts w:ascii="Courier New" w:cs="Courier New" w:eastAsia="Courier New" w:hAnsi="Courier New"/>
                <w:sz w:val="16"/>
                <w:szCs w:val="16"/>
                <w:color w:val="auto"/>
                <w:w w:val="99"/>
              </w:rPr>
              <w:t>continuing operations per common share........................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0.73</w:t>
            </w:r>
          </w:p>
        </w:tc>
      </w:tr>
    </w:tbl>
    <w:p>
      <w:pPr>
        <w:spacing w:after="0" w:line="36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adjustments to the pro forma financial information give effect to the following:</w:t>
      </w:r>
    </w:p>
    <w:p>
      <w:pPr>
        <w:spacing w:after="0" w:line="188" w:lineRule="exact"/>
        <w:rPr>
          <w:sz w:val="20"/>
          <w:szCs w:val="20"/>
          <w:color w:val="auto"/>
        </w:rPr>
      </w:pPr>
    </w:p>
    <w:p>
      <w:pPr>
        <w:ind w:left="560" w:right="2759" w:hanging="90"/>
        <w:spacing w:after="0" w:line="239" w:lineRule="auto"/>
        <w:tabs>
          <w:tab w:leader="none" w:pos="65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cost savings and efficiencies of approximately $16 million that may have been achieved if the combination of USA Waste and Chambers had occurred as of January 1, 1994. These cost savings and efficiencies are directly attributable or related to the Merger and are expected to have a continuing impact on the combined company.</w:t>
      </w:r>
    </w:p>
    <w:p>
      <w:pPr>
        <w:spacing w:after="0" w:line="188" w:lineRule="exact"/>
        <w:rPr>
          <w:rFonts w:ascii="Courier New" w:cs="Courier New" w:eastAsia="Courier New" w:hAnsi="Courier New"/>
          <w:sz w:val="16"/>
          <w:szCs w:val="16"/>
          <w:color w:val="auto"/>
        </w:rPr>
      </w:pPr>
    </w:p>
    <w:p>
      <w:pPr>
        <w:ind w:left="560" w:right="2659" w:hanging="90"/>
        <w:spacing w:after="0" w:line="237" w:lineRule="auto"/>
        <w:tabs>
          <w:tab w:leader="none" w:pos="65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shareholder litigation settlement and other litigation related costs of approximately $79.4 million.</w:t>
      </w:r>
    </w:p>
    <w:p>
      <w:pPr>
        <w:spacing w:after="0" w:line="369" w:lineRule="exact"/>
        <w:rPr>
          <w:rFonts w:ascii="Courier New" w:cs="Courier New" w:eastAsia="Courier New" w:hAnsi="Courier New"/>
          <w:sz w:val="16"/>
          <w:szCs w:val="16"/>
          <w:color w:val="auto"/>
        </w:rPr>
      </w:pPr>
    </w:p>
    <w:p>
      <w:pPr>
        <w:ind w:left="560" w:right="3039" w:hanging="90"/>
        <w:spacing w:after="0" w:line="267" w:lineRule="auto"/>
        <w:tabs>
          <w:tab w:leader="none" w:pos="65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approximately $3.8 million in costs incurred in connection with the merger of USA Waste and Envirofil on May 27, 1994.</w:t>
      </w:r>
    </w:p>
    <w:p>
      <w:pPr>
        <w:spacing w:after="0" w:line="349" w:lineRule="exact"/>
        <w:rPr>
          <w:rFonts w:ascii="Courier New" w:cs="Courier New" w:eastAsia="Courier New" w:hAnsi="Courier New"/>
          <w:sz w:val="15"/>
          <w:szCs w:val="15"/>
          <w:color w:val="auto"/>
        </w:rPr>
      </w:pPr>
    </w:p>
    <w:p>
      <w:pPr>
        <w:ind w:left="560" w:right="2659" w:hanging="90"/>
        <w:spacing w:after="0" w:line="239" w:lineRule="auto"/>
        <w:tabs>
          <w:tab w:leader="none" w:pos="65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(i) interest expense as a result of the assumed reduction in long-term debt offset by additional interest expense on the $79.4 million shareholder litigation settlement and other litigation related costs, (ii) interest income as a result of using available cash and investment balances to reduce outstanding debt, and (iii) letter of credit fees and interest costs due to the enhanced credit terms that are expected to be available to the combined company.</w:t>
      </w:r>
    </w:p>
    <w:p>
      <w:pPr>
        <w:spacing w:after="0" w:line="191" w:lineRule="exact"/>
        <w:rPr>
          <w:rFonts w:ascii="Courier New" w:cs="Courier New" w:eastAsia="Courier New" w:hAnsi="Courier New"/>
          <w:sz w:val="16"/>
          <w:szCs w:val="16"/>
          <w:color w:val="auto"/>
        </w:rPr>
      </w:pPr>
    </w:p>
    <w:p>
      <w:pPr>
        <w:ind w:left="560" w:right="2659" w:hanging="90"/>
        <w:spacing w:after="0" w:line="237" w:lineRule="auto"/>
        <w:tabs>
          <w:tab w:leader="none" w:pos="65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in Chambers' operations of approximately $12.7 million.</w:t>
      </w:r>
    </w:p>
    <w:p>
      <w:pPr>
        <w:spacing w:after="0" w:line="187" w:lineRule="exact"/>
        <w:rPr>
          <w:rFonts w:ascii="Courier New" w:cs="Courier New" w:eastAsia="Courier New" w:hAnsi="Courier New"/>
          <w:sz w:val="16"/>
          <w:szCs w:val="16"/>
          <w:color w:val="auto"/>
        </w:rPr>
      </w:pPr>
    </w:p>
    <w:p>
      <w:pPr>
        <w:ind w:left="560" w:right="2839" w:hanging="90"/>
        <w:spacing w:after="0" w:line="267" w:lineRule="auto"/>
        <w:tabs>
          <w:tab w:leader="none" w:pos="65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the provision for income taxes to reflect the benefit from expected utilization of the Chambers' net operating loss carryforwards.</w:t>
      </w:r>
    </w:p>
    <w:p>
      <w:pPr>
        <w:spacing w:after="0" w:line="1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of January 1, 1995, USA Waste changed the useful life of the excess of cost over net assets of acquired businesses from 25 years to 40 years to more appropriately reflect the estimated periods during which the benefit of the assets will be realized. This change in accounting estimate is expected to have the effect of reducing amortization expense by approximately $1,350,000 in 1995 on a combined basis.</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295" w:right="1440" w:bottom="1440" w:gutter="0" w:footer="0" w:header="0"/>
        </w:sectPr>
      </w:pPr>
    </w:p>
    <w:bookmarkStart w:id="102" w:name="page103"/>
    <w:bookmarkEnd w:id="102"/>
    <w:p>
      <w:pPr>
        <w:ind w:left="283"/>
        <w:spacing w:after="0"/>
        <w:rPr>
          <w:sz w:val="20"/>
          <w:szCs w:val="20"/>
          <w:color w:val="auto"/>
        </w:rPr>
      </w:pPr>
      <w:r>
        <w:rPr>
          <w:rFonts w:ascii="Courier New" w:cs="Courier New" w:eastAsia="Courier New" w:hAnsi="Courier New"/>
          <w:sz w:val="16"/>
          <w:szCs w:val="16"/>
          <w:color w:val="auto"/>
        </w:rPr>
        <w:t>100</w:t>
      </w:r>
    </w:p>
    <w:p>
      <w:pPr>
        <w:spacing w:after="0" w:line="183" w:lineRule="exact"/>
        <w:rPr>
          <w:sz w:val="20"/>
          <w:szCs w:val="20"/>
          <w:color w:val="auto"/>
        </w:rPr>
      </w:pPr>
    </w:p>
    <w:p>
      <w:pPr>
        <w:ind w:left="1523"/>
        <w:spacing w:after="0"/>
        <w:rPr>
          <w:sz w:val="20"/>
          <w:szCs w:val="20"/>
          <w:color w:val="auto"/>
        </w:rPr>
      </w:pPr>
      <w:r>
        <w:rPr>
          <w:rFonts w:ascii="Courier New" w:cs="Courier New" w:eastAsia="Courier New" w:hAnsi="Courier New"/>
          <w:sz w:val="16"/>
          <w:szCs w:val="16"/>
          <w:color w:val="auto"/>
        </w:rPr>
        <w:t>PRINCIPAL STOCKHOLDERS OF USA WASTE AND CHAMBERS</w:t>
      </w:r>
    </w:p>
    <w:p>
      <w:pPr>
        <w:spacing w:after="0" w:line="186"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following table sets forth information with respect to the beneficial ownership of USA Waste Common Stock as of the Record Date by each owner of more than 5% of the outstanding USA Waste Common Stock, and the percentage of USA Waste Common Stock after consummation of the Merger.</w:t>
      </w:r>
    </w:p>
    <w:p>
      <w:pPr>
        <w:spacing w:after="0" w:line="200" w:lineRule="exact"/>
        <w:rPr>
          <w:sz w:val="20"/>
          <w:szCs w:val="20"/>
          <w:color w:val="auto"/>
        </w:rPr>
      </w:pPr>
    </w:p>
    <w:p>
      <w:pPr>
        <w:spacing w:after="0" w:line="347" w:lineRule="exact"/>
        <w:rPr>
          <w:sz w:val="20"/>
          <w:szCs w:val="20"/>
          <w:color w:val="auto"/>
        </w:rPr>
      </w:pPr>
    </w:p>
    <w:tbl>
      <w:tblPr>
        <w:tblLayout w:type="fixed"/>
        <w:tblInd w:w="763" w:type="dxa"/>
        <w:tblCellMar>
          <w:top w:w="0" w:type="dxa"/>
          <w:left w:w="0" w:type="dxa"/>
          <w:bottom w:w="0" w:type="dxa"/>
          <w:right w:w="0" w:type="dxa"/>
        </w:tblCellMar>
      </w:tblPr>
      <w:tr>
        <w:trPr>
          <w:trHeight w:val="181"/>
        </w:trPr>
        <w:tc>
          <w:tcPr>
            <w:tcW w:w="3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PERCENTAGE OF CLASS</w:t>
            </w:r>
          </w:p>
        </w:tc>
      </w:tr>
      <w:tr>
        <w:trPr>
          <w:trHeight w:val="182"/>
        </w:trPr>
        <w:tc>
          <w:tcPr>
            <w:tcW w:w="358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AMOUNT OF</w:t>
            </w:r>
          </w:p>
        </w:tc>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58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BENEFICIAL</w:t>
            </w:r>
          </w:p>
        </w:tc>
        <w:tc>
          <w:tcPr>
            <w:tcW w:w="1800" w:type="dxa"/>
            <w:vAlign w:val="bottom"/>
          </w:tcPr>
          <w:p>
            <w:pPr>
              <w:jc w:val="center"/>
              <w:ind w:right="381"/>
              <w:spacing w:after="0"/>
              <w:rPr>
                <w:sz w:val="20"/>
                <w:szCs w:val="20"/>
                <w:color w:val="auto"/>
              </w:rPr>
            </w:pPr>
            <w:r>
              <w:rPr>
                <w:rFonts w:ascii="Courier New" w:cs="Courier New" w:eastAsia="Courier New" w:hAnsi="Courier New"/>
                <w:sz w:val="16"/>
                <w:szCs w:val="16"/>
                <w:color w:val="auto"/>
                <w:w w:val="97"/>
              </w:rPr>
              <w:t>BEFORE THE</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AFTER THE</w:t>
            </w:r>
          </w:p>
        </w:tc>
      </w:tr>
      <w:tr>
        <w:trPr>
          <w:trHeight w:val="182"/>
        </w:trPr>
        <w:tc>
          <w:tcPr>
            <w:tcW w:w="3580" w:type="dxa"/>
            <w:vAlign w:val="bottom"/>
          </w:tcPr>
          <w:p>
            <w:pPr>
              <w:ind w:left="940"/>
              <w:spacing w:after="0"/>
              <w:rPr>
                <w:sz w:val="20"/>
                <w:szCs w:val="20"/>
                <w:color w:val="auto"/>
              </w:rPr>
            </w:pPr>
            <w:r>
              <w:rPr>
                <w:rFonts w:ascii="Courier New" w:cs="Courier New" w:eastAsia="Courier New" w:hAnsi="Courier New"/>
                <w:sz w:val="16"/>
                <w:szCs w:val="16"/>
                <w:color w:val="auto"/>
              </w:rPr>
              <w:t>NAME AND ADDRESS</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OWNERSHIP</w:t>
            </w:r>
          </w:p>
        </w:tc>
        <w:tc>
          <w:tcPr>
            <w:tcW w:w="1800" w:type="dxa"/>
            <w:vAlign w:val="bottom"/>
          </w:tcPr>
          <w:p>
            <w:pPr>
              <w:jc w:val="center"/>
              <w:ind w:right="381"/>
              <w:spacing w:after="0"/>
              <w:rPr>
                <w:sz w:val="20"/>
                <w:szCs w:val="20"/>
                <w:color w:val="auto"/>
              </w:rPr>
            </w:pPr>
            <w:r>
              <w:rPr>
                <w:rFonts w:ascii="Courier New" w:cs="Courier New" w:eastAsia="Courier New" w:hAnsi="Courier New"/>
                <w:sz w:val="16"/>
                <w:szCs w:val="16"/>
                <w:color w:val="auto"/>
              </w:rPr>
              <w:t>MERGER</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MERGER(1)</w:t>
            </w:r>
          </w:p>
        </w:tc>
      </w:tr>
      <w:tr>
        <w:trPr>
          <w:trHeight w:val="182"/>
        </w:trPr>
        <w:tc>
          <w:tcPr>
            <w:tcW w:w="35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center"/>
              <w:ind w:right="381"/>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580" w:type="dxa"/>
            <w:vAlign w:val="bottom"/>
          </w:tcPr>
          <w:p>
            <w:pPr>
              <w:spacing w:after="0"/>
              <w:rPr>
                <w:sz w:val="20"/>
                <w:szCs w:val="20"/>
                <w:color w:val="auto"/>
              </w:rPr>
            </w:pPr>
            <w:r>
              <w:rPr>
                <w:rFonts w:ascii="Courier New" w:cs="Courier New" w:eastAsia="Courier New" w:hAnsi="Courier New"/>
                <w:sz w:val="16"/>
                <w:szCs w:val="16"/>
                <w:color w:val="auto"/>
              </w:rPr>
              <w:t>Robert F. Smith......................</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2,845,107(2)</w:t>
            </w:r>
          </w:p>
        </w:tc>
        <w:tc>
          <w:tcPr>
            <w:tcW w:w="18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12.2%</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w:t>
            </w: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31725 North Route 83</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Grayslake, Illinois 62030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2,129,027(3)</w:t>
            </w:r>
          </w:p>
        </w:tc>
        <w:tc>
          <w:tcPr>
            <w:tcW w:w="18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9.1%</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w:t>
            </w: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5000 Quorum Drive, Suite 300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Dallas, Texas 75240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1,301,614(4)</w:t>
            </w:r>
          </w:p>
        </w:tc>
        <w:tc>
          <w:tcPr>
            <w:tcW w:w="18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5.6%</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w:t>
            </w: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500 Quorum Drive, Suite 300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Dallas, Texas 75240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759" w:hanging="463"/>
        <w:spacing w:after="0" w:line="238" w:lineRule="auto"/>
        <w:tabs>
          <w:tab w:leader="none" w:pos="46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Merger, assuming no change occurs in shares owned as of the indicated date and that 50,796,281 shares of USA Waste Common Stock are outstanding on the Effective Time.</w:t>
      </w:r>
    </w:p>
    <w:p>
      <w:pPr>
        <w:spacing w:after="0" w:line="188" w:lineRule="exact"/>
        <w:rPr>
          <w:rFonts w:ascii="Courier New" w:cs="Courier New" w:eastAsia="Courier New" w:hAnsi="Courier New"/>
          <w:sz w:val="16"/>
          <w:szCs w:val="16"/>
          <w:color w:val="auto"/>
        </w:rPr>
      </w:pPr>
    </w:p>
    <w:p>
      <w:pPr>
        <w:jc w:val="both"/>
        <w:ind w:left="463" w:right="2839" w:hanging="463"/>
        <w:spacing w:after="0" w:line="238" w:lineRule="auto"/>
        <w:tabs>
          <w:tab w:leader="none" w:pos="46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338,500 shares of USA Waste Common Stock that may be acquired by Mr. Smith pursuant to warrants and stock options exercisable currently or within 60 days.</w:t>
      </w:r>
    </w:p>
    <w:p>
      <w:pPr>
        <w:spacing w:after="0" w:line="6" w:lineRule="exact"/>
        <w:rPr>
          <w:rFonts w:ascii="Courier New" w:cs="Courier New" w:eastAsia="Courier New" w:hAnsi="Courier New"/>
          <w:sz w:val="16"/>
          <w:szCs w:val="16"/>
          <w:color w:val="auto"/>
        </w:rPr>
      </w:pPr>
    </w:p>
    <w:p>
      <w:pPr>
        <w:ind w:left="463" w:right="2759" w:hanging="463"/>
        <w:spacing w:after="0" w:line="239" w:lineRule="auto"/>
        <w:tabs>
          <w:tab w:leader="none" w:pos="46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505,000 shares of USA Waste Common Stock that may be acquired by Mr. Moorehead pursuant to warrants and stock options exercisable currently or within 60 days, 122,974 shares owned by Mr. Moorehead's spouse and children, and an aggregate of 3,394 shares issuable upon conversion of convertible subordinated debentures owned by Mr. Moorehead's spouse and children.</w:t>
      </w:r>
    </w:p>
    <w:p>
      <w:pPr>
        <w:spacing w:after="0" w:line="8" w:lineRule="exact"/>
        <w:rPr>
          <w:rFonts w:ascii="Courier New" w:cs="Courier New" w:eastAsia="Courier New" w:hAnsi="Courier New"/>
          <w:sz w:val="16"/>
          <w:szCs w:val="16"/>
          <w:color w:val="auto"/>
        </w:rPr>
      </w:pPr>
    </w:p>
    <w:p>
      <w:pPr>
        <w:ind w:left="463" w:right="2659" w:hanging="463"/>
        <w:spacing w:after="0" w:line="238" w:lineRule="auto"/>
        <w:tabs>
          <w:tab w:leader="none" w:pos="46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241,500 shares of USA Waste Common Stock that may be acquired by Mr. Drury pursuant to warrants exercisable currently or within 60 days, and 5,176 shares owned by Mr. Drury's spouse.</w:t>
      </w:r>
    </w:p>
    <w:p>
      <w:pPr>
        <w:spacing w:after="0" w:line="188"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following table sets forth information with respect to the beneficial ownership of Chambers Common Stock and Chambers Class A Common Stock as of December 31, 1994, by each owner of more than 5% of the outstanding shares of each said class and the percentage of USA Waste Common Stock after consummation of the Merger.</w:t>
      </w:r>
    </w:p>
    <w:p>
      <w:pPr>
        <w:spacing w:after="0" w:line="200" w:lineRule="exact"/>
        <w:rPr>
          <w:sz w:val="20"/>
          <w:szCs w:val="20"/>
          <w:color w:val="auto"/>
        </w:rPr>
      </w:pPr>
    </w:p>
    <w:p>
      <w:pPr>
        <w:spacing w:after="0" w:line="349" w:lineRule="exact"/>
        <w:rPr>
          <w:sz w:val="20"/>
          <w:szCs w:val="20"/>
          <w:color w:val="auto"/>
        </w:rPr>
      </w:pPr>
    </w:p>
    <w:p>
      <w:pPr>
        <w:ind w:left="3783"/>
        <w:spacing w:after="0"/>
        <w:tabs>
          <w:tab w:leader="none" w:pos="6783" w:val="left"/>
        </w:tabs>
        <w:rPr>
          <w:sz w:val="20"/>
          <w:szCs w:val="20"/>
          <w:color w:val="auto"/>
        </w:rPr>
      </w:pPr>
      <w:r>
        <w:rPr>
          <w:rFonts w:ascii="Courier New" w:cs="Courier New" w:eastAsia="Courier New" w:hAnsi="Courier New"/>
          <w:sz w:val="16"/>
          <w:szCs w:val="16"/>
          <w:color w:val="auto"/>
        </w:rPr>
        <w:t>TITLE OF CLASS AND</w:t>
      </w:r>
      <w:r>
        <w:rPr>
          <w:sz w:val="20"/>
          <w:szCs w:val="20"/>
          <w:color w:val="auto"/>
        </w:rPr>
        <w:tab/>
      </w:r>
      <w:r>
        <w:rPr>
          <w:rFonts w:ascii="Courier New" w:cs="Courier New" w:eastAsia="Courier New" w:hAnsi="Courier New"/>
          <w:sz w:val="15"/>
          <w:szCs w:val="15"/>
          <w:color w:val="auto"/>
        </w:rPr>
        <w:t>PERCENTAGE OF CLASS</w:t>
      </w:r>
    </w:p>
    <w:p>
      <w:pPr>
        <w:spacing w:after="0" w:line="1" w:lineRule="exact"/>
        <w:rPr>
          <w:sz w:val="20"/>
          <w:szCs w:val="20"/>
          <w:color w:val="auto"/>
        </w:rPr>
      </w:pPr>
    </w:p>
    <w:p>
      <w:pPr>
        <w:ind w:left="4343"/>
        <w:spacing w:after="0"/>
        <w:tabs>
          <w:tab w:leader="none" w:pos="6223" w:val="left"/>
        </w:tabs>
        <w:rPr>
          <w:sz w:val="20"/>
          <w:szCs w:val="20"/>
          <w:color w:val="auto"/>
        </w:rPr>
      </w:pP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left="3603"/>
        <w:spacing w:after="0"/>
        <w:tabs>
          <w:tab w:leader="none" w:pos="8303" w:val="left"/>
        </w:tabs>
        <w:rPr>
          <w:sz w:val="20"/>
          <w:szCs w:val="20"/>
          <w:color w:val="auto"/>
        </w:rPr>
      </w:pPr>
      <w:r>
        <w:rPr>
          <w:rFonts w:ascii="Courier New" w:cs="Courier New" w:eastAsia="Courier New" w:hAnsi="Courier New"/>
          <w:sz w:val="16"/>
          <w:szCs w:val="16"/>
          <w:color w:val="auto"/>
        </w:rPr>
        <w:t>OF BENEFICIAL OWNERSHIP</w:t>
      </w:r>
      <w:r>
        <w:rPr>
          <w:sz w:val="20"/>
          <w:szCs w:val="20"/>
          <w:color w:val="auto"/>
        </w:rPr>
        <w:tab/>
      </w:r>
      <w:r>
        <w:rPr>
          <w:rFonts w:ascii="Courier New" w:cs="Courier New" w:eastAsia="Courier New" w:hAnsi="Courier New"/>
          <w:sz w:val="15"/>
          <w:szCs w:val="15"/>
          <w:color w:val="auto"/>
        </w:rPr>
        <w:t>USA WASTE</w:t>
      </w:r>
    </w:p>
    <w:p>
      <w:pPr>
        <w:spacing w:after="0" w:line="1" w:lineRule="exact"/>
        <w:rPr>
          <w:sz w:val="20"/>
          <w:szCs w:val="20"/>
          <w:color w:val="auto"/>
        </w:rPr>
      </w:pPr>
    </w:p>
    <w:p>
      <w:pPr>
        <w:ind w:left="3603"/>
        <w:spacing w:after="0"/>
        <w:tabs>
          <w:tab w:leader="none" w:pos="6223" w:val="left"/>
          <w:tab w:leader="none" w:pos="848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CLASS</w:t>
      </w:r>
      <w:r>
        <w:rPr>
          <w:sz w:val="20"/>
          <w:szCs w:val="20"/>
          <w:color w:val="auto"/>
        </w:rPr>
        <w:tab/>
      </w:r>
      <w:r>
        <w:rPr>
          <w:rFonts w:ascii="Courier New" w:cs="Courier New" w:eastAsia="Courier New" w:hAnsi="Courier New"/>
          <w:sz w:val="16"/>
          <w:szCs w:val="16"/>
          <w:color w:val="auto"/>
        </w:rPr>
        <w:t>COMMON</w:t>
      </w:r>
    </w:p>
    <w:p>
      <w:pPr>
        <w:spacing w:after="0" w:line="1" w:lineRule="exact"/>
        <w:rPr>
          <w:sz w:val="20"/>
          <w:szCs w:val="20"/>
          <w:color w:val="auto"/>
        </w:rPr>
      </w:pPr>
    </w:p>
    <w:p>
      <w:pPr>
        <w:ind w:left="3683"/>
        <w:spacing w:after="0"/>
        <w:tabs>
          <w:tab w:leader="none" w:pos="6403" w:val="left"/>
          <w:tab w:leader="none" w:pos="8483" w:val="left"/>
        </w:tabs>
        <w:rPr>
          <w:sz w:val="20"/>
          <w:szCs w:val="20"/>
          <w:color w:val="auto"/>
        </w:rPr>
      </w:pPr>
      <w:r>
        <w:rPr>
          <w:rFonts w:ascii="Courier New" w:cs="Courier New" w:eastAsia="Courier New" w:hAnsi="Courier New"/>
          <w:sz w:val="16"/>
          <w:szCs w:val="16"/>
          <w:color w:val="auto"/>
        </w:rPr>
        <w:t>CLASS A</w:t>
      </w:r>
      <w:r>
        <w:rPr>
          <w:sz w:val="20"/>
          <w:szCs w:val="20"/>
          <w:color w:val="auto"/>
        </w:rPr>
        <w:tab/>
      </w: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STOCK</w:t>
      </w:r>
    </w:p>
    <w:p>
      <w:pPr>
        <w:spacing w:after="0" w:line="1" w:lineRule="exact"/>
        <w:rPr>
          <w:sz w:val="20"/>
          <w:szCs w:val="20"/>
          <w:color w:val="auto"/>
        </w:rPr>
      </w:pPr>
    </w:p>
    <w:p>
      <w:pPr>
        <w:ind w:left="763"/>
        <w:spacing w:after="0"/>
        <w:tabs>
          <w:tab w:leader="none" w:pos="3663" w:val="left"/>
          <w:tab w:leader="none" w:pos="4983" w:val="left"/>
          <w:tab w:leader="none" w:pos="6223" w:val="left"/>
          <w:tab w:leader="none" w:pos="7263" w:val="left"/>
          <w:tab w:leader="none" w:pos="8303" w:val="left"/>
        </w:tabs>
        <w:rPr>
          <w:sz w:val="20"/>
          <w:szCs w:val="20"/>
          <w:color w:val="auto"/>
        </w:rPr>
      </w:pPr>
      <w:r>
        <w:rPr>
          <w:rFonts w:ascii="Courier New" w:cs="Courier New" w:eastAsia="Courier New" w:hAnsi="Courier New"/>
          <w:sz w:val="16"/>
          <w:szCs w:val="16"/>
          <w:color w:val="auto"/>
        </w:rPr>
        <w:t>NAME AND ADDRESS OF</w:t>
      </w:r>
      <w:r>
        <w:rPr>
          <w:sz w:val="20"/>
          <w:szCs w:val="20"/>
          <w:color w:val="auto"/>
        </w:rPr>
        <w:tab/>
      </w: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5"/>
          <w:szCs w:val="15"/>
          <w:color w:val="auto"/>
        </w:rPr>
        <w:t>AFTER THE</w:t>
      </w:r>
    </w:p>
    <w:p>
      <w:pPr>
        <w:spacing w:after="0" w:line="1" w:lineRule="exact"/>
        <w:rPr>
          <w:sz w:val="20"/>
          <w:szCs w:val="20"/>
          <w:color w:val="auto"/>
        </w:rPr>
      </w:pPr>
    </w:p>
    <w:p>
      <w:pPr>
        <w:ind w:left="943"/>
        <w:spacing w:after="0"/>
        <w:tabs>
          <w:tab w:leader="none" w:pos="3763" w:val="left"/>
          <w:tab w:leader="none" w:pos="5083" w:val="left"/>
          <w:tab w:leader="none" w:pos="6223" w:val="left"/>
          <w:tab w:leader="none" w:pos="7263" w:val="left"/>
          <w:tab w:leader="none" w:pos="8303" w:val="left"/>
        </w:tabs>
        <w:rPr>
          <w:sz w:val="20"/>
          <w:szCs w:val="20"/>
          <w:color w:val="auto"/>
        </w:rPr>
      </w:pPr>
      <w:r>
        <w:rPr>
          <w:rFonts w:ascii="Courier New" w:cs="Courier New" w:eastAsia="Courier New" w:hAnsi="Courier New"/>
          <w:sz w:val="16"/>
          <w:szCs w:val="16"/>
          <w:color w:val="auto"/>
        </w:rPr>
        <w:t>BENEFICIAL OWNER</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MERGER(1)</w:t>
      </w:r>
    </w:p>
    <w:p>
      <w:pPr>
        <w:spacing w:after="0" w:line="1" w:lineRule="exact"/>
        <w:rPr>
          <w:sz w:val="20"/>
          <w:szCs w:val="20"/>
          <w:color w:val="auto"/>
        </w:rPr>
      </w:pPr>
    </w:p>
    <w:p>
      <w:pPr>
        <w:ind w:left="3"/>
        <w:spacing w:after="0"/>
        <w:tabs>
          <w:tab w:leader="none" w:pos="3763" w:val="left"/>
          <w:tab w:leader="none" w:pos="5083" w:val="left"/>
          <w:tab w:leader="none" w:pos="6403" w:val="left"/>
          <w:tab w:leader="none" w:pos="7443" w:val="left"/>
          <w:tab w:leader="none" w:pos="8483" w:val="left"/>
        </w:tabs>
        <w:rPr>
          <w:sz w:val="20"/>
          <w:szCs w:val="20"/>
          <w:color w:val="auto"/>
        </w:rPr>
      </w:pP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ind w:left="3"/>
        <w:spacing w:after="0"/>
        <w:tabs>
          <w:tab w:leader="none" w:pos="3583" w:val="left"/>
          <w:tab w:leader="none" w:pos="4903" w:val="left"/>
          <w:tab w:leader="none" w:pos="6323" w:val="left"/>
          <w:tab w:leader="none" w:pos="7363" w:val="left"/>
          <w:tab w:leader="none" w:pos="8583" w:val="left"/>
        </w:tabs>
        <w:rPr>
          <w:sz w:val="20"/>
          <w:szCs w:val="20"/>
          <w:color w:val="auto"/>
        </w:rPr>
      </w:pPr>
      <w:r>
        <w:rPr>
          <w:rFonts w:ascii="Courier New" w:cs="Courier New" w:eastAsia="Courier New" w:hAnsi="Courier New"/>
          <w:sz w:val="16"/>
          <w:szCs w:val="16"/>
          <w:color w:val="auto"/>
        </w:rPr>
        <w:t>John G. Rangos, Sr..................</w:t>
        <w:tab/>
        <w:t>8,963,120</w:t>
      </w:r>
      <w:r>
        <w:rPr>
          <w:sz w:val="20"/>
          <w:szCs w:val="20"/>
          <w:color w:val="auto"/>
        </w:rPr>
        <w:tab/>
      </w:r>
      <w:r>
        <w:rPr>
          <w:rFonts w:ascii="Courier New" w:cs="Courier New" w:eastAsia="Courier New" w:hAnsi="Courier New"/>
          <w:sz w:val="16"/>
          <w:szCs w:val="16"/>
          <w:color w:val="auto"/>
        </w:rPr>
        <w:t>9,598,120</w:t>
      </w:r>
      <w:r>
        <w:rPr>
          <w:sz w:val="20"/>
          <w:szCs w:val="20"/>
          <w:color w:val="auto"/>
        </w:rPr>
        <w:tab/>
      </w:r>
      <w:r>
        <w:rPr>
          <w:rFonts w:ascii="Courier New" w:cs="Courier New" w:eastAsia="Courier New" w:hAnsi="Courier New"/>
          <w:sz w:val="16"/>
          <w:szCs w:val="16"/>
          <w:color w:val="auto"/>
        </w:rPr>
        <w:t>17.5%</w:t>
      </w:r>
      <w:r>
        <w:rPr>
          <w:sz w:val="20"/>
          <w:szCs w:val="20"/>
          <w:color w:val="auto"/>
        </w:rPr>
        <w:tab/>
      </w:r>
      <w:r>
        <w:rPr>
          <w:rFonts w:ascii="Courier New" w:cs="Courier New" w:eastAsia="Courier New" w:hAnsi="Courier New"/>
          <w:sz w:val="16"/>
          <w:szCs w:val="16"/>
          <w:color w:val="auto"/>
        </w:rPr>
        <w:t>61.6%</w:t>
      </w:r>
      <w:r>
        <w:rPr>
          <w:sz w:val="20"/>
          <w:szCs w:val="20"/>
          <w:color w:val="auto"/>
        </w:rPr>
        <w:tab/>
      </w:r>
      <w:r>
        <w:rPr>
          <w:rFonts w:ascii="Courier New" w:cs="Courier New" w:eastAsia="Courier New" w:hAnsi="Courier New"/>
          <w:sz w:val="16"/>
          <w:szCs w:val="16"/>
          <w:color w:val="auto"/>
        </w:rPr>
        <w:t>15.2%</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Pittsburgh, PA 15235</w:t>
      </w:r>
    </w:p>
    <w:p>
      <w:pPr>
        <w:spacing w:after="0" w:line="1" w:lineRule="exact"/>
        <w:rPr>
          <w:sz w:val="20"/>
          <w:szCs w:val="20"/>
          <w:color w:val="auto"/>
        </w:rPr>
      </w:pPr>
    </w:p>
    <w:p>
      <w:pPr>
        <w:ind w:left="3"/>
        <w:spacing w:after="0"/>
        <w:tabs>
          <w:tab w:leader="none" w:pos="3583" w:val="left"/>
          <w:tab w:leader="none" w:pos="4903" w:val="left"/>
          <w:tab w:leader="none" w:pos="6403" w:val="left"/>
          <w:tab w:leader="none" w:pos="7363" w:val="left"/>
          <w:tab w:leader="none" w:pos="8683" w:val="left"/>
        </w:tabs>
        <w:rPr>
          <w:sz w:val="20"/>
          <w:szCs w:val="20"/>
          <w:color w:val="auto"/>
        </w:rPr>
      </w:pPr>
      <w:r>
        <w:rPr>
          <w:rFonts w:ascii="Courier New" w:cs="Courier New" w:eastAsia="Courier New" w:hAnsi="Courier New"/>
          <w:sz w:val="16"/>
          <w:szCs w:val="16"/>
          <w:color w:val="auto"/>
        </w:rPr>
        <w:t>John G. Rangos, Jr.(2)(3)...........</w:t>
        <w:tab/>
        <w:t>2,237,940</w:t>
      </w:r>
      <w:r>
        <w:rPr>
          <w:sz w:val="20"/>
          <w:szCs w:val="20"/>
          <w:color w:val="auto"/>
        </w:rPr>
        <w:tab/>
      </w:r>
      <w:r>
        <w:rPr>
          <w:rFonts w:ascii="Courier New" w:cs="Courier New" w:eastAsia="Courier New" w:hAnsi="Courier New"/>
          <w:sz w:val="16"/>
          <w:szCs w:val="16"/>
          <w:color w:val="auto"/>
        </w:rPr>
        <w:t>2,646,040</w:t>
      </w:r>
      <w:r>
        <w:rPr>
          <w:sz w:val="20"/>
          <w:szCs w:val="20"/>
          <w:color w:val="auto"/>
        </w:rPr>
        <w:tab/>
      </w: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17.0%</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Pittsburgh, PA 15235</w:t>
      </w:r>
    </w:p>
    <w:p>
      <w:pPr>
        <w:spacing w:after="0" w:line="1" w:lineRule="exact"/>
        <w:rPr>
          <w:sz w:val="20"/>
          <w:szCs w:val="20"/>
          <w:color w:val="auto"/>
        </w:rPr>
      </w:pPr>
    </w:p>
    <w:p>
      <w:pPr>
        <w:ind w:left="3"/>
        <w:spacing w:after="0"/>
        <w:tabs>
          <w:tab w:leader="none" w:pos="3583" w:val="left"/>
          <w:tab w:leader="none" w:pos="4903" w:val="left"/>
          <w:tab w:leader="none" w:pos="6403" w:val="left"/>
          <w:tab w:leader="none" w:pos="7363" w:val="left"/>
          <w:tab w:leader="none" w:pos="8683" w:val="left"/>
        </w:tabs>
        <w:rPr>
          <w:sz w:val="20"/>
          <w:szCs w:val="20"/>
          <w:color w:val="auto"/>
        </w:rPr>
      </w:pPr>
      <w:r>
        <w:rPr>
          <w:rFonts w:ascii="Courier New" w:cs="Courier New" w:eastAsia="Courier New" w:hAnsi="Courier New"/>
          <w:sz w:val="16"/>
          <w:szCs w:val="16"/>
          <w:color w:val="auto"/>
        </w:rPr>
        <w:t>Alexander W. Rangos(2)(3)...........</w:t>
        <w:tab/>
        <w:t>2,148,340</w:t>
      </w:r>
      <w:r>
        <w:rPr>
          <w:sz w:val="20"/>
          <w:szCs w:val="20"/>
          <w:color w:val="auto"/>
        </w:rPr>
        <w:tab/>
      </w:r>
      <w:r>
        <w:rPr>
          <w:rFonts w:ascii="Courier New" w:cs="Courier New" w:eastAsia="Courier New" w:hAnsi="Courier New"/>
          <w:sz w:val="16"/>
          <w:szCs w:val="16"/>
          <w:color w:val="auto"/>
        </w:rPr>
        <w:t>2,666,040</w:t>
      </w:r>
      <w:r>
        <w:rPr>
          <w:sz w:val="20"/>
          <w:szCs w:val="20"/>
          <w:color w:val="auto"/>
        </w:rPr>
        <w:tab/>
      </w: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17.1%</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Pittsburgh, PA 15235</w:t>
      </w:r>
    </w:p>
    <w:p>
      <w:pPr>
        <w:spacing w:after="0" w:line="1" w:lineRule="exact"/>
        <w:rPr>
          <w:sz w:val="20"/>
          <w:szCs w:val="20"/>
          <w:color w:val="auto"/>
        </w:rPr>
      </w:pPr>
    </w:p>
    <w:p>
      <w:pPr>
        <w:ind w:left="3"/>
        <w:spacing w:after="0"/>
        <w:tabs>
          <w:tab w:leader="none" w:pos="3583" w:val="left"/>
          <w:tab w:leader="none" w:pos="5563" w:val="left"/>
          <w:tab w:leader="none" w:pos="6403" w:val="left"/>
          <w:tab w:leader="none" w:pos="7543" w:val="left"/>
          <w:tab w:leader="none" w:pos="8683" w:val="left"/>
        </w:tabs>
        <w:rPr>
          <w:sz w:val="20"/>
          <w:szCs w:val="20"/>
          <w:color w:val="auto"/>
        </w:rPr>
      </w:pPr>
      <w:r>
        <w:rPr>
          <w:rFonts w:ascii="Courier New" w:cs="Courier New" w:eastAsia="Courier New" w:hAnsi="Courier New"/>
          <w:sz w:val="16"/>
          <w:szCs w:val="16"/>
          <w:color w:val="auto"/>
        </w:rPr>
        <w:t>Lindner Fund, Inc.(4)...............</w:t>
        <w:tab/>
        <w:t>4,699,800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7711 Carondelet Avenue</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Suite 700</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St. Louis, MO 63105</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759" w:hanging="463"/>
        <w:spacing w:after="0" w:line="238" w:lineRule="auto"/>
        <w:tabs>
          <w:tab w:leader="none" w:pos="46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Merger, assuming no change occurs in shares owned as of the indicated date and that 50,796,282 shares of USA Waste Common Stock are outstanding on the Effective Time.</w:t>
      </w:r>
    </w:p>
    <w:p>
      <w:pPr>
        <w:sectPr>
          <w:pgSz w:w="11900" w:h="16838" w:orient="portrait"/>
          <w:cols w:equalWidth="0" w:num="1">
            <w:col w:w="10222"/>
          </w:cols>
          <w:pgMar w:left="237" w:top="295" w:right="1440" w:bottom="337" w:gutter="0" w:footer="0" w:header="0"/>
        </w:sectPr>
      </w:pP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22"/>
          </w:cols>
          <w:pgMar w:left="237" w:top="295" w:right="1440" w:bottom="337" w:gutter="0" w:footer="0" w:header="0"/>
          <w:type w:val="continuous"/>
        </w:sectPr>
      </w:pPr>
    </w:p>
    <w:bookmarkStart w:id="103" w:name="page104"/>
    <w:bookmarkEnd w:id="103"/>
    <w:p>
      <w:pPr>
        <w:ind w:left="283"/>
        <w:spacing w:after="0"/>
        <w:rPr>
          <w:sz w:val="20"/>
          <w:szCs w:val="20"/>
          <w:color w:val="auto"/>
        </w:rPr>
      </w:pPr>
      <w:r>
        <w:rPr>
          <w:rFonts w:ascii="Courier New" w:cs="Courier New" w:eastAsia="Courier New" w:hAnsi="Courier New"/>
          <w:sz w:val="16"/>
          <w:szCs w:val="16"/>
          <w:color w:val="auto"/>
        </w:rPr>
        <w:t>101</w:t>
      </w:r>
    </w:p>
    <w:p>
      <w:pPr>
        <w:spacing w:after="0" w:line="186" w:lineRule="exact"/>
        <w:rPr>
          <w:sz w:val="20"/>
          <w:szCs w:val="20"/>
          <w:color w:val="auto"/>
        </w:rPr>
      </w:pPr>
    </w:p>
    <w:p>
      <w:pPr>
        <w:ind w:left="463" w:right="2659" w:hanging="463"/>
        <w:spacing w:after="0"/>
        <w:tabs>
          <w:tab w:leader="none" w:pos="46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and percentages shown include the registered holdings of such person and, in addition, 1,452,000 shares of each class beneficially owned as a result of ownership of stock of John Rangos Development Corporation, Inc., the sole stockholders of which are John G. Rangos, Jr. and Alexander W. Rangos, individually and as trustees for Jenica A. Rangos, daughter of John G. Rangos, Sr. As a result, for both Chambers Common Stock and Chambers Class A Common Stock, the same 1,452,000 shares are included above for each of John G. Rangos, Jr. and Alexander W. Rangos.</w:t>
      </w:r>
    </w:p>
    <w:p>
      <w:pPr>
        <w:spacing w:after="0" w:line="5" w:lineRule="exact"/>
        <w:rPr>
          <w:rFonts w:ascii="Courier New" w:cs="Courier New" w:eastAsia="Courier New" w:hAnsi="Courier New"/>
          <w:sz w:val="16"/>
          <w:szCs w:val="16"/>
          <w:color w:val="auto"/>
        </w:rPr>
      </w:pPr>
    </w:p>
    <w:p>
      <w:pPr>
        <w:ind w:left="463" w:right="3039" w:hanging="463"/>
        <w:spacing w:after="0" w:line="238" w:lineRule="auto"/>
        <w:tabs>
          <w:tab w:leader="none" w:pos="46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107,000 shares of Class A Common Stock that may be acquired by each of John G. Rangos, Jr. and Alexander W. Rangos pursuant to stock options exercisable currently or within 60 days of this report.</w:t>
      </w:r>
    </w:p>
    <w:p>
      <w:pPr>
        <w:spacing w:after="0" w:line="6" w:lineRule="exact"/>
        <w:rPr>
          <w:rFonts w:ascii="Courier New" w:cs="Courier New" w:eastAsia="Courier New" w:hAnsi="Courier New"/>
          <w:sz w:val="16"/>
          <w:szCs w:val="16"/>
          <w:color w:val="auto"/>
        </w:rPr>
      </w:pPr>
    </w:p>
    <w:p>
      <w:pPr>
        <w:ind w:left="463" w:right="3039" w:hanging="463"/>
        <w:spacing w:after="0" w:line="237" w:lineRule="auto"/>
        <w:tabs>
          <w:tab w:leader="none" w:pos="46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upon a report on Schedule 13G received by Chambers on February 3, 1995. Lindner Fund, Inc. is an investment company.</w:t>
      </w:r>
    </w:p>
    <w:p>
      <w:pPr>
        <w:spacing w:after="0" w:line="188"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As of the date of this Joint Proxy Statement and Prospectus, 4,817,167 shares of USA Waste Common Stock are eligible for sale pursuant to two effective shelf registration statements covering shares held by seven shareholders of USA Waste, including 2,531,607 shares of USA Waste Common Stock held by Robert F.</w:t>
      </w:r>
    </w:p>
    <w:p>
      <w:pPr>
        <w:spacing w:after="0" w:line="3" w:lineRule="exact"/>
        <w:rPr>
          <w:sz w:val="20"/>
          <w:szCs w:val="20"/>
          <w:color w:val="auto"/>
        </w:rPr>
      </w:pPr>
    </w:p>
    <w:p>
      <w:pPr>
        <w:jc w:val="both"/>
        <w:ind w:left="3" w:right="2659"/>
        <w:spacing w:after="0" w:line="238" w:lineRule="auto"/>
        <w:rPr>
          <w:sz w:val="20"/>
          <w:szCs w:val="20"/>
          <w:color w:val="auto"/>
        </w:rPr>
      </w:pPr>
      <w:r>
        <w:rPr>
          <w:rFonts w:ascii="Courier New" w:cs="Courier New" w:eastAsia="Courier New" w:hAnsi="Courier New"/>
          <w:sz w:val="16"/>
          <w:szCs w:val="16"/>
          <w:color w:val="auto"/>
        </w:rPr>
        <w:t>Smith, a principal shareholder. Future sales of substantial amounts of USA Waste Common Stock in the public market could adversely affect market prices from time to time.</w:t>
      </w:r>
    </w:p>
    <w:p>
      <w:pPr>
        <w:spacing w:after="0" w:line="184"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MARKET PRICE DATA</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MARKET INFORMATION</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USA Waste Common Stock is traded on the NYSE under the symbol "UW." Prior to July 20, 1993, USA Waste Common Stock was quoted on Nasdaq. Chambers Common Stock and Chambers Class A Common Stock are traded on the AMEX under the symbols "CDVB" and "CDVA," respectively. The following table sets forth the range of high and low closing sale prices for the USA Waste Common Stock, as reported on the NYSE, and the Chambers Common Stock and Chambers Class A Common Stock, as reported on the AMEX. For periods prior to July 20, 1993, prices indicated for USA Waste Common Stock reflect high and low sales prices as quoted on the Nasdaq.</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CHAMBERS</w:t>
            </w:r>
          </w:p>
        </w:tc>
        <w:tc>
          <w:tcPr>
            <w:tcW w:w="1240" w:type="dxa"/>
            <w:vAlign w:val="bottom"/>
          </w:tcPr>
          <w:p>
            <w:pPr>
              <w:spacing w:after="0"/>
              <w:rPr>
                <w:sz w:val="15"/>
                <w:szCs w:val="15"/>
                <w:color w:val="auto"/>
              </w:rPr>
            </w:pPr>
          </w:p>
        </w:tc>
      </w:tr>
      <w:tr>
        <w:trPr>
          <w:trHeight w:val="182"/>
        </w:trPr>
        <w:tc>
          <w:tcPr>
            <w:tcW w:w="3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CLASS A COMMON</w:t>
            </w:r>
          </w:p>
        </w:tc>
      </w:tr>
      <w:tr>
        <w:trPr>
          <w:trHeight w:val="182"/>
        </w:trPr>
        <w:tc>
          <w:tcPr>
            <w:tcW w:w="3600" w:type="dxa"/>
            <w:vAlign w:val="bottom"/>
          </w:tcPr>
          <w:p>
            <w:pPr>
              <w:spacing w:after="0"/>
              <w:rPr>
                <w:sz w:val="15"/>
                <w:szCs w:val="15"/>
                <w:color w:val="auto"/>
              </w:rPr>
            </w:pPr>
          </w:p>
        </w:tc>
        <w:tc>
          <w:tcPr>
            <w:tcW w:w="1920" w:type="dxa"/>
            <w:vAlign w:val="bottom"/>
            <w:gridSpan w:val="2"/>
          </w:tcPr>
          <w:p>
            <w:pPr>
              <w:jc w:val="right"/>
              <w:ind w:right="521"/>
              <w:spacing w:after="0"/>
              <w:rPr>
                <w:sz w:val="20"/>
                <w:szCs w:val="20"/>
                <w:color w:val="auto"/>
              </w:rPr>
            </w:pPr>
            <w:r>
              <w:rPr>
                <w:rFonts w:ascii="Courier New" w:cs="Courier New" w:eastAsia="Courier New" w:hAnsi="Courier New"/>
                <w:sz w:val="16"/>
                <w:szCs w:val="16"/>
                <w:color w:val="auto"/>
              </w:rPr>
              <w:t>USA WASTE</w:t>
            </w:r>
          </w:p>
        </w:tc>
        <w:tc>
          <w:tcPr>
            <w:tcW w:w="16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COMMON STOCK</w:t>
            </w:r>
          </w:p>
        </w:tc>
        <w:tc>
          <w:tcPr>
            <w:tcW w:w="104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3600" w:type="dxa"/>
            <w:vAlign w:val="bottom"/>
          </w:tcPr>
          <w:p>
            <w:pPr>
              <w:spacing w:after="0"/>
              <w:rPr>
                <w:sz w:val="15"/>
                <w:szCs w:val="15"/>
                <w:color w:val="auto"/>
              </w:rPr>
            </w:pPr>
          </w:p>
        </w:tc>
        <w:tc>
          <w:tcPr>
            <w:tcW w:w="19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HIGH</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LOW</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HIGH</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LOW</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HIGH</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LOW</w:t>
            </w:r>
          </w:p>
        </w:tc>
      </w:tr>
      <w:tr>
        <w:trPr>
          <w:trHeight w:val="182"/>
        </w:trPr>
        <w:tc>
          <w:tcPr>
            <w:tcW w:w="360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First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$14.50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$13.25</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Second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13.75</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11.75</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3.13</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Third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15.00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11.50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Fourth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12.50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9.75</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First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$15.00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$11.38</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Second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13.38</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10.58</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Third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15.13</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11.50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2.06</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Fourth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15.13</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11.00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First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$12.25</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$10.13</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Second Quarter (through May 15,</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600" w:type="dxa"/>
            <w:vAlign w:val="bottom"/>
          </w:tcPr>
          <w:p>
            <w:pPr>
              <w:ind w:left="46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16.00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11.50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5.88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r>
    </w:tbl>
    <w:p>
      <w:pPr>
        <w:spacing w:after="0" w:line="36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On November 25, 1994, the last trading day prior to announcement by USA Waste and Chambers that they had reached an agreement concerning the Merger, the closing sale price of USA Waste Common Stock as reported on the NYSE was $14.00 per share; and the closing sale prices of Chambers Common Stock and Chambers Class A Common Stock as reported by the AMEX were $3.13 and $3.00 per share, respectively. The equivalent per share price of both Chambers Common Stock and Chambers Class A Common Stock on November 25, 1994, calculated by multiplying the closing sale price of USA Waste Common Stock on the same date by the Exchange Ratio, was $5.83.</w:t>
      </w:r>
    </w:p>
    <w:p>
      <w:pPr>
        <w:sectPr>
          <w:pgSz w:w="11900" w:h="16838" w:orient="portrait"/>
          <w:cols w:equalWidth="0" w:num="1">
            <w:col w:w="10222"/>
          </w:cols>
          <w:pgMar w:left="237" w:top="295" w:right="1440" w:bottom="1440" w:gutter="0" w:footer="0" w:header="0"/>
        </w:sectPr>
      </w:pP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22"/>
          </w:cols>
          <w:pgMar w:left="237" w:top="295" w:right="1440" w:bottom="1440" w:gutter="0" w:footer="0" w:header="0"/>
          <w:type w:val="continuous"/>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102</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May 15, 1995, the closing sale price of USA Waste Common Stock as reported on the NYSE was $15.38 per share; and the closing sale prices of Chambers Common Stock and Chambers Class A Common Stock as reported by the AMEX were $5.88 and $5.75, respectively. The number of record holders of USA Waste Common Stock, Chambers Common Stock and Chambers Class A Common Stock as of the Record Date, were 858, 521 and 3,400, respectively.</w:t>
      </w:r>
    </w:p>
    <w:p>
      <w:pPr>
        <w:spacing w:after="0" w:line="190"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Following the Merger, USA Waste Common Stock will continue to trade on the NYSE under the symbol "UW", and the listing of Chambers Common Stock and Chambers Class A Common Stock on the AMEX will be terminated.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INFORMATION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has never paid cash dividends on its Common Stock. Envirofil paid stock dividends on its preferred stock prior to its acquisition by USA Waste; the holders of such preferred stock received USA Waste Common Stock in that acquisition, and no dividends have been paid by USA Waste. The Board of Directors of USA Waste presently intends to retain any earnings in the foreseeable future for USA Waste's business. In addition, payment of dividends on the USA Waste Common Stock is restricted by the terms of USA Waste's bank credit agreement.</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paid a cash dividend of $.01 per share on Chambers Class A Common Stock on November 14, 1990, and has not paid any dividends since that date. Chambers has not made any commitment to pay cash dividends on either Chambers Class A Common Stock or Chambers Common Stock. Chambers is currently precluded by the terms of its credit facility and senior note agreements from paying dividends to stockholders. See "Management's Discussion and Analysis of Chambers' Financial Condition and Results of Operations -- Liquidity and Capital Resources."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295"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103</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DESCRIPTION OF USA WASTE</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is an integrated solid waste management company operating in the non-hazardous segment of the industry. USA Waste provides integrated solid waste management services consisting of solid waste collection, transfer, recycling, disposal and soil remediation to the full spectrum of commercial, industrial, municipal, and residential customers with operations in twelve states. Based on revenues, USA Waste is currently the sixth largest publicly traded non-hazardous solid waste management company in the United States.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conducts operations in 19 operating districts in twelve states, and employs approximately 1,200 persons. USA Waste has a diversified customer base with no single customer accounting for more than 5% of USA Waste's revenues or income from continuing operations during 1994.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non-hazardous solid waste segment of the waste management industry accounts for an estimated $30 billion per year in revenues. Despite the sheer size of the waste management industry, it has historically been a fragmented industry, with a multitude of primarily local operators servicing relatively small areas. In recent years, however, the industry has undergone a period of significant consolidation.</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One of the principal forces driving consolidation within the solid waste management industry is increased regulation and enforcement of collection and disposal activities. In October 1991, the Environmental Protection Agency ("EPA") adopted new regulations pursuant to Subtitle D of the Resource Conservation and Recovery Act governing the disposal of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required enhanced control systems to monitor more closely the waste streams being disposed of at the landfills, extensive post-closure monitoring of sites and financial assurances that landfill operators will be able to comply with the stringent regulations. The result of these regulatory requirements has been increased costs throughout the various segments of the industry, with particularly dramatic increases for landfill operators.</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Compliance with the regulations currently in effect for the non-hazardous solid waste industry requires significant capital expenditures. Many industry participants have found the increased costs difficult, if not impossible to bear. A large number of smaller, independent operators have decided to either close down their operations or sell them to stronger operators, and some municipalities have chosen to discontinue or are considering discontinuing their operations and turning the management of solid waste services over to private concerns.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rising costs associated with the new industry regulations have tended to promote consolidation and acquisition activity within the industry. Larger waste management companies, with sufficient financial resources to absorb the initial costs of bringing operations into compliance, have taken advantage of discontinuations and divestitures by acquiring those operations which either complement existing businesses or otherwise increase overall strength and flexibility. Second, compliance costs at the landfill/disposal level have directly affected costs in the upstream, collection segment of the market as landfill operators pass them on through higher fees for dumping or "tipping". In addition, companies active in various segments of the industry continue to seek vertical integration to enable them to become more cost effective and competitive. Finally, the higher cost structure has also led to the merger of a number of independent collection operations to enhance financial strength and improve operating efficiencies.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86"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USA Waste seeks to capitalize on the trend of consolidation in the non-hazardous solid waste industry in several ways. One of the key elements of USA Waste's strategy involves expansion of USA Waste's integrated solid waste management services in selected markets through the acquisition of additional solid waste collection operations, landfills, transfer stations, and other related businesses that can be effectively integrated with each other and with USA Waste's existing operations to provide an overall improvement of operating</w:t>
      </w:r>
    </w:p>
    <w:p>
      <w:pPr>
        <w:sectPr>
          <w:pgSz w:w="11900" w:h="16838" w:orient="portrait"/>
          <w:cols w:equalWidth="0" w:num="1">
            <w:col w:w="10219"/>
          </w:cols>
          <w:pgMar w:left="240" w:top="295" w:right="1440" w:bottom="1440" w:gutter="0" w:footer="0" w:header="0"/>
        </w:sectPr>
      </w:pP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295" w:right="1440" w:bottom="1440" w:gutter="0" w:footer="0" w:header="0"/>
          <w:type w:val="continuous"/>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104</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results. In addition, acquisitions in new geographic areas will be pursued where opportunities exist to strengthen USA Waste's competitive position or, where opportunities exist, to apply USA Waste's operating and management expertise to enhance the performance of acquired operations and better utilize an existing base of assets. USA Waste also intends to expand its operations in the areas that it serves through the development of landfills, collection, and transfer station operations, and the development of or participation in recycling and composting services where appropriate. USA Waste also focuses on growth of its existing operations and growth of acquired businesses. During 1994, USA Waste experienced both volume and price improvements which led to double digit internal growth rates for its comparable 1993 operations.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Another key element of USA Waste's strategy is to implement a variety of measures through which USA Waste is able to achieve administrative and operating efficiencies and improve profitability of the businesses it acquires, with the objective of becoming the low cost operator in each of its markets. These measures include consolidating and implementing uniform administrative and management systems, restructuring and consolidating collection route systems, improving equipment utilization, and increasing employee productivity through incentive compensation programs. USA Waste's management believes that its ability to serve markets as a low cost operator is fundamental to achieving sustainable internal growth.</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Since August 1990, USA Waste has acquired nine landfills, 17 collection operations, two transfer stations, a recycled materials brokerage operation, and two soil remediation facilities and assumed operation of one municipal landfill. As a result of the Merger, USA Waste will emerge as a national solid waste management company, which, in the opinion of USA Waste's management, will enable it to capitalize on Chambers' landfill ownership position and participate more effectively in the consolidation of the solid waste industry.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8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USA Waste provides collection, transfer and recycling, disposal, and soil remediation services to municipal, commercial, industrial and residential customers in California, Illinois, Indiana, Missouri, New Jersey, North Dakota, Ohio, Oklahoma, Pennsylvania, Texas, Washington and West Virginia.</w:t>
      </w:r>
    </w:p>
    <w:p>
      <w:pPr>
        <w:spacing w:after="0" w:line="17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Management of USA Waste's solid waste operations is achieved through a divisional alignment that currently includes four divisions organized by geographic area. Each division is headed by a divisional vice president. Each divisional vice president is responsible for the oversight of the following departments: sales and marketing, administration and financial, operations, and maintenance. In addition, each divisional vice president typically has a small staff that works interactively with the corporate office to ensure proper regulatory compliance and reporting, engineering services, internal and external development, and strategic planning. Geographically, a division generally may encompass a multi-state area and may have a concentration of between five to fifteen districts. Divisions are divided into districts headed by a district manager. Each district manager is responsible for the day to day oversight of the Company's field operations, with direct responsibility for customer satisfaction, employee motivation, labor and equipment productivity, internal growth, financial budgets, and profit and loss activity. A district generally encompasses a city, county, or metropolitan area.</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Waste's current strategy with respect to the acquisition of landfill and collection operations calls for the retention or development of a locally recognizable name and decentralized management controls. Each collection unit or division maintains its own computer operations and collection service functions utilizing uniform programs and systems. These local computer operations are linked to USA Waste's corporate office and are integrated with a centralized corporate financial reporting system.</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Solid Waste Landfills. Municipal solid waste landfills are the primary depository for solid waste in North America. These disposal facilities are located on approved types of land (i.e., with geological and hydrological properties that limit the possibility of water pollution and are operated under prescribed procedures). A landfill must be maintained carefully to meet federal, state, and local regulations. Maintenance includes excavation, continuous spreading and compacting of waste, and covering of waste with earth or other inert material at least once a day. The cost of transferring solid waste to a disposal location places a geographic restriction on solid waste companies. Access to a disposal facility, such as a landfill, is a requirement for all</w:t>
      </w:r>
    </w:p>
    <w:p>
      <w:pPr>
        <w:sectPr>
          <w:pgSz w:w="11900" w:h="16838" w:orient="portrait"/>
          <w:cols w:equalWidth="0" w:num="1">
            <w:col w:w="10219"/>
          </w:cols>
          <w:pgMar w:left="240" w:top="295" w:right="1440" w:bottom="1440" w:gutter="0" w:footer="0" w:header="0"/>
        </w:sectPr>
      </w:pPr>
    </w:p>
    <w:p>
      <w:pPr>
        <w:spacing w:after="0" w:line="1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295" w:right="1440" w:bottom="1440" w:gutter="0" w:footer="0" w:header="0"/>
          <w:type w:val="continuous"/>
        </w:sectPr>
      </w:pPr>
    </w:p>
    <w:bookmarkStart w:id="107" w:name="page108"/>
    <w:bookmarkEnd w:id="107"/>
    <w:p>
      <w:pPr>
        <w:ind w:left="283"/>
        <w:spacing w:after="0"/>
        <w:rPr>
          <w:sz w:val="20"/>
          <w:szCs w:val="20"/>
          <w:color w:val="auto"/>
        </w:rPr>
      </w:pPr>
      <w:r>
        <w:rPr>
          <w:rFonts w:ascii="Courier New" w:cs="Courier New" w:eastAsia="Courier New" w:hAnsi="Courier New"/>
          <w:sz w:val="16"/>
          <w:szCs w:val="16"/>
          <w:color w:val="auto"/>
        </w:rPr>
        <w:t>105</w:t>
      </w:r>
    </w:p>
    <w:p>
      <w:pPr>
        <w:spacing w:after="0" w:line="186" w:lineRule="exact"/>
        <w:rPr>
          <w:sz w:val="20"/>
          <w:szCs w:val="20"/>
          <w:color w:val="auto"/>
        </w:rPr>
      </w:pPr>
    </w:p>
    <w:p>
      <w:pPr>
        <w:ind w:left="3" w:right="480"/>
        <w:spacing w:after="0" w:line="239" w:lineRule="auto"/>
        <w:rPr>
          <w:sz w:val="20"/>
          <w:szCs w:val="20"/>
          <w:color w:val="auto"/>
        </w:rPr>
      </w:pPr>
      <w:r>
        <w:rPr>
          <w:rFonts w:ascii="Courier New" w:cs="Courier New" w:eastAsia="Courier New" w:hAnsi="Courier New"/>
          <w:sz w:val="16"/>
          <w:szCs w:val="16"/>
          <w:color w:val="auto"/>
        </w:rPr>
        <w:t>solid waste management companies. While access can be obtained to disposal facilities owned or operated by unaffiliated parties, USA Waste believes that it is generally preferable for collection companies to own or operate their own disposal facilities so that access can be assured on favorable terms. Customers are charged tipping fees or disposal charges based on the amount and type of solid waste deposited and the type and size of vehicles used in the conveyance of solid waste.</w:t>
      </w:r>
    </w:p>
    <w:p>
      <w:pPr>
        <w:spacing w:after="0" w:line="192" w:lineRule="exact"/>
        <w:rPr>
          <w:sz w:val="20"/>
          <w:szCs w:val="20"/>
          <w:color w:val="auto"/>
        </w:rPr>
      </w:pPr>
    </w:p>
    <w:p>
      <w:pPr>
        <w:ind w:left="3" w:right="580" w:firstLine="473"/>
        <w:spacing w:after="0" w:line="262" w:lineRule="auto"/>
        <w:rPr>
          <w:sz w:val="20"/>
          <w:szCs w:val="20"/>
          <w:color w:val="auto"/>
        </w:rPr>
      </w:pPr>
      <w:r>
        <w:rPr>
          <w:rFonts w:ascii="Courier New" w:cs="Courier New" w:eastAsia="Courier New" w:hAnsi="Courier New"/>
          <w:sz w:val="15"/>
          <w:szCs w:val="15"/>
          <w:color w:val="auto"/>
        </w:rPr>
        <w:t>USA Waste currently owns and operates nine non-hazardous solid waste landfills and operates one municipal landfill. The following table summarizes certain information concerning the 10 landfills owned or operated by USA Waste.</w:t>
      </w:r>
    </w:p>
    <w:p>
      <w:pPr>
        <w:spacing w:after="0" w:line="200" w:lineRule="exact"/>
        <w:rPr>
          <w:sz w:val="20"/>
          <w:szCs w:val="20"/>
          <w:color w:val="auto"/>
        </w:rPr>
      </w:pPr>
    </w:p>
    <w:p>
      <w:pPr>
        <w:spacing w:after="0" w:line="33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APPROXIMATE</w:t>
            </w:r>
          </w:p>
        </w:tc>
      </w:tr>
      <w:tr>
        <w:trPr>
          <w:trHeight w:val="182"/>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DATE</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PERMITTED</w:t>
            </w:r>
          </w:p>
        </w:tc>
      </w:tr>
      <w:tr>
        <w:trPr>
          <w:trHeight w:val="182"/>
        </w:trPr>
        <w:tc>
          <w:tcPr>
            <w:tcW w:w="2560" w:type="dxa"/>
            <w:vAlign w:val="bottom"/>
          </w:tcPr>
          <w:p>
            <w:pPr>
              <w:ind w:left="560"/>
              <w:spacing w:after="0"/>
              <w:rPr>
                <w:sz w:val="20"/>
                <w:szCs w:val="20"/>
                <w:color w:val="auto"/>
              </w:rPr>
            </w:pPr>
            <w:r>
              <w:rPr>
                <w:rFonts w:ascii="Courier New" w:cs="Courier New" w:eastAsia="Courier New" w:hAnsi="Courier New"/>
                <w:sz w:val="16"/>
                <w:szCs w:val="16"/>
                <w:color w:val="auto"/>
              </w:rPr>
              <w:t>LANDFILL NAME</w:t>
            </w:r>
          </w:p>
        </w:tc>
        <w:tc>
          <w:tcPr>
            <w:tcW w:w="3020" w:type="dxa"/>
            <w:vAlign w:val="bottom"/>
          </w:tcPr>
          <w:p>
            <w:pPr>
              <w:ind w:left="1040"/>
              <w:spacing w:after="0"/>
              <w:rPr>
                <w:sz w:val="20"/>
                <w:szCs w:val="20"/>
                <w:color w:val="auto"/>
              </w:rPr>
            </w:pPr>
            <w:r>
              <w:rPr>
                <w:rFonts w:ascii="Courier New" w:cs="Courier New" w:eastAsia="Courier New" w:hAnsi="Courier New"/>
                <w:sz w:val="16"/>
                <w:szCs w:val="16"/>
                <w:color w:val="auto"/>
              </w:rPr>
              <w:t>LOCATION</w:t>
            </w: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ACQUIRED</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5"/>
              </w:rPr>
              <w:t>ACRES</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w w:val="97"/>
              </w:rPr>
              <w:t>------------------------------</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560" w:type="dxa"/>
            <w:vAlign w:val="bottom"/>
          </w:tcPr>
          <w:p>
            <w:pPr>
              <w:spacing w:after="0"/>
              <w:rPr>
                <w:sz w:val="20"/>
                <w:szCs w:val="20"/>
                <w:color w:val="auto"/>
              </w:rPr>
            </w:pPr>
            <w:r>
              <w:rPr>
                <w:rFonts w:ascii="Courier New" w:cs="Courier New" w:eastAsia="Courier New" w:hAnsi="Courier New"/>
                <w:sz w:val="16"/>
                <w:szCs w:val="16"/>
                <w:color w:val="auto"/>
              </w:rPr>
              <w:t>Pinecrest................</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McLain County, Oklahoma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1987</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73(1)</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Ellis County.............</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Ellis County, Texas</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98</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Countryside..............</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Lake County, Illinois</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80(2)</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Dakota...................</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Sargeant County, North Dakota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32</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Ellis Scott..............</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Henry County, Missouri</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35</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Leroy Brown..............</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McDonough County, Illinois</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80</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Earthmovers..............</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Elkhart County, Indiana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1992</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97</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Olympic View.............</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Kitsap County, Washington</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1993</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65</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Liberty..................</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White County, Indiana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1993</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88</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Charleston...............</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Charleston, West Virginia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50(3)</w:t>
            </w:r>
          </w:p>
        </w:tc>
      </w:tr>
      <w:tr>
        <w:trPr>
          <w:trHeight w:val="182"/>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560" w:type="dxa"/>
            <w:vAlign w:val="bottom"/>
          </w:tcPr>
          <w:p>
            <w:pPr>
              <w:ind w:left="940"/>
              <w:spacing w:after="0"/>
              <w:rPr>
                <w:sz w:val="20"/>
                <w:szCs w:val="20"/>
                <w:color w:val="auto"/>
              </w:rPr>
            </w:pPr>
            <w:r>
              <w:rPr>
                <w:rFonts w:ascii="Courier New" w:cs="Courier New" w:eastAsia="Courier New" w:hAnsi="Courier New"/>
                <w:sz w:val="16"/>
                <w:szCs w:val="16"/>
                <w:color w:val="auto"/>
              </w:rPr>
              <w:t>Total..........</w:t>
            </w:r>
          </w:p>
        </w:tc>
        <w:tc>
          <w:tcPr>
            <w:tcW w:w="3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698</w:t>
            </w:r>
          </w:p>
        </w:tc>
      </w:tr>
      <w:tr>
        <w:trPr>
          <w:trHeight w:val="182"/>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580" w:hanging="463"/>
        <w:spacing w:after="0" w:line="239" w:lineRule="auto"/>
        <w:tabs>
          <w:tab w:leader="none" w:pos="46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owns approximately five acres of this site and leases the remaining acreage. The lease expires in December 1996, but may be extended at USA Waste's option for two additional five-year periods, each on the same terms and conditions.</w:t>
      </w:r>
    </w:p>
    <w:p>
      <w:pPr>
        <w:spacing w:after="0" w:line="5" w:lineRule="exact"/>
        <w:rPr>
          <w:rFonts w:ascii="Courier New" w:cs="Courier New" w:eastAsia="Courier New" w:hAnsi="Courier New"/>
          <w:sz w:val="16"/>
          <w:szCs w:val="16"/>
          <w:color w:val="auto"/>
        </w:rPr>
      </w:pPr>
    </w:p>
    <w:p>
      <w:pPr>
        <w:ind w:left="463" w:right="760" w:hanging="463"/>
        <w:spacing w:after="0" w:line="237" w:lineRule="auto"/>
        <w:tabs>
          <w:tab w:leader="none" w:pos="46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1994, USA Waste filed an application with the Illinois EPA to expand the landfill permit to 145 acres.</w:t>
      </w:r>
    </w:p>
    <w:p>
      <w:pPr>
        <w:spacing w:after="0" w:line="5" w:lineRule="exact"/>
        <w:rPr>
          <w:rFonts w:ascii="Courier New" w:cs="Courier New" w:eastAsia="Courier New" w:hAnsi="Courier New"/>
          <w:sz w:val="16"/>
          <w:szCs w:val="16"/>
          <w:color w:val="auto"/>
        </w:rPr>
      </w:pPr>
    </w:p>
    <w:p>
      <w:pPr>
        <w:ind w:left="463" w:right="660" w:hanging="463"/>
        <w:spacing w:after="0" w:line="239" w:lineRule="auto"/>
        <w:tabs>
          <w:tab w:leader="none" w:pos="46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1994, USA Waste entered into an agreement with the City of Charleston to manage and operate the municipal landfill. The management agreement is for a term of 25 years. The City has the option to terminate the agreement at the end of the fifth and tenth years.</w:t>
      </w:r>
    </w:p>
    <w:p>
      <w:pPr>
        <w:spacing w:after="0" w:line="187" w:lineRule="exact"/>
        <w:rPr>
          <w:sz w:val="20"/>
          <w:szCs w:val="20"/>
          <w:color w:val="auto"/>
        </w:rPr>
      </w:pPr>
    </w:p>
    <w:p>
      <w:pPr>
        <w:ind w:left="3" w:right="480" w:firstLine="473"/>
        <w:spacing w:after="0"/>
        <w:rPr>
          <w:sz w:val="20"/>
          <w:szCs w:val="20"/>
          <w:color w:val="auto"/>
        </w:rPr>
      </w:pPr>
      <w:r>
        <w:rPr>
          <w:rFonts w:ascii="Courier New" w:cs="Courier New" w:eastAsia="Courier New" w:hAnsi="Courier New"/>
          <w:sz w:val="16"/>
          <w:szCs w:val="16"/>
          <w:color w:val="auto"/>
        </w:rPr>
        <w:t>Of the 10 landfills owned or operated by USA Waste, the average remaining life based on remaining permit capacity and current average monthly disposal volumes is approximately 15 years. This average does not include recent local approval of a vertical and horizontal site expansion for the Countryside landfill which will extend the total life expectancy of such facility to in excess of 20 years. An application has been filed with the Illinois Environmental Protection Agency requesting state approval of the design and other technical aspects of the Countryside expansion. The state approval process is expected to be finalized in the next five to 12 months.</w:t>
      </w:r>
    </w:p>
    <w:p>
      <w:pPr>
        <w:spacing w:after="0" w:line="188" w:lineRule="exact"/>
        <w:rPr>
          <w:sz w:val="20"/>
          <w:szCs w:val="20"/>
          <w:color w:val="auto"/>
        </w:rPr>
      </w:pPr>
    </w:p>
    <w:p>
      <w:pPr>
        <w:ind w:left="3" w:right="480" w:firstLine="473"/>
        <w:spacing w:after="0"/>
        <w:rPr>
          <w:sz w:val="20"/>
          <w:szCs w:val="20"/>
          <w:color w:val="auto"/>
        </w:rPr>
      </w:pPr>
      <w:r>
        <w:rPr>
          <w:rFonts w:ascii="Courier New" w:cs="Courier New" w:eastAsia="Courier New" w:hAnsi="Courier New"/>
          <w:sz w:val="16"/>
          <w:szCs w:val="16"/>
          <w:color w:val="auto"/>
        </w:rPr>
        <w:t>The ownership or lease of a landfill site enables USA Waste to dispose of waste without payment of disposal fees to others. USA Waste does not own or lease a landfill site in every metropolitan area in which it is engaged in waste collection. To date, USA Waste has not experienced excessive difficulty securing the use of disposal facilities owned or operated by others in those metropolitan areas in which it does not own or operate its own landfill. USA Waste's landfills are also used by other waste collection companies and government agencies on a contract or noncontract basis.</w:t>
      </w:r>
    </w:p>
    <w:p>
      <w:pPr>
        <w:spacing w:after="0" w:line="187" w:lineRule="exact"/>
        <w:rPr>
          <w:sz w:val="20"/>
          <w:szCs w:val="20"/>
          <w:color w:val="auto"/>
        </w:rPr>
      </w:pPr>
    </w:p>
    <w:p>
      <w:pPr>
        <w:ind w:left="3" w:right="480" w:firstLine="473"/>
        <w:spacing w:after="0" w:line="239" w:lineRule="auto"/>
        <w:rPr>
          <w:sz w:val="20"/>
          <w:szCs w:val="20"/>
          <w:color w:val="auto"/>
        </w:rPr>
      </w:pPr>
      <w:r>
        <w:rPr>
          <w:rFonts w:ascii="Courier New" w:cs="Courier New" w:eastAsia="Courier New" w:hAnsi="Courier New"/>
          <w:sz w:val="16"/>
          <w:szCs w:val="16"/>
          <w:color w:val="auto"/>
        </w:rPr>
        <w:t>Collection. Solid waste collection is provided under two primary types of arrangement, depending on the customer being served. Commercial and industrial collection services are generally performed under one to three-year service agreements, and fees are determined by such factors as collection frequency, type of collection equipment furnished by USA Waste, the type and volume or weight of the waste collected and the distance to the disposal facility and cost of disposal. Most residential solid waste collection services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APPROXIMATE</w:t>
      </w:r>
    </w:p>
    <w:p>
      <w:pPr>
        <w:spacing w:after="0" w:line="8"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6"/>
          <w:szCs w:val="16"/>
          <w:color w:val="auto"/>
        </w:rPr>
        <w:t>ACRES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198</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398</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345</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320</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606</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530</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277</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420</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88</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180</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3,362</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639" w:lineRule="exact"/>
        <w:rPr>
          <w:sz w:val="20"/>
          <w:szCs w:val="20"/>
          <w:color w:val="auto"/>
        </w:rPr>
      </w:pPr>
    </w:p>
    <w:p>
      <w:pPr>
        <w:sectPr>
          <w:pgSz w:w="11900" w:h="16838" w:orient="portrait"/>
          <w:cols w:equalWidth="0" w:num="2">
            <w:col w:w="8043" w:space="460"/>
            <w:col w:w="1719"/>
          </w:cols>
          <w:pgMar w:left="237" w:top="295" w:right="1440" w:bottom="1440" w:gutter="0" w:footer="0" w:header="0"/>
        </w:sectPr>
      </w:pPr>
    </w:p>
    <w:p>
      <w:pPr>
        <w:ind w:left="3683"/>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22"/>
          </w:cols>
          <w:pgMar w:left="237" w:top="295" w:right="1440" w:bottom="1440" w:gutter="0" w:footer="0" w:header="0"/>
          <w:type w:val="continuous"/>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106</w:t>
      </w:r>
    </w:p>
    <w:p>
      <w:pPr>
        <w:spacing w:after="0" w:line="186" w:lineRule="exact"/>
        <w:rPr>
          <w:sz w:val="20"/>
          <w:szCs w:val="20"/>
          <w:color w:val="auto"/>
        </w:rPr>
      </w:pPr>
    </w:p>
    <w:p>
      <w:pPr>
        <w:ind w:right="2939"/>
        <w:spacing w:after="0"/>
        <w:rPr>
          <w:sz w:val="20"/>
          <w:szCs w:val="20"/>
          <w:color w:val="auto"/>
        </w:rPr>
      </w:pPr>
      <w:r>
        <w:rPr>
          <w:rFonts w:ascii="Courier New" w:cs="Courier New" w:eastAsia="Courier New" w:hAnsi="Courier New"/>
          <w:sz w:val="16"/>
          <w:szCs w:val="16"/>
          <w:color w:val="auto"/>
        </w:rPr>
        <w:t>performed under contracts with, or franchises granted by, municipalities or regional authorities that give USA Waste exclusive rights to service all or a portion of the homes in their respective jurisdictions. Such contracts or franchises usually range in duration from one to five years. Recently, some municipalities have bid their residential collection contracts based on the volume of waste collected. Residential collection fees are either paid by the municipalities out of tax revenues or service charges or are paid directly by the residents receiving the service.</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part of its services, USA Waste provides steel containers to most of its commercial and industrial customers to store solid waste. These containers, ranging in size from one to 45 cubic yards, are designed to be lifted mechanically and emptied into a collection vehicle's compaction hopper. The use of containers enables USA Waste to service most of its commercial and industrial customers with collection vehicles operated by a single employee.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often obtains waste collection accounts through acquisitions, including the purchase of customer lists, routes, and equipment. Once a collection operation is acquired, programs designed to improve equipment utilization, employee productivity, operating efficiencies, and overall profitability are implemented. USA Waste also solicits commercial and industrial customers in areas surrounding acquired residential collection markets as a means of further improving operating efficiencies and increasing volumes of solid waste collection.</w:t>
      </w:r>
    </w:p>
    <w:p>
      <w:pPr>
        <w:spacing w:after="0" w:line="187"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USA Waste operates collection operations that are integrated with six of its landfills. The landfills and metropolitan areas served are:</w:t>
      </w:r>
    </w:p>
    <w:p>
      <w:pPr>
        <w:spacing w:after="0" w:line="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Countryside -- Lake County, Illinois and the North suburbs of Chicago; Olympic View -- City of Bremerton and Kitsap, Skagit and Snohomish Counties, Washington; Ellis County -- the Cities of Ennis and Corsicana and Ellis County, Texas; Pinecrest -- the Cities of Moore and Norman and McClain County, Oklahoma; Liberty -- City of Brookston and White County, Indiana; and Leroy Brown -- City of Macomb and McDonough County, Illinois. The percentage of landfill volumes derived from local collections operations in these areas ranges from 20% to 88%. USA Waste also provides nonintegrated residential and/or commercial collection services in the following seven metropolitan markets: Central New Jersey; San Antonio, Houston, and Fort Worth, Texas; Chicago, Illinois; and Sacramento and Stockton, California. Waste collected in these markets is delivered to a municipal, county or privately owned, unaffiliated landfill or transfer station.</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Transfer Stations. A transfer station is a facility where solid waste is received from collection vehicles and then transferred to and compacted in large, specially-constructed trailers for transportation to disposal facilities. This consolidation reduces costs by improving utilization of collection personnel and equipment, and is a standard procedure in the solid waste industry. Fees are generally based upon such factors as the type and volume or weight of the waste transferred and the transport distance involved. USA Waste operates two transfer stations in connection with its Oklahoma operations and two transfer stations in the Chicago area.</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Recycling. In response to the increasing public environmental awareness and expanding federal and state regulations pertaining to waste recycling, USA Waste has developed recycling as a component of its environmentally responsible integrated solid waste management plan. Curbside collection of recyclable materials for residential customers, commercial and industrial collection of recyclable materials, and material recovery/waste reduction facilities are services in which USA Waste has become involved to complement its collection and transfer operations, and additional opportunities for expansion in these areas will continue to be evaluated.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Participating commercial and industrial operations use containers to separate recyclable paper, glass, plastic, and metal wastes for collection, processing, and sale. Curbside recycling services involve the use of specially designed, compartmentalized vehicles to collect recyclable paper, glass, plastic, and metal waste materials, which may be separated by residents into different containers provided to them for such purpose. The recyclable materials are then deposited at a local facility where they are sorted and processed for resale. Fees are determined by such considerations as market factors, frequency of collection, the type and volume or weight of recycled material, the distance the recycled material must be transported, and the value of the recycled material.</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295" w:right="1440" w:bottom="1440" w:gutter="0" w:footer="0" w:header="0"/>
          <w:type w:val="continuous"/>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107</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operates curbside recycling programs in connection with its residential collection operations in six markets and its transfer station in Crestwood, Illinois. USA Waste also owns a 25% interest in Automated Recycling Technologies, which operates two recycling and sorting facilities in Ocean County, New Jersey. Through its subsidiary Waste Recovery Corporation, USA Waste also arranges for the sale of recycled materials in bulk by waste collection companies, including USA Waste, to the end-users of such materials.</w:t>
      </w:r>
    </w:p>
    <w:p>
      <w:pPr>
        <w:spacing w:after="0" w:line="192"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Soil Remediation. The owners of petroleum refineries and underground petroleum storage tanks, such as gasoline service stations, are required to dispose of soil that has been contaminated with oil, gasoline, or other petroleum hydrocarbons from leaks and spills. Historically, such non-hazardous contaminated soil has been disposed of, or used as a cover material, in landfills. However, because of the need of owners of contaminated soil to eliminate their continuing liability with respect to contaminated soil even if disposed of in a landfill, and the high cost of disposal and the demand for clean fill dirt in certain areas, the use of a thermal process to treat contaminated soil in order to remove impurities has developed. For a fee comparable to landfill tipping fees, contaminated soil is delivered to a remediation facility and heated in a furnace under a carefully controlled process to remove the impurities. The decontaminated soil is then picked up by the owner or sold to third parties as a clean soil product for a variety of uses.</w:t>
      </w:r>
    </w:p>
    <w:p>
      <w:pPr>
        <w:spacing w:after="0" w:line="191"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USA Waste owns and operates soil remediation facilities in Philadelphia and Fairless Hills, Pennsylvania. The Philadelphia facility began operations in 1992 and the Fairless Hills facility began operations in 1994. Both facilities serve the greater Philadelphia metropolitan area, New Jersey, and southern New York.</w:t>
      </w:r>
    </w:p>
    <w:p>
      <w:pPr>
        <w:spacing w:after="0" w:line="17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Management Information System. USA Waste utilizes a sophisticated package of computer software programs developed specifically for solid waste management operations. The programs include billing and accounts receivable systems and a customer service system that are integrated with a corporate financial reporting system. The computer management information system can be especially valuable when implemented in conjunction with an acquisition, enabling USA Waste to improve operating efficiencies and profitability by: (1) consolidating and implementing uniform administrative and management systems, (2) restructuring and consolidating routing, (3) improving equipment utilization, and (4) increasing employee productivity.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SALES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USA Waste emphasizes providing quality services as well as customer satisfaction and retention and believes that it will attract customers in the future because of its reputation for quality service. USA Waste markets its services principally through the direct efforts of its sales and marketing personnel. Each of USA Waste's current service areas has from one to six salespersons depending upon its size and customer mix.</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solid waste industry is highly competitive and requires substantial amounts of capital. The industry is comprised of two large national waste management companies, WMX Technologies, Inc. (formerly Waste Management, Inc.) and BFI, which currently account for approximately 23% of the estimated annual market of $30 billion, as well as a number of regional companies and numerous local companies, municipalities, and other local authorities and large commercial and industrial companies handling their own waste collection or disposal operations. The national waste management companies and some of the regional companies have significantly larger operations and greater financial resources than USA Waste. Municipalities and counties are often able to offer lower direct charges to the customer for the same service by subsidizing the cost of such services through the use of tax revenues and tax-exempt financing. Generally, however, municipalities do not provide significant commercial and industrial collection or waste disposal.</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competes for landfill business on the basis of tipping fees, geographical location, and quality of operations. USA Waste's ability to obtain landfill business may be limited by the fact that some major collection companies also own or operate landfills, to which they send their waste. USA Waste will compete for collection accounts primarily on the basis of price and the quality of its services. From time to time, competitors may reduce the price of their services in an effort to expand market share or to win competitively bid contracts.</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295" w:right="1440" w:bottom="1440" w:gutter="0" w:footer="0" w:header="0"/>
          <w:type w:val="continuous"/>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108</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provides residential collection services under a number of municipal contracts. As is the case in the industry, such contracts come up for competitive bidding periodically and there is no assurance that USA Waste will be the successful bidder and will be able to retain such contracts. If USA Waste is unable to replace any contract lost through the competitive bidding process with a comparable contract within a reasonable time period or to use any surplus equipment in other service areas, the earnings of USA Waste could be adversely affected. However, during 1994, no one commercial customer or municipal contract accounted for more than 5% of the total revenue of USA Waste. As USA Waste continues to grow, the loss of any one contract will have less of an impact on USA Waste's operations as a whole.</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Because of increasing costs for solid waste management services resulting from increased regulation, reductions in federal revenue sharing, and the developing ability of private firms to provide specialized services, municipalities are increasingly "privatizing," or contracting with private companies, their responsibility for residential, commercial, and industrial collection services.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Increased public environmental awareness and certain mandated state regulations have resulted in increased recycling efforts in many different areas of the country that are currently and will in the future reduce the amount of solid waste destined for landfills. The EPA estimates that the recovery of municipal solid waste through recycling will increase as a percentage of disposal volumes from approximately 13% in 1988 to between 20% and 28% by 1995. In addition, USA Waste could face competition from waste management companies engaged in incineration and other technologically advanced alternatives to landfill disposal. Although USA Waste believes that landfills will continue to be the primary depository for solid waste well into the future, there can be no assurance that recycling, incineration, and waste reduction efforts will not affect future landfill disposal volumes. The effect, if any, on such volumes could also vary between different regions of the country as well as within individual market areas in each region.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PRICING</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Operating costs, disposal costs, and collection fees vary widely throughout the geographic areas in which USA Waste operates. The prices that USA Waste charges are determined locally, and typically by the volume or weight, and type of waste collected, treatment requirements, risks involved in the handling or disposing of waste, frequency of collections, costs of disposal, distance to final disposal sites, amount and type of equipment furnished to the customer and prices charged for similar services by competitors. Under contract periods of one year or longer, USA Waste's ability to pass on cost increases is sometimes limited by contract terms. Long-term solid waste collection contracts typically contain a formula, generally based on published price indices, for automatic adjustment of fees to cover increases in some, but not all, operating costs.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6"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At December 31, 1994, USA Waste had approximately 1,200 full-time employees, of which 200 were employed in clerical, administrative, and sales positions, 97 in management, and the balance in collection, transfer, and disposal operations. Approximately 315 of USA Waste's employees at 6 operating locations are covered by collective bargaining agreements. Management has not experienced a work stoppage and considers its employee relations to be good.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AND PERFORMANCE BONDS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carries a broad range of insurance coverage, which management considers appropriate for the protection of USA Waste's assets and operations. The coverage currently includes a $2,000,000 comprehensive general liability policy, a $50,000,000 umbrella policy, and a property damage policy covering all real and personal property, unlicensed contractor's equipment, automobile physical damage (excluding collision as to which USA Waste is self-insured), and electronic data processing hardware and software. USA Waste maintains workers' compensation insurance in accordance with laws of the various states in which it has employees. USA Waste also currently maintains an environmental impairment liability insurance policy on certain of its landfills and transfer stations that provides coverage against clean-up costs and bodily injury to nonemployees and property damage caused by off-site pollution emanating from such landfills or transfer</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295" w:right="1440" w:bottom="1440" w:gutter="0" w:footer="0" w:header="0"/>
          <w:type w:val="continuous"/>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109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stations. This policy provides $1,000,000 of coverage per incident with a</w:t>
      </w:r>
    </w:p>
    <w:p>
      <w:pPr>
        <w:spacing w:after="0" w:line="5"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$2,000,000 aggregate limit. To date, USA Waste has not had any difficulty in obtaining insurance. However, if USA Waste is unable to obtain adequate insurance, or decides to operate without insurance, a partially or completely uninsured claim against USA Waste, if successful and of sufficient magnitude, could have a material adverse effect upon USA Waste's business or its financial condition. Difficulty in obtaining insurance could also impair USA Waste's ability to secure future contracts, which may be conditioned upon the availability of adequate insurance coverage.</w:t>
      </w:r>
    </w:p>
    <w:p>
      <w:pPr>
        <w:spacing w:after="0" w:line="187"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Municipal and governmental waste management contracts typically require performance bonds or bank letters of credit to secure performance. In addition, USA Waste is required to provide financial assurance to secure its closure and post-closure obligations with respect to each landfill. USA Waste has not experienced difficulty in obtaining performance bonds or letters of credit for its current operations. At December 31, 1994, USA Waste had provided various regulatory authorities with bonds of approximately $21,642,000 and letters of credit of approximately $3,697,000 to secure its obligations. If USA Waste were unable to obtain surety bonds or letters of credit in sufficient amounts or at acceptable rates, it may be precluded from entering into additional municipal collection contracts or obtaining or retaining landfill operating permits.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General. All of USA Waste's principal business activities are subject to extensive and evolving environmental, health, safety, and transportation laws and regulations at the state, local and, to a lesser degree, federal levels. These regulations are administered by the EPA and various other federal, state, and local environmental, zoning, health, and safety agencies, many of which periodically examine USA Waste's operations to monitor compliance with such laws and regulations.</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development, expansion, and operation of landfills, transfer stations, and other disposal and remediation facilities generally are subject to extensive regulations governing siting, design, operations, monitoring, site maintenance, corrective actions, financial assurance, and closure and post-closure obligations. In order to construct, expand, and operate a landfill, transfer station or soil remediation facility, USA Waste must obtain and maintain one or more construction or operating permits and licenses and, in certain instances, applicable zoning approvals. Obtaining the necessary permits and approvals in connection with the acquisition, development or expansion of a landfill, transfer station, or soil remediation facility is difficult, time-consuming (often taking two to three years or more), and expensive, and is frequently opposed by local citizen and/or environmentalist groups. Once obtained, operating permits are subject to modification and revocation by the issuing agency. Compliance with current and future regulatory requirements may require USA Waste, as well as others in the waste management industry, from time to time, to make significant capital and operating expenditures.</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the collection segment of the industry, regulation takes such forms as licensing collection vehicles, health and safety requirements, vehicular weight limitations, and, in certain localities, limitations on weight, area, and time and frequency of collection.</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Governmental authorities have the power to enforce compliance with regulations and permit conditions and to obtain injunctions or impose fines in case of violations. During the ordinary course of its operations, USA Waste may from time to time receive citations or notices from such authorities that a facility is not in full compliance with applicable environmental or health and safety regulations. Upon receipt of such citations or notices, USA Waste will work with the authorities to attempt to resolve the issues raised. Failure to correct the problems to the satisfaction of the authorities could lead to monetary penalties, curtailed operations, criminal sanctions, facility closure, permit modification or termination, or inability to obtain permits for additional sites.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believes that it is currently in material compliance with applicable federal, state and local laws, permits, orders, and regulations. USA Waste believes there will be increased regulation and legislation related to the waste management industry, especially at the federal level. USA Waste attempts to anticipate future regulatory requirements and plans accordingly to remain in compliance with the regulatory framework.</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295" w:right="1440" w:bottom="1440" w:gutter="0" w:footer="0" w:header="0"/>
          <w:type w:val="continuous"/>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110</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USA Waste expects to grow in part by acquiring existing landfills, transfer stations, and collection operations. Although USA Waste conducts due diligence investigations of the past waste management practices of the businesses that it acquires, there can be no assurance that, through its investigation, it will identify all potential environmental problems or risks. As a result, USA Waste may have acquired, or may in the future acquire, landfills that have unknown environmental problems and related liabilities. USA Waste will be subject to similar risks and uncertainties in connection with the acquisition of closed facilities that had been operated by businesses acquired by USA Waste. USA Waste seeks to mitigate the foregoing risks by obtaining environmental representations and indemnities from the sellers of the businesses that it acquires. However, there can be no assurance that USA Waste will be able to realize on any such indemnities if an environmental liability exists.</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Federal, state, and local governments have also from time to time proposed or adopted other types of laws, regulations, or initiatives with respect to the environmental services industry, including laws, regulations, and initiatives to ban or restrict the interstate or intrastate shipment of wastes, impose higher taxes on out-of-site waste shipments than on in-site shipments, reclassify certain categories of hazardous waste as non-hazardous, and regulate disposal facilities as public utilities. Congress has from time to time considered legislation that would enable or facilitate such bans, restrictions, taxes, and regulations. USA Waste cannot predict the extent to which any legislation or regulation that may be enacted or enforced in the future may affect its operations.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a result of changing government attitudes in the area of environmental enforcement, management anticipates that continually changing requirements in health, safety and environmental protection laws will require USA Waste and others engaged in the solid waste management industry to continually modify or replace various facilities and alter methods of operation at costs that may be substantial. Most of USA Waste's expenditures incurred in the operation of its landfills relate to complying with the requirements of laws concerning the environment. The majority of these expenditures are made in the normal course of USA Waste's business and neither materially adversely affect USA Waste's earnings nor place USA Waste at any competitive disadvantage. While USA Waste has not expended any material amount to remedy potential harm to the public or the environment in 1994 or 1993 and USA Waste, to the best of its knowledge, is currently in compliance in all material respects with all applicable state and local permits, laws, regulations, and orders affecting its operations, there is no assurance that USA Waste will not be required to expend substantial amounts for such remedies in the future.</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Environmental Matters. The landfill sites currently or previously owned or operated by USA Waste are subject to regulation under the Comprehensive Environmental Response, Compensation, and Liability Act of 1980, as amended ("CERCLA"). CERCLA, among other things, provides for the cleanup of sites from which there is a release or threatened release of a hazardous substance into the environment. CERCLA imposes joint and several liability for the costs of cleanup and for damages to natural resources upon: (a) any person who currently owns or operates a facility or site from which there is a release or threatened release of hazardous substances; (b) any person who owned or operated such a facility or site at the time hazardous substances were disposed of; (c) any person who by contract, agreement or otherwise, arranged for the disposal or treatment (or for transport for disposal or treatment) of hazardous substances owned or possessed by such person at such facility or site; and (d) any person who accepts or accepted hazardous substances for transport for treatment or disposal at such a facility or site selected by such person (including a contract carrier who has accepted a hazardous substance for transportation during such transportation). Under the authority of CERCLA and its implementing regulations, detailed requirements apply to the manner and degree of remediation of facilities and sites where hazardous substances have been or are threatened to be released into the environment.</w:t>
      </w:r>
    </w:p>
    <w:p>
      <w:pPr>
        <w:spacing w:after="0" w:line="19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Liability under CERCLA is not dependent upon the intentional disposal of "hazardous wastes," as defined under RCRA. It can be founded upon the release or threatened release, even as a result of lawful, unintentional and non-negligent action, of any one of more than 700 "hazardous substances," including very small quantities of such substances. CERCLA requires the EPA to establish a National Priorities List ("NPL") of sites at which hazardous substances have been or are threatened to be released and which require investigation or cleanup. More than 20% of the sites on the NPL are solid waste landfills that ostensibly never</w:t>
      </w:r>
    </w:p>
    <w:p>
      <w:pPr>
        <w:sectPr>
          <w:pgSz w:w="11900" w:h="16838" w:orient="portrait"/>
          <w:cols w:equalWidth="0" w:num="1">
            <w:col w:w="10219"/>
          </w:cols>
          <w:pgMar w:left="240" w:top="295" w:right="1440" w:bottom="1440" w:gutter="0" w:footer="0" w:header="0"/>
        </w:sectPr>
      </w:pP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295" w:right="1440" w:bottom="1440" w:gutter="0" w:footer="0" w:header="0"/>
          <w:type w:val="continuous"/>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111</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received any regulated "hazardous wastes." Thus, even if USA Waste's landfills have never received "hazardous wastes" as such, it is likely that one or more hazardous substances have come to be located at its landfills. Because of the extremely broad definition of "hazardous substances," the same is true of other industrial properties with which USA Waste or its predecessors has been, or with which USA Waste may become, associated as an owner or operator. If this is the case, and if there is a release or threatened release of such substances into the environment, USA Waste could be liable under CERCLA for the cost of removing such hazardous substances at the sites, remediation of impacted soil or groundwater, and for damages to natural resources, even if those substances were deposited at USA Waste's facilities before USA Waste acquired or operated them. The costs of a CERCLA cleanup can be very substantial. Given the limited amount of environmental impairment liability insurance maintained by USA Waste, a finding of such liability could have a material adverse impact on USA Waste's business and financial condition.</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Although USA Waste would not be liable under CERCLA for the cleanup of a disposal site containing hazardous wastes transported to such site by USA Waste so long as the site was selected by the generator of such waste, USA Waste would be responsible for any hazardous waste during actual transportation. Also, USA Waste could be liable under CERCLA for off-site environmental contamination caused by the release of pollutants or hazardous substances transported by USA Waste, or a waste transporter acquired by USA Waste, where the transporter selected the disposal site.</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EPA's primary way of determining whether a site is to be included on the NPL is the Hazard Ranking System ("HRS"), which evaluates the relative potential for uncontrolled hazardous substances to pose a threat to human health or the environment pursuant to a scoring system based on factors grouped into three factor categories: (1) likelihood of release, (2) waste characteristics, and (3) targets. The EPA follows a three-step process prior to determining whether a site should undergo an HRS evaluation: identification or discovery, preliminary assessment, and site inspection, including soil sampling and ground water testing. As of December 1989, the EPA has proposed or identified approximately 30,000 sites for preliminary assessment (including approximately 6,500 solid waste landfills). These sites are compiled on the Comprehensive Environmental Response, Compensation and Liability Information System ("CERCLIS") list. The identification of a site on the CERCLIS list indicates only that the site has been brought to the attention of the EPA and does not necessarily mean that an actual health or environmental threat currently exists or has ever existed. As were many of the landfills in the State of Illinois, both the Countryside and Leroy Brown landfills were placed on the CERCLIS list.</w:t>
      </w:r>
    </w:p>
    <w:p>
      <w:pPr>
        <w:spacing w:after="0" w:line="36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Countryside landfill was proposed for preliminary assessment in 1979 and underwent a preliminary assessment in 1983 and a site inspection in 1986 under the EPA's program. Pending promulgation of the revised HRS, the EPA has not taken any further action with respect to the evaluation of the Countryside landfill since 1986. USA Waste was previously advised that the EPA expected to complete a preliminary evaluation of the numerous sites located in the region where the Countryside landfill is located prior to September 30, 1992. However, USA Waste has not received any communications from the EPA concerning this matter. The purpose of these preliminary evaluations is to determine whether any further action is needed to resolve the status of such landfills under CERCLA. This preliminary evaluation could result in a determination that no further action is required, that additional studies should be conducted, or that remedial or corrective action needs to be undertaken. Based on its review of the wastes deposited at the Countryside landfill, the hydrogeological structure of the site, the facility's design, and a report received by USA Waste from its independent environmental consultant at the time USA Waste acquired the landfill, USA Waste does not believe that the outcome of the EPA's evaluation of the Countryside landfill will result in the Countryside landfill being proposed for listing on the NPL or have any material adverse impact on the operation of such landfill or USA Waste's financial condition.</w:t>
      </w:r>
    </w:p>
    <w:p>
      <w:pPr>
        <w:spacing w:after="0" w:line="19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Envirofil's records indicated that in 1977 and 1978, the Leroy Brown landfill accepted 40 55-gallon drums of material which would now be classified as hazardous waste, and a small quantity of hazardous waste was located at the landfill between 1987 and 1989. A screening site inspection was performed by the Illinois Environmental Protection Agency ("IEPA") in 1989. That inspection and further testing disclosed the presence of minimal contamination of groundwater beneath the landfill. The results of the screening site inspection were forwarded to the EPA, which approved them without comment. At this time, neither the EPA</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295" w:right="1440" w:bottom="1440" w:gutter="0" w:footer="0" w:header="0"/>
          <w:type w:val="continuous"/>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112</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nor the IEPA has recommended or required any remedial action, beyond normal closure and post-closure monitoring, on the part of USA Waste with respect to any hazardous substance present at the disposal facility. However, because of the acceptance of the drums and the location of the limited amount of hazardous waste at the site, the IEPA could demand that USA Waste obtain a permit for a hazardous waste facility. The process of securing this permit could take several years and could result in significant expenditures, the extent of which are uncertain at this time. Further, the IEPA could also require USA Waste to develop and execute a closure and post-closure plan, which is separate and apart from the closure and post-closure plan already approved by the IEPA for the non-hazardous landfill. This requirement would not necessarily mean that the landfill would be precluded from continuing to accept waste. The costs of developing and executing a new closure and post-closure plan are dependent, in part, on the area of the existing site that would be required to be closed and monitored as a hazardous waste facility and are uncertain at this time.</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November 1993, Envirofil acquired Kitsap County Sanitary Landfill, Inc. ("KCSL"), which owns the Olympic View landfill. Landfill operations at the Olympic View landfill began in the 1960s, at which time the site was known as the "Barney White" site. The 20-acre Barney White site was closed in 1985 after reaching its capacity. A flexible membrane liner was installed in late 1991, as an enhancement to the existing natural soil cap, in order to minimize the production of leachate following detection of a small amount of hazardous materials in groundwater monitoring wells downgradient from the site. Samples collected from the on-site monitoring wells at the Barney White site by the previous owner of the Olympic View landfill show that the levels of contamination found in the groundwater decrease significantly as the distance from the old site increases and recent testing near the site boundary revealed no contaminants above regulatory levels. USA Waste has implemented a groundwater monitoring program and has commenced a program of institutional controls at the site. USA Waste believes that these remedies are sufficient to mitigate environmental risks and provide a long-term solution to costly remediation.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addition, from May 1979 to May 1994 KCSL operated the Hansville County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landfill under a lease agreement with Kitsap County, Washington. Under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KCSL was required to operate the landfill until 1989, when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 was replaced by a transfer station. The lease agreement does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provisions relating to closure costs and post-closure monitoring.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KCSL funded the closure costs and, at the request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landfill-permitting agency, implemented certain measures in response to minor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groundwater contamination detected near the site. USA Waste believes KCSL has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 its obligation by implementing such measures. There can be no assurance,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state or federal environmental authorities will not require KCSL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finance additional investigation of the site or remedial action at the site.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KCSL has been indemnified by its previous owner against costs in excess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that may be incurred by KCSL to mitigate any required action. Envirofil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placed $500,000 in escrow at the closing of its acquisition of KCSL to fund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KCSL may be required to bear relating to the Hansville County landfill.</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State and Local Regulation. The states in which USA Waste operates have their own laws and regulations governing hazardous and non-hazardous solid waste disposal, water and air pollution, and, in most cases, releases and cleanup of hazardous substances and liability for such matters. The states also have adopted regulations governing the siting, design, operation, maintenance, closure, and post-closure maintenance of landfills and transfer stations. USA Waste's facilities and operations are likely to be subject to many, if not all, of these types of requirements. In addition, USA Waste's collection and landfill operations may be affected by the trend in many states toward requiring the development of waste reduction and recycling programs. For example, several states recently have enacted laws that require counties to adopt comprehensive plans to reduce, through waste planning, composting, recycling, or other programs, the volume of solid waste deposited in landfills. Additionally, the disposal of yard waste in solid waste landfills has recently been banned in several states. Legislative and regulatory measures to mandate or encourage waste reduction at the source and waste recycling have also been considered from time to time by Congress and the EPA.</w:t>
      </w:r>
    </w:p>
    <w:p>
      <w:pPr>
        <w:spacing w:after="0" w:line="19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Various states have enacted, or are considering enacting, laws that restrict the disposal within the state of hazardous and non-hazardous solid wastes generated outside the state. While laws that overtly discriminate against out-of-state waste have been found to be unconstitutional, some laws that are less overtly discriminatory have been upheld in court. Certain state and local governments have enacted "flow control" regulations, which attempt to require that all waste generated within the state or local jurisdiction go to specific disposal</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295" w:right="1440" w:bottom="1440" w:gutter="0" w:footer="0" w:header="0"/>
          <w:type w:val="continuous"/>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113</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sites. In May 1994, the U.S. Supreme Court ruled that a flow control ordinance was unconstitutional. Challenges to other such laws are pending. The outcome of pending litigation and the likelihood that other such laws will be passed and will survive constitutional challenge are uncertain. In addition, Congress has considered legislation authorizing states to adopt such restrictions. If state laws restricting the interstate disposal of solid waste are passed and upheld, USA Waste's ability to expand landfill operations acquired in certain areas could be adversely affected.</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Many states and local jurisdictions in which USA Waste operates have enacted "fitness" laws that allow agencies having jurisdiction over waste services contracts or site permits to decline to award such contracts or deny or revoke such permits on the basis of an applicant's environmental and legal compliance history. These laws authorize the agencies to make determinations of an applicant's fitness to be awarded a contract or to operate a facility and to deny or revoke a contract or permit because of unfitness absent a showing that the applicant has been rehabilitated through the adoption of various operating policies and procedures to assure future compliance with applicable laws and regulations.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principal property and equipment of USA Waste consists of land (primarily landfill sites, transfer stations, and bases for collection operations), buildings, soil remediation facilities, and vehicles and equipment. The nine landfill operations owned by USA Waste are situated on sites owned by USA Waste, with the exception of the Pinecrest landfill, which is partially leased under a lease that expires in December 1996, but may be extended by USA Waste until 2006.</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leases approximately 11,500 square feet of office space in Dallas for its executive office under a five-year lease expiring in 1999. USA Waste owns real estate, buildings, and other physical properties that it employs in substantially all of its solid waste collection operations. USA Waste also leases a portion of its transfer stations, offices, and garage and shop facilities.</w:t>
      </w:r>
    </w:p>
    <w:p>
      <w:pPr>
        <w:spacing w:after="0" w:line="190"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USA Waste owns approximately 640 items of equipment including waste collection vehicles and related support vehicles, as well as bulldozers, compactors, earth movers, and related heavy equipment and vehicles used in landfill operations. USA Waste has more than 50,000 steel containers in use, ranging from two to 40 cubic yards, and a number of stationary compactors and self-dumping hoppers.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USA Waste is a party to various litigation matters arising in the ordinary course of business, including claims for personal injury and property damage arising out of accidents involving its vehicles. Management believes that the ultimate resolution of these matters will not have a material adverse impact on USA Waste's financial condition. In the normal course of its business and as a result of the extensive government regulation of the solid waste industry, USA Waste periodically may become subject to various judicial and administrative proceedings involving federal, state, or local agencies. To date, USA Waste has not been required to pay any material fine or had a judgment entered against it for violation of any environmental law. From time to time USA Waste also may be subjected to actions brought by citizen's groups in connection with the permitting of landfills or transfer stations, or alleging violations of the permits pursuant to which USA Waste operates. A lawsuit, Elaine Manheimer, et al. v. Port of Bremerton et al., cause no. 95-2-006661, has been filed in Superior Court of Thurston County, Washington on March 10, 1995 and was served on Kitsap County Sanitary Landfill ("KCSL") on April 11, 1995. The complaint is styled as a class action for property damage, medical monitoring and injunctive relief against all defendants. KCSL owns and operates the Olympic View Sanitary Landfill. Plaintiffs claim that releases of contaminants from the landfill into the air, water, or soil have decreased the value of their properties, caused them to incur response costs under either the state Model Toxics Control Act or the federal Comprehensive Environmental Response Compensation and Liability Act, and necessitate medical monitoring for possible health action. No discovery has been conducted to date with respect to this lawsuit. Accordingly, although USA Waste does not believe that the existence or ultimate resolution of this suit will have a material adverse effect on the financial condition of USA Waste, USA Waste cannot predict the outcome of such suit.</w:t>
      </w:r>
    </w:p>
    <w:p>
      <w:pPr>
        <w:sectPr>
          <w:pgSz w:w="11900" w:h="16838" w:orient="portrait"/>
          <w:cols w:equalWidth="0" w:num="1">
            <w:col w:w="10219"/>
          </w:cols>
          <w:pgMar w:left="240" w:top="295" w:right="1440" w:bottom="1440" w:gutter="0" w:footer="0" w:header="0"/>
        </w:sectPr>
      </w:pPr>
    </w:p>
    <w:p>
      <w:pPr>
        <w:spacing w:after="0" w:line="18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95" w:right="1440" w:bottom="1440" w:gutter="0" w:footer="0" w:header="0"/>
          <w:type w:val="continuous"/>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114</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Since the announcement of the Merger, three cases have been filed in the Court of Chancery of the State of Delaware in New Castle County against Chambers, its officers and directors and USA Waste and Envirofil. These cases include Smith v. Rangos et al., C. A. No. 13906, Krim v. Rangos et al., C. A. No. 13985, and Adams v. Rangos et al., C. A. No. 13909. Each of these actions relates to the Merger and all of them seek substantially similar relief. Accordingly, a consolidation order was entered by the Court of Chancery on March 1, 1995. The cases have been consolidated for all purposes under Smith v. Rangos, et al. at C. A. No. 13906 and the caption of the consolidated case is In Re Chambers Development Company, Inc. Shareholders Litigation, Consolidated C. A. No. 13906.</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complaint which will govern the consolidated action is the complaint filed in the Krim action. The Krim complaint is brought as a purported class action on behalf of the plaintiff and all similarly situated Chambers security holders, excluding defendants and any person, firm, corporation or similar entity related to or affiliated with any of the defendants. The complaint alleges that the individual defendants, inter alia, engaged in unfair dealing to the detriment of the putative class; the Merger is grossly unfair to the members of the putative class; the members of the putative class would be irreparably damaged if the Merger were to be consummated; and the defendants' conduct constituted a breach of fiduciary and other common law duties allegedly owed to the putative class. The complaint alleges that the Merger consideration is inadequate for various reasons and that the individual defendants failed to maximize shareholder value.</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w:t>
      </w:r>
    </w:p>
    <w:p>
      <w:pPr>
        <w:spacing w:after="0" w:line="17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295" w:right="1440" w:bottom="1440" w:gutter="0" w:footer="0" w:header="0"/>
        </w:sectPr>
      </w:pPr>
    </w:p>
    <w:bookmarkStart w:id="117" w:name="page118"/>
    <w:bookmarkEnd w:id="117"/>
    <w:p>
      <w:pPr>
        <w:spacing w:after="0" w:line="44"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115</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SELECTED HISTORICAL CONSOLIDATED FINANCIAL DATA OF USA WASTE</w:t>
      </w:r>
    </w:p>
    <w:p>
      <w:pPr>
        <w:spacing w:after="0" w:line="186" w:lineRule="exact"/>
        <w:rPr>
          <w:sz w:val="20"/>
          <w:szCs w:val="20"/>
          <w:color w:val="auto"/>
        </w:rPr>
      </w:pPr>
    </w:p>
    <w:p>
      <w:pPr>
        <w:ind w:left="3" w:right="3020" w:firstLine="473"/>
        <w:spacing w:after="0"/>
        <w:rPr>
          <w:sz w:val="20"/>
          <w:szCs w:val="20"/>
          <w:color w:val="auto"/>
        </w:rPr>
      </w:pPr>
      <w:r>
        <w:rPr>
          <w:rFonts w:ascii="Courier New" w:cs="Courier New" w:eastAsia="Courier New" w:hAnsi="Courier New"/>
          <w:sz w:val="16"/>
          <w:szCs w:val="16"/>
          <w:color w:val="auto"/>
        </w:rPr>
        <w:t>The following selected historical consolidated financial data for USA Waste for each of the five years in the period ended December 31, 1994 has been derived from its historical audited consolidated financial statements and for the three months ended March 31, 1994 and 1995, have been derived from historical unaudited consolidated financial statements. This selected information should be read in conjunction with the separate consolidated financial statements and the notes thereto of USA Waste located elsewhere herein. The unaudited data includes, in the opinion of USA Waste's management, all adjustments necessary to present fairly the information for such periods. The results for the three-month period ended March 31, 1995 are not necessarily indicative of the results that may be expected for the full year. The data set forth below include the accounts of USA Waste and the businesses acquired in transactions accounted for as poolings of interests as if such businesses had always been members of the same operating group. Businesses acquired in transactions accounted for under the purchase method of accounting are included from their respective dates of acquisition.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right"/>
              <w:ind w:right="381"/>
              <w:spacing w:after="0"/>
              <w:rPr>
                <w:sz w:val="20"/>
                <w:szCs w:val="20"/>
                <w:color w:val="auto"/>
              </w:rPr>
            </w:pPr>
            <w:r>
              <w:rPr>
                <w:rFonts w:ascii="Courier New" w:cs="Courier New" w:eastAsia="Courier New" w:hAnsi="Courier New"/>
                <w:sz w:val="16"/>
                <w:szCs w:val="16"/>
                <w:color w:val="auto"/>
              </w:rPr>
              <w:t>THREE MONTHS</w:t>
            </w:r>
          </w:p>
        </w:tc>
      </w:tr>
      <w:tr>
        <w:trPr>
          <w:trHeight w:val="182"/>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ENDED</w:t>
            </w:r>
          </w:p>
        </w:tc>
        <w:tc>
          <w:tcPr>
            <w:tcW w:w="74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rPr>
              <w:t>YEAR ENDED DECEMBER 31,</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36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3"/>
                <w:szCs w:val="3"/>
                <w:color w:val="auto"/>
                <w:w w:val="95"/>
              </w:rPr>
              <w:t>-------------------------------------------------</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8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1990</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1991</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gridSpan w:val="8"/>
          </w:tcPr>
          <w:p>
            <w:pPr>
              <w:jc w:val="right"/>
              <w:ind w:right="581"/>
              <w:spacing w:after="0"/>
              <w:rPr>
                <w:sz w:val="20"/>
                <w:szCs w:val="20"/>
                <w:color w:val="auto"/>
              </w:rPr>
            </w:pPr>
            <w:r>
              <w:rPr>
                <w:rFonts w:ascii="Courier New" w:cs="Courier New" w:eastAsia="Courier New" w:hAnsi="Courier New"/>
                <w:sz w:val="16"/>
                <w:szCs w:val="16"/>
                <w:color w:val="auto"/>
              </w:rPr>
              <w:t>(IN THOUSANDS, EXCEPT PER SHARE AMOUNTS)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STATEMENT OF OPERATIONS DATA(1):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$10,594</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$20,653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$57,049</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$ 93,753</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$176,235</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38,205</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46,508</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3,794</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8,564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28,128</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49,251</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101,069</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21,915</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25,496</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3,737</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5,424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11,612</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17,497</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23,463</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5,321</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6,087</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Nonrecurring charges................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4,166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6,756</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923</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3,782</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992</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3,598</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5,776</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10,588</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18,785</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4,393</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5,408</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8,523</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21,272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52,272</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78,229</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147,099</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31,629</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36,991</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(loss) from operations.........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2,071</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4,777</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15,524</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29,136</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6,576</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9,517</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(918)</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(2,899)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(4,212)</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(6,856)</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(10,385)</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(2,457)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(3,152)</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610</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1,113</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591</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116</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288</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822</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2,249</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947</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(2,225)</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(3,587)</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(4,921)</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(7,545)</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(2,236)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(1,917)</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(loss) before income taxes.....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1,285</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(3,324)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1,190</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10,603</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21,591</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4,340</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7,600</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Provision for income taxes............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466</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1,313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3,955</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5,413</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7,760</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1,636</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2,812</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operations..........................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(4,637)</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(2,765)</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5,190</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13,831</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2,704</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4,788</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Income (loss) from discontinued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operations, net of income taxes.....</w:t>
            </w:r>
          </w:p>
        </w:tc>
        <w:tc>
          <w:tcPr>
            <w:tcW w:w="2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(2,751)</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897</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Extraordinary income from forgiveness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of debt, net of income taxes........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10,066</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income (loss).....................</w:t>
            </w:r>
          </w:p>
        </w:tc>
        <w:tc>
          <w:tcPr>
            <w:tcW w:w="2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(1,932)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(7,447)</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8,198</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5,190</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13,831</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2,704</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4,788</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Preferred dividends...................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220</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152</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582</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565</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380</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Income (loss) available to common</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shareholders........................</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$(2,152)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$(7,447)</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$ 8,046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4,608</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$ 13,266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2,324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4,788</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operations per common share.........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0.07</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(0.46)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(0.20)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0.26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0.61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0.21</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(loss) per common share........</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(0.26)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(0.74)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0.54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0.26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0.61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0.21</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Weighted average common and common</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equivalent shares...................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8,164</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10,051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14,878</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18,056</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21,842</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19,408</w:t>
            </w: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23,259</w:t>
            </w:r>
          </w:p>
        </w:tc>
      </w:tr>
      <w:tr>
        <w:trPr>
          <w:trHeight w:val="182"/>
        </w:trPr>
        <w:tc>
          <w:tcPr>
            <w:tcW w:w="3680" w:type="dxa"/>
            <w:vAlign w:val="bottom"/>
          </w:tcPr>
          <w:p>
            <w:pPr>
              <w:spacing w:after="0"/>
              <w:rPr>
                <w:sz w:val="15"/>
                <w:szCs w:val="15"/>
                <w:color w:val="auto"/>
              </w:rPr>
            </w:pPr>
          </w:p>
        </w:tc>
        <w:tc>
          <w:tcPr>
            <w:tcW w:w="9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BALANCE SHEET DATA (AT END OF</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2381"/>
              <w:spacing w:after="0"/>
              <w:rPr>
                <w:sz w:val="20"/>
                <w:szCs w:val="20"/>
                <w:color w:val="auto"/>
              </w:rPr>
            </w:pPr>
            <w:r>
              <w:rPr>
                <w:rFonts w:ascii="Courier New" w:cs="Courier New" w:eastAsia="Courier New" w:hAnsi="Courier New"/>
                <w:sz w:val="16"/>
                <w:szCs w:val="16"/>
                <w:color w:val="auto"/>
              </w:rPr>
              <w:t>PERIOD)(1):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Working capital (deficit).............</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(642)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$ 8,828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8,619</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$ 19,042</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Total assets..........................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29,443</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69,235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141,466</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238,819</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323,167</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338,224</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maturities..........................</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11,523</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37,694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58,505</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115,174</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155,733</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169,450</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Stockholders' equity..................</w:t>
            </w:r>
          </w:p>
        </w:tc>
        <w:tc>
          <w:tcPr>
            <w:tcW w:w="2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11,802</w:t>
            </w: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22,939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56,677</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78,081</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107,986</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113,346</w:t>
            </w:r>
          </w:p>
        </w:tc>
      </w:tr>
    </w:tbl>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3020" w:hanging="463"/>
        <w:spacing w:after="0" w:line="267" w:lineRule="auto"/>
        <w:tabs>
          <w:tab w:leader="none" w:pos="36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statement of operations and balance sheet data have been restated to include certain acquisitions accounted for as poolings of interests. See</w:t>
      </w:r>
    </w:p>
    <w:p>
      <w:pPr>
        <w:sectPr>
          <w:pgSz w:w="11900" w:h="16883" w:orient="portrait"/>
          <w:cols w:equalWidth="0" w:num="1">
            <w:col w:w="10583"/>
          </w:cols>
          <w:pgMar w:left="237" w:top="295" w:right="1079" w:bottom="0" w:gutter="0" w:footer="0" w:header="0"/>
        </w:sectPr>
      </w:pPr>
    </w:p>
    <w:bookmarkStart w:id="118" w:name="page119"/>
    <w:bookmarkEnd w:id="118"/>
    <w:p>
      <w:pPr>
        <w:ind w:right="3319"/>
        <w:spacing w:after="0" w:line="237" w:lineRule="auto"/>
        <w:rPr>
          <w:sz w:val="20"/>
          <w:szCs w:val="20"/>
          <w:color w:val="auto"/>
        </w:rPr>
      </w:pPr>
      <w:r>
        <w:rPr>
          <w:rFonts w:ascii="Courier New" w:cs="Courier New" w:eastAsia="Courier New" w:hAnsi="Courier New"/>
          <w:sz w:val="16"/>
          <w:szCs w:val="16"/>
          <w:color w:val="auto"/>
        </w:rPr>
        <w:t>Note 2 to the Consolidated Financial Statements of USA Waste located elsewhere herein.</w:t>
      </w:r>
    </w:p>
    <w:p>
      <w:pPr>
        <w:spacing w:after="0" w:line="18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9759"/>
          </w:cols>
          <w:pgMar w:left="700" w:top="14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116</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MANAGEMENT'S DISCUSSION AND ANALYSIS OF USA WASTE'S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86"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5"/>
          <w:szCs w:val="15"/>
          <w:color w:val="auto"/>
        </w:rPr>
        <w:t>The following discussion reviews USA Waste's operations for the three months ended March 31, 1994 and 1995 and for the three years ended December 31, 1994, and should be read in conjunction with USA Waste's Consolidated Financial Statements and related notes thereto and Selected Consolidated Financial Data.</w:t>
      </w:r>
    </w:p>
    <w:p>
      <w:pPr>
        <w:spacing w:after="0" w:line="3"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USA Waste has restated its previously issued financial statements to reflect the acquisition of Envirofil consummated on May 27, 1994, and accounted for using the pooling of interests method of accounting.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however, in a few instances, the fees are based on the volume of waste collected. Fees for commercial and industrial services are normally based on the type and frequency of service and the volume of solid waste collected.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revenues from its landfill operations consist of disposal fees (known as tipping fees) charged to third parties and are normally billed monthly. Tipping fees are based on the volume or weight of solid waste being disposed of at USA Waste's landfill sites. USA Waste also operates transfer stations where solid waste is deposited by collection vehicles and then loaded into larger trucks and transported to landfills for disposal. Fees are charged at the transfer stations based on the volume of solid waste deposited, taking into account USA Waste's cost of loading, trucking, and disposing of the solid waste at its landfills. Intercompany revenues between USA Waste's landfill and collection operations have been eliminated in the financial statements presented herein.</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Operating expenses include direct and indirect labor and the related taxes and benefits, fuel, maintenance and repairs of equipment and facilities, tipping fees paid to third party landfills, certain landfill fees and taxes, and accruals for future landfill closure costs. Certain direct landfill development expenses are capitalized and amortized over the estimated useful life of the site as capacity is consumed, and include acquisition, engineering, upgrading, construction, and permitting costs. All indirect development expenses, such as administrative salaries and general corporate overhead, are expensed in the period incurred.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General and administrative costs include management salaries, clerical, and administrative costs, professional services, facility rentals, and related insurance costs, as well as costs related to USA Waste's marketing and sales force.</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295"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117</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following table presents, for the periods indicated, the period to period change in dollars (in thousands) and percent for the various Consolidated Statements of Income items of USA Waste.</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PERIOD TO PERIOD CHANGE</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Courier New" w:cs="Courier New" w:eastAsia="Courier New" w:hAnsi="Courier New"/>
                <w:sz w:val="3"/>
                <w:szCs w:val="3"/>
                <w:color w:val="auto"/>
              </w:rPr>
              <w:t>---------------------------------------</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FOR THE THREE</w:t>
            </w:r>
          </w:p>
        </w:tc>
      </w:tr>
      <w:tr>
        <w:trPr>
          <w:trHeight w:val="182"/>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FOR THE YEARS</w:t>
            </w:r>
          </w:p>
        </w:tc>
        <w:tc>
          <w:tcPr>
            <w:tcW w:w="20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FOR THE YEARS</w:t>
            </w:r>
          </w:p>
        </w:tc>
        <w:tc>
          <w:tcPr>
            <w:tcW w:w="17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MONTHS ENDED</w:t>
            </w:r>
          </w:p>
        </w:tc>
      </w:tr>
      <w:tr>
        <w:trPr>
          <w:trHeight w:val="182"/>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w w:val="96"/>
              </w:rPr>
              <w:t>ENDED DECEMBER</w:t>
            </w:r>
          </w:p>
        </w:tc>
        <w:tc>
          <w:tcPr>
            <w:tcW w:w="20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ENDED DECEMBER</w:t>
            </w: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MARCH 31, 1994</w:t>
            </w:r>
          </w:p>
        </w:tc>
      </w:tr>
      <w:tr>
        <w:trPr>
          <w:trHeight w:val="182"/>
        </w:trPr>
        <w:tc>
          <w:tcPr>
            <w:tcW w:w="3680" w:type="dxa"/>
            <w:vAlign w:val="bottom"/>
          </w:tcPr>
          <w:p>
            <w:pPr>
              <w:spacing w:after="0"/>
              <w:rPr>
                <w:sz w:val="15"/>
                <w:szCs w:val="15"/>
                <w:color w:val="auto"/>
              </w:rPr>
            </w:pPr>
          </w:p>
        </w:tc>
        <w:tc>
          <w:tcPr>
            <w:tcW w:w="2000" w:type="dxa"/>
            <w:vAlign w:val="bottom"/>
            <w:gridSpan w:val="3"/>
          </w:tcPr>
          <w:p>
            <w:pPr>
              <w:jc w:val="right"/>
              <w:ind w:right="221"/>
              <w:spacing w:after="0"/>
              <w:rPr>
                <w:sz w:val="20"/>
                <w:szCs w:val="20"/>
                <w:color w:val="auto"/>
              </w:rPr>
            </w:pPr>
            <w:r>
              <w:rPr>
                <w:rFonts w:ascii="Courier New" w:cs="Courier New" w:eastAsia="Courier New" w:hAnsi="Courier New"/>
                <w:sz w:val="16"/>
                <w:szCs w:val="16"/>
                <w:color w:val="auto"/>
              </w:rPr>
              <w:t>31, 1992 AND 1993</w:t>
            </w:r>
          </w:p>
        </w:tc>
        <w:tc>
          <w:tcPr>
            <w:tcW w:w="20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31, 1993 AND 1994</w:t>
            </w:r>
          </w:p>
        </w:tc>
        <w:tc>
          <w:tcPr>
            <w:tcW w:w="17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AND 1995</w:t>
            </w:r>
          </w:p>
        </w:tc>
      </w:tr>
      <w:tr>
        <w:trPr>
          <w:trHeight w:val="182"/>
        </w:trPr>
        <w:tc>
          <w:tcPr>
            <w:tcW w:w="36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2"/>
              </w:rPr>
              <w:t>-----------------</w:t>
            </w:r>
          </w:p>
        </w:tc>
        <w:tc>
          <w:tcPr>
            <w:tcW w:w="1140" w:type="dxa"/>
            <w:vAlign w:val="bottom"/>
          </w:tcPr>
          <w:p>
            <w:pPr>
              <w:spacing w:after="0"/>
              <w:rPr>
                <w:sz w:val="15"/>
                <w:szCs w:val="15"/>
                <w:color w:val="auto"/>
              </w:rPr>
            </w:pPr>
          </w:p>
        </w:tc>
        <w:tc>
          <w:tcPr>
            <w:tcW w:w="20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36,704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64.3%</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$82,482</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88.0%</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$8,303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21.7%</w:t>
            </w:r>
          </w:p>
        </w:tc>
      </w:tr>
      <w:tr>
        <w:trPr>
          <w:trHeight w:val="182"/>
        </w:trPr>
        <w:tc>
          <w:tcPr>
            <w:tcW w:w="36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21,123</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75.1</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51,818</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105.2</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3,581</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16.3</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5,885</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50.7</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5,966</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34.1</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766</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14.4</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Nonrecurring charges................</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(5,833)</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(86.3)</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2,859</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309.8</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4,782</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82.8</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8,227</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77.9</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1,015</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23.1</w:t>
            </w:r>
          </w:p>
        </w:tc>
      </w:tr>
      <w:tr>
        <w:trPr>
          <w:trHeight w:val="182"/>
        </w:trPr>
        <w:tc>
          <w:tcPr>
            <w:tcW w:w="36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25,957</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49.7</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68,870</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88.0</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5,362</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17.0</w:t>
            </w:r>
          </w:p>
        </w:tc>
      </w:tr>
      <w:tr>
        <w:trPr>
          <w:trHeight w:val="182"/>
        </w:trPr>
        <w:tc>
          <w:tcPr>
            <w:tcW w:w="36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from operations................</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10,747</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225.0</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13,612</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87.7</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2,941</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44.7</w:t>
            </w:r>
          </w:p>
        </w:tc>
      </w:tr>
      <w:tr>
        <w:trPr>
          <w:trHeight w:val="182"/>
        </w:trPr>
        <w:tc>
          <w:tcPr>
            <w:tcW w:w="36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expense, net...............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(2,644)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(62.8)</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(3,529)</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(51.5)</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(695)</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28.3</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503</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82.5</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(522)</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(46.9)</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172</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147.4</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807</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538.0</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1,427</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173.6</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842</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809.6</w:t>
            </w:r>
          </w:p>
        </w:tc>
      </w:tr>
      <w:tr>
        <w:trPr>
          <w:trHeight w:val="182"/>
        </w:trPr>
        <w:tc>
          <w:tcPr>
            <w:tcW w:w="36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(1,334)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(37.2)</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(2,624)</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(53.3)</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r>
      <w:tr>
        <w:trPr>
          <w:trHeight w:val="182"/>
        </w:trPr>
        <w:tc>
          <w:tcPr>
            <w:tcW w:w="36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9,413</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791.0</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10,988</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103.6</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3,260</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75.1</w:t>
            </w: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Provision for income taxes............</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1,458</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36.9</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2,347</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43.4</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1,176</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71.9</w:t>
            </w:r>
          </w:p>
        </w:tc>
      </w:tr>
      <w:tr>
        <w:trPr>
          <w:trHeight w:val="182"/>
        </w:trPr>
        <w:tc>
          <w:tcPr>
            <w:tcW w:w="36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6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from continuing operations.....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7,955</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287.7</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$ 8,641</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166.5</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$2,084</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77.1</w:t>
            </w:r>
          </w:p>
        </w:tc>
      </w:tr>
      <w:tr>
        <w:trPr>
          <w:trHeight w:val="182"/>
        </w:trPr>
        <w:tc>
          <w:tcPr>
            <w:tcW w:w="36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bl>
    <w:p>
      <w:pPr>
        <w:spacing w:after="0" w:line="368"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The following table presents for the periods indicated, the percentage relationship that the various Consolidated Statements of Income items of USA Waste bear to operating revenues.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THREE MONTHS</w:t>
            </w:r>
          </w:p>
        </w:tc>
      </w:tr>
      <w:tr>
        <w:trPr>
          <w:trHeight w:val="182"/>
        </w:trPr>
        <w:tc>
          <w:tcPr>
            <w:tcW w:w="4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ENDED</w:t>
            </w:r>
          </w:p>
        </w:tc>
      </w:tr>
      <w:tr>
        <w:trPr>
          <w:trHeight w:val="182"/>
        </w:trPr>
        <w:tc>
          <w:tcPr>
            <w:tcW w:w="4160" w:type="dxa"/>
            <w:vAlign w:val="bottom"/>
          </w:tcPr>
          <w:p>
            <w:pPr>
              <w:spacing w:after="0"/>
              <w:rPr>
                <w:sz w:val="15"/>
                <w:szCs w:val="15"/>
                <w:color w:val="auto"/>
              </w:rPr>
            </w:pPr>
          </w:p>
        </w:tc>
        <w:tc>
          <w:tcPr>
            <w:tcW w:w="322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YEAR ENDED DECEMBER 31,</w:t>
            </w:r>
          </w:p>
        </w:tc>
        <w:tc>
          <w:tcPr>
            <w:tcW w:w="19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4160" w:type="dxa"/>
            <w:vAlign w:val="bottom"/>
          </w:tcPr>
          <w:p>
            <w:pPr>
              <w:spacing w:after="0"/>
              <w:rPr>
                <w:sz w:val="15"/>
                <w:szCs w:val="15"/>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0"/>
              </w:rPr>
              <w:t>-----------------------------</w:t>
            </w:r>
          </w:p>
        </w:tc>
        <w:tc>
          <w:tcPr>
            <w:tcW w:w="1140" w:type="dxa"/>
            <w:vAlign w:val="bottom"/>
          </w:tcPr>
          <w:p>
            <w:pPr>
              <w:spacing w:after="0"/>
              <w:rPr>
                <w:sz w:val="15"/>
                <w:szCs w:val="15"/>
                <w:color w:val="auto"/>
              </w:rPr>
            </w:pPr>
          </w:p>
        </w:tc>
        <w:tc>
          <w:tcPr>
            <w:tcW w:w="1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1993</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Disposal.................................</w:t>
            </w: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23.0%</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22.9%</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Waste collection.........................</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75.0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67.5</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71.0</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68.6</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100.0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100.0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100.0</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100.0</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49.3</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52.5</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57.3</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54.8</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20.4</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13.3</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Nonrecurring charges.....................</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11.8</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10.1</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10.7</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91.6</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83.4</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83.5</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79.5</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from operations.....................</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8.4</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16.5</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20.5</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expense, net....................</w:t>
            </w: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(7.4)</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0.3</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net...............................</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0.9</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(6.3)</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provision for income taxes...</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Provision for income taxes.................</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6.9</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from continuing operations..........</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(4.8)%</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82"/>
        </w:trPr>
        <w:tc>
          <w:tcPr>
            <w:tcW w:w="41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5" w:right="1440" w:bottom="163" w:gutter="0" w:footer="0" w:header="0"/>
        </w:sectPr>
      </w:pP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295" w:right="1440" w:bottom="163" w:gutter="0" w:footer="0" w:header="0"/>
          <w:type w:val="continuous"/>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118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FOR THE THREE MONTHS ENDED MARCH 31, 1994 AND 1995</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Revenues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Operating revenues for the three months ended March 31, 1995,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$46,508,000, representing an increase of $8,303,000, or 21.7% from 1994. The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business acquisitions and dispositions accounted for an increase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 over 1994. Operating revenues for comparable operations increased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13.6% during 1995 compared to 1994, as a result of increases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 and 10.7% in prices and volume, respectively. The increase in operating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due to volume is the result of intensive marketing efforts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improved weather conditions in certain market areas in 1995 as compared to 1994.</w:t>
      </w:r>
    </w:p>
    <w:p>
      <w:pPr>
        <w:spacing w:after="0" w:line="19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Costs and Expenses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operating costs and expenses for the three months ended March 31, 1995, of $25,496,000 represented an increase of $3,581,000, or 16.3%, compared to the corresponding period of 1994. The net effect of business acquisitions and dispositions accounted for an increase of 9.2% over 1994. Operating costs and expenses for comparable operations accounted for an 7.1% increase. Operating costs and expenses as a percentage of revenues decreased from 57.4% during the first quarter of 1994 to 54.8% for the same period of 1995, primarily as a result of two factors. The decrease in the operating costs and expenses as a percentage of revenues is due in part to the increase in operating revenues, including the volume increases in market areas which were negatively affected by the severe weather conditions in the first quarter of 1994. In addition, the decrease in operating costs and expenses is due in part to the effect of USA Waste's strategic business decision to exit the Phoenix market, which experienced low operating margins in 1994. In addition, several of USA Waste's businesses were acquired in 1994 and operating efficiencies and cost improvements have been implemented to improve margins as these companies are integrated into USA Waste's operations.</w:t>
      </w:r>
    </w:p>
    <w:p>
      <w:pPr>
        <w:spacing w:after="0" w:line="18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and Administrative</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General and administrative expenses for the three months ended March 31, 1995, increased $766,000, or 14.4%, over the same period of 1994. However, general and administrative expenses as a percentage of operating revenues decreased from approximately 13.9% in the first quarter of 1994 to 13.1% in the comparable period of 1995, due to USA Waste's ability to integrate new acquisition revenues without a corresponding increase in general and administrative expenses and the cost savings resulting from the merger with Envirofil.</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Depreciation and Amortization</w:t>
      </w:r>
    </w:p>
    <w:p>
      <w:pPr>
        <w:spacing w:after="0" w:line="3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Depreciation and amortization expense increased from $4,393,000 for the three months ended March 31, 1994, to $5,408,000 for the same period of 1995, reflecting an increase of $1,015,000, or 23.1%. The net effect of business acquisitions and dispositions accounted for an increase of $457,000, while existing operations reflected an increase of $558,000, primarily resulting from additional equipment necessary to service USA Waste's contracts. The increase discussed above is net of a change in the useful life of the excess of cost over net assets of acquired businesses from 25 years to 40 years to more appropriately reflect the estimated periods during which the benefit of the assets will be realized. USA Waste has adopted a useful life of 40 years as of January 1, 1995 to amortize the excess of cost over net assets of acquired businesses, which had the effect of reducing amortization expense approximately $360,000 for the three months ended March 31, 1995. Depreciation and amortization expense as a percentage of revenues increased slightly from 11.5% in the first quarter of 1994 to 11.6% for the same period in 1995.</w:t>
      </w:r>
    </w:p>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from Operations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For the reasons discussed above, income from operations increased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$2,941,000, or 44.7% during the first quarter of 1995 as compared to the same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 in 1994.</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19"/>
          </w:cols>
          <w:pgMar w:left="240" w:top="295" w:right="1440" w:bottom="1440" w:gutter="0" w:footer="0" w:header="0"/>
          <w:type w:val="continuous"/>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119</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 and Expense</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Other income and expense items consist primarily of interest expense, interest income and other income items, generally from the sale of assets. Interest expense increased to $3,152,000 for the three months ended March 31, 1995, as compared to $2,457,000 for the same period in 1994, an increase of 28.3%. In 1995, interest expense is net of interest capitalized during the period of approximately $337,000. The increase results from the growth in USA Waste's indebtedness incurred to finance USA Waste's accelerated growth through business acquisitions and capital expenditures and an increase in USA Waste's effective average borrowing rate to 8.7% for the three months ended March 31, 1995 as compared to 8.1% for the same period of 1994.</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net increased from $221,000 in the first quarter of 1994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$1,235,000 in the same period of 1995. The other income increase is primarily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 of the sale of real estate in the Phoenix, Arizona market in 1995.</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Provision for Income Taxes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provision for income taxes increased $1,176,000 for the three months ended March 31, 1995, as compared to 1994. The effective income tax rate was 37.0% for the first quarter of 1995 compared to 37.7% for the same period of 1994. The decrease in the effective tax rate is due to the fact that the periods prior to the Envirofil merger reflect the historical provision for income taxes of the separate companies and, therefore, those periods do not reflect the benefit of losses incurred by Envirofil for financial reporting purposes.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Income</w:t>
      </w:r>
    </w:p>
    <w:p>
      <w:pPr>
        <w:spacing w:after="0" w:line="186"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For the reasons discussed above, net income increased $2,084,000, or 77.1% during the first quarter of 1995 as compared to the same period of 1994.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FOR THE THREE YEARS ENDED DECEMBER 31, 1994</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Revenues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Operating revenues for the year ended December 31, 1994, were $176,235,000, representing an increase of $82,482,000, or 88.0% from 1993. New business made during 1994 and the full year effect of acquisitions made during 1993 accounted for an increase of 76.8% over 1993. Operating revenues for comparable operations increased approximately 11.2% during 1994 compared to 1993, as a result of increases of 3.8% and 7.4% in prices and volumes, respectively. Although operating revenues increased during 1994, revenues were detrimentally impacted at certain of USA Waste's more profitable markets due to severe weather conditions experienced in such markets during the first quarter of 1994.</w:t>
      </w:r>
    </w:p>
    <w:p>
      <w:pPr>
        <w:spacing w:after="0" w:line="175"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Operating revenues for the year ended December 31, 1993, were $93,753,000, representing an increase of $36,704,000, or 64.3% from 1992. New business acquisitions made during 1993 and the full year effect of acquisitions made during 1992 accounted for an increase of 59.1% over 1992. Operating revenues for comparable operations increased approximately 5.2% during 1993 compared to 1992, principally resulting from increases in prices.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Costs and Expenses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USA Waste's operating costs and expenses for the year ended December 31, 1994, of $101,069,000 represented an increase of $51,818,000, or 105.2%, compared to 1993. New business acquisitions made during 1994 and the full-year effect of acquisitions made during 1993 accounted for 92.6% of the increase in operating costs and expenses over 1993. Operating costs and expenses for comparable operations accounted for the remaining 12.6% increase. Operating costs and expenses as a percentage of revenues increased from 52.5% for 1993 to 57.3% for 1994. This overall increase is a result of several factors. USA Waste's operating costs and expenses were higher as a percentage of revenues due to the weather conditions negatively impacting operating revenues at certain more profitable market areas during the first quarter of 1994. In addition, this increase results from a change in USA Waste's mix of revenues to a larger percentage of the revenues being generated from collection operations. Waste collection revenues were approximately 71.0% of total operating revenues</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19"/>
          </w:cols>
          <w:pgMar w:left="240" w:top="295" w:right="1440" w:bottom="1440" w:gutter="0" w:footer="0" w:header="0"/>
          <w:type w:val="continuous"/>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120</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for 1994 as compared to 67.5% for 1993. Generally, operating costs and expenses as a percentage of operating revenues tend to be higher for collection operations than for disposal operations and thermal remediation operations. USA Waste also experienced higher operating costs in two of its larger collection operations during the second quarter, principally from higher labor costs and certain variable expenses, which were not offset by a corresponding increase in revenues. In addition, several of USA Waste's businesses were recently acquired and operating efficiencies and costs improvements are being implemented to improve margins as these companies are being integrated into USA Waste's operations.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operating costs and expenses for the year ended December 31, 1993, were $49,251,000, reflecting an increase of $21,123,000, or 75.1%, compared to 1992. New business acquisitions made during 1993 and the full year effect of acquisitions made during 1992 accounted for 69.2% of the increase in operating costs and expenses over 1992. Operating costs and expenses for comparable operations accounted for the remaining 5.9% increase. Operating costs and expenses as a percent of revenues increased to 52.5% for 1993 as compared to 49.3% for 1992. In general, operating costs and expenses as a percentage of operating revenues tend to be higher for collection operations than for disposal and thermal remediation operations. Waste collection revenues for 1993 were approximately 67.5% of operating revenues as compared to 75.0% for 1992, which generally will result in a decrease in operating costs and expenses as a percentage of operating revenues. Offsetting the decrease in operating costs and expenses as a percentage of operating revenues was the effect of USA Waste's entry into new market areas (Phoenix, Arizona; Seattle, Washington; and Northern California), where operating costs and expenses are currently higher than in other USA Waste markets.</w:t>
      </w:r>
    </w:p>
    <w:p>
      <w:pPr>
        <w:spacing w:after="0" w:line="18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and Administrative</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General and administrative expenses for the year ended December 31, 1994, increased approximately $5,966,000, or 34.1%, over 1993. Business acquisitions accounted for an increase in general and administrative expenses of approximately $7,722,000, while comparable operations reflected a decrease of $1,756,000. General and administrative expenses as a percentage of operating revenues decreased from approximately 18.6% in 1993 to 13.3% in 1994. The decrease in general and administrative expenses attributable to comparable operations and the decrease as a percentage of operating revenues is due to USA Waste's ability to integrate new acquisition revenues without a corresponding increase in general and administrative expenses and the cost savings resulting from the merger with Envirofil.</w:t>
      </w:r>
    </w:p>
    <w:p>
      <w:pPr>
        <w:spacing w:after="0" w:line="189"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General and administrative expenses for the year ended December 31, 1993, increased approximately $5,885,000, or 50.7%, over the same period of 1992. Business acquisitions accounted for 39.0% of the increase, while existing operations reflected an increase of 11.7% due primarily to additional corporate staff and expenses necessary manage the growth for the separate USA Waste and Envirofil companies prior to their combination in May 1994.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Nonrecurring charges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Nonrecurring charges for the year ended December 31, 1994, consist of approximately $3,782,000 for costs related to the Envirofil acquisition. Nonrecurring charges in 1993 consist of approximately $923,000 of stock compensation expenses incurred in connection with the issuance of stock warrants at below market price to certain new officers of Envirofil prior to its acquisition by USA Waste in May 1994. In 1992, the nonrecurring charges consisted of approximately $5,249,000 of stock compensation expenses as a result of granting stock warrants below market price and $1,507,000 of restructuring charges in connection with the reorganization of Envirofil in December 1992.</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Depreciation and Amortization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Depreciation and amortization expense increased from $10,558,000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1993, to $18,785,000 for 1994, reflecting an increase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$8,227,000, or 77.9%. Business acquisitions accounted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$7,417,000 of this increase, while existing operations reflected an increase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$810,000, primarily resulting from additional equipment necessary to service 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Waste's contracts.</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295" w:right="1440" w:bottom="1440" w:gutter="0" w:footer="0" w:header="0"/>
          <w:type w:val="continuous"/>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121</w:t>
      </w:r>
    </w:p>
    <w:p>
      <w:pPr>
        <w:spacing w:after="0" w:line="186"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Depreciation and amortization expense as a percentage of revenues decreased slightly from 11.3% in 1993 to 10.7% for 1994.</w:t>
      </w:r>
    </w:p>
    <w:p>
      <w:pPr>
        <w:spacing w:after="0" w:line="188"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As of January 1, 1995, USA Waste changed the useful life of the excess of cost over net assets of acquired businesses from 25 years to 40 years to more appropriately reflect the estimated periods during which the benefit of the assets will be realized. This change in accounting estimate is expected to have the effect of reducing amortization expense by approximately $1,200,000 in 1995.</w:t>
      </w:r>
    </w:p>
    <w:p>
      <w:pPr>
        <w:spacing w:after="0" w:line="174"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Depreciation and amortization expense increased to $10,558,000 in 1993 from $5,776,000 in 1992, reflecting an increase of approximately $4,782,000, or</w:t>
      </w:r>
    </w:p>
    <w:p>
      <w:pPr>
        <w:spacing w:after="0" w:line="1"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82.8%. Business acquisitions accounted for $4,295,000 of this increase, while existing operations reflected an increase of $487,000, primarily resulting from additional equipment necessary to service USA Waste's contracts. Depreciation and amortization expense as a percentage of revenues increased from 10.1% in 1992 to 11.3% in 1993.</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From Operations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For the reasons discussed above, income from operations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$13,612,000, or 87.7% during 1994 as compared to 1993, and $10,747,000, or 225%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1993 as compared to 1992. Income from operations was 16.5% of operating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for 1994 (18.7%, exclusive of merger costs) as compared to 16.6%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 and 8.4% for 1992.</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 and Expense</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Other income and expense items consist primarily of interest expense, interest income, and other income items, generally from the sale of assets. Interest expense increased to $10,385,000 for the year ended December 31, 1994, as compared to $6,856,000 for 1993, an increase of 51.5%. This increase resulted from the growth in USA Waste's indebtedness incurred to finance USA Waste's accelerated growth through business acquisitions and capital expenditures offset by a decrease in USA Waste's effective average borrowing rates from its bank revolving credit facility. Average outstanding indebtedness and the average effective borrowing rate for 1994 were approximately $138,675,000 and 8.2%, respectively, as compared to approximately $78,837,000 and 8.7% for 1993.</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Interest expense was $6,856,000 for the year ended December 31, 1993, as compared to $4,212,000 in 1992, an increase of 62.8%. This increase also resulted from the growth in USA Waste's indebtedness incurred to finance USA Waste's growth through business acquisitions and capital expenditures offset by a decrease in USA Waste's effective average borrowing rates from its bank revolving credit facility and the 8 1/2% Convertible Subordinated Debentures due 2002.</w:t>
      </w:r>
    </w:p>
    <w:p>
      <w:pPr>
        <w:spacing w:after="0" w:line="192"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Other income, net increased from $822,000 in 1993 to $2,249,000 in 1994. The increase is primarily the result of 1994 transactions, which include the sale of substantially all of USA Waste's operating assets in the Phoenix market, the sale of certain routes and customer lists, and the sale of excess equipment.</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provision for income taxes increased $2,347,000 for the year ended December 31, 1994, as compared to 1993 and increased $1,458,000 for the year ended December 31, 1993, as compared to 1992. The effective income tax rate decreased from 332.4% in 1992, to 51.1% in 1993, and then to 35.9% in 1994. The decrease in the effective tax rate and the unusual nature of the 1992 effective tax rate is due to the fact that the restated periods prior to the Envirofil acquisition reflect the historical provision for income taxes of the separate companies and, therefore, those periods do not reflect the benefit of losses incurred by Envirofil for financial reporting purposes.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(Loss) From Continuing Operations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For the reasons discussed above, income from continuing operations increased $8,641,000, or 166.5% during 1994 as compared to 1993, and $7,955,000, or 287.7%, during 1993 as compared to 1992.</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108</w:t>
      </w:r>
    </w:p>
    <w:p>
      <w:pPr>
        <w:sectPr>
          <w:pgSz w:w="11900" w:h="16838" w:orient="portrait"/>
          <w:cols w:equalWidth="0" w:num="1">
            <w:col w:w="10219"/>
          </w:cols>
          <w:pgMar w:left="240" w:top="295"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122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36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of March 31, 1995, USA Waste had working capital of $19,042,000 and a cash balance of $7,620,000, as compared to working capital of $8,619,000 and a cash balance of $6,613,000 as of December 31, 1994. For the three months ended March 31, 1995, cash flows provided by operating activities were $357,000. Cash flows used in investing activities were $13,614,000, which included the funding of capital expenditures of $7,948,000 and investments in other businesses and net advances to others of $9,635,000, offset by the proceeds from asset sales of $3,969,000. For the three months ended March 31, 1995, cash flows provided by financing activities were $14,264,000, which were primarily a result of the net borrowings under USA Waste's revolving credit facility.</w:t>
      </w:r>
    </w:p>
    <w:p>
      <w:pPr>
        <w:spacing w:after="0" w:line="35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USA Waste's capital expenditure and working capital requirements have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reflecting USA Waste's business strategy of growth through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development projects. USA Waste's capital expenditures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$40,876,000 for 1994, which included approximately $12,000,000 in expenditures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pertaining to expansion activities at the Countryside landfill. USA Waste has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financed its capital expenditures from its internally generated cash flows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amounts available under its revolving credit facility. USA Waste's capital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expenditures for the first quarter of 1995 were $7,948,000, and USA Waste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expects total capital expenditures for 1995 to be approximately $40,000,000.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intends to finance the remainder of its 1995 capital requirements through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internally generated cash flow and amounts available under its revolving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is subject to extensive and evolving federal, state, and local environmental laws and regulations that have been enacted in response to technological advances and the public's increased concern over environmental issues. See "Description of USA Waste -- Regulation." As a result of changing governmental attitudes in this area, management anticipates that USA Waste will continually modify or replace facilities and alter methods of operation. The majority of the expenditures necessary to comply with the environmental laws and regulations are made in the normal course of business as discussed below in "-- Environmental Matters."</w:t>
      </w:r>
    </w:p>
    <w:p>
      <w:pPr>
        <w:spacing w:after="0" w:line="36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USA Waste's revolving credit facility has been increased from $110,000,000 to $150,000,000 as a result of an amended agreement dated November 28, 1994, which also extended the maturity date to November 30, 1997, and added three participating banks. USA Waste anticipates that if additional acquisitions are made, the cash portion of the consideration will be funded from its internally generated cash and its revolving credit facility. At May 15, 1995, USA Waste had approximately $30,000,000 available under such credit facility.</w:t>
      </w:r>
    </w:p>
    <w:p>
      <w:pPr>
        <w:spacing w:after="0" w:line="35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the terms of USA Waste's revolving credit facility, lender consent is required to consummate the Merger. Chambers is subject to similar consent requirements under its lending agreements. In connection with the Merger, USA Waste anticipates refinancing certain of its and Chambers' outstanding indebtedness, including USA Waste's revolving credit facility and the revolving credit facility, senior notes, and letters of credit of Chambers. Amounts outstanding under Chambers' debt instruments at December 31, 1994, were approximately $364,000,000 in the aggregate. USA Waste is currently engaged in discussions with financing sources regarding financial arrangements to be entered into at or before the date the Merger is consummated.</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connection with the Merger, USA Waste and Chambers have developed a plan for financing certain of Chambers' obligations, including a $6,800,000 obligation that was incurred in January 1995 and $70,000,000 in payments required to fund the settlement of certain shareholder litigation of Chambers. The purpose of the financing plan was to provide Chambers with the ability to fund these payment obligations pending consummation of the Merger and in the event the Merger was not consummated for any reason. To provide for the payment of the $6,800,000 obligation, USA Waste paid $2,500,000 on certain promissory notes owed to Chambers with respect to a previous transaction and entered into a letter of intent providing for USA Waste's purchase of certain of Chambers' assets, including a hauling company in Charlotte, North Carolina and a landfill and a collection facility in Lake, Mississippi for $7,600,000 for which USA Waste made a deposit of $4,300,000 to be applied against the purchase price. To provide for the funding of the initial $25,000,000 settlement payment due upon final approval of the settlement of the shareholder litigation, USA Waste agreed to make an advance purchase of airspace rights at certain of Chambers' landfills in the aggregate amount of $25,000,000. Such payment would be made within 30 days after final approval of the</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19"/>
          </w:cols>
          <w:pgMar w:left="240" w:top="295" w:right="1440" w:bottom="1440" w:gutter="0" w:footer="0" w:header="0"/>
          <w:type w:val="continuous"/>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123</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settlement and expiration of the applicable appeal period. To provide for the payment of the balance of $45,000,000, USA Waste and Chambers have agreed to negotiate an agreement for the purchase by USA Waste from Chambers of an asset or group of assets or airspace rights mutually selected by USA Waste and Chambers and having a fair market value of not less than $45,000,000. Payment of such amount is required not later than one year from the date of final approval of the settlement. In the event that Chambers completes a refinancing of its current indebtedness, including amounts due with respect to the shareholder litigation, USA Waste's obligation to finance the $45,000,000 payment will lapse and USA Waste will have an option to require Chambers, and Chambers will have an option to require USA Waste, to buy or sell, as the case may be, any unused airspace purchased in advance by USA Waste.</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USA Waste's business plan is to grow through acquisitions and development projects. USA Waste has issued equity securities in business acquisitions where appropriate and expects to do so in the future. Furthermore, USA Waste's future growth will depend greatly upon its ability to raise additional capital. Management believes that it can arrange the necessary financing required to accomplish its business plan; however, to the extent USA Waste is not successful in its future financing strategies, USA Waste's growth could be limited.</w:t>
      </w:r>
    </w:p>
    <w:p>
      <w:pPr>
        <w:spacing w:after="0" w:line="17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Although USA Waste regularly engages in discussions relating to potential acquisitions and mergers and has identified several possible acquisition and merger opportunities, other than the previously announced merger with Chambers, USA Waste currently does not have any significant binding commitments or agreements to acquire or merge with any such businesses; however, part of USA Waste's strategy is to continue to participate in the industry consolidation, and as a result, USA Waste will pursue acquisition and merger opportunities and may announce an acquisition or merger transaction at any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USA Waste also has material financial commitments for the costs associated with its future closure and post-closure obligations with respect to the landfills it operates or for which it is otherwise responsible. USA Waste bases accruals for these commitments on periodic management reviews, performed at least annually, based on input from its engineers and interpretations of current regulatory requirements and proposed regulatory changes. The accrual for closure and post-closure costs includes a final cap and cover for the site, methane gas control, leachate management and groundwater monitoring, and other operational and maintenance costs to be incurred after each site stops accepting waste.</w:t>
      </w:r>
    </w:p>
    <w:p>
      <w:pPr>
        <w:spacing w:after="0" w:line="175"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has estimated that the aggregate closure and post-closure costs will be approximately $25,000,000, which, for each landfill, will be fully accrued at the time the site stops accepting waste and is closed. As of December 31, 1994 and 1993, USA Waste has recorded liabilities of $13,343,000 and $10,100,000, respectively, for closure and post-closure costs of disposal facilities. The difference between the closure and post-closure costs accrued at December 31, 1994, and the total estimated closure and post-closure costs to be incurred will be accrued and charged to expense as airspace is consumed. USA Waste also expects to incur approximately $40,000,000 related to capping activities expected to occur during the operating lives of the disposal sites, which are also being expensed over the useful lives of the disposal sites as airspace is consumed. In addition, at December 31, 1994, USA Waste has recorded a liability of $2,000,000, representing the estimated cost of certain minor remediation activities expected to be incurred at certain of USA Waste's facilities in the future.</w:t>
      </w:r>
    </w:p>
    <w:p>
      <w:pPr>
        <w:spacing w:after="0" w:line="19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Management believes that the ultimate disposition of these environmental matters will not have a material adverse effect on the financial condition of USA Waste. However, USA Waste's operation of landfills subjects it to certain operational, monitoring, site maintenance, closure and post-closure obligations that could give rise to increased costs for monitoring and corrective measures. USA Waste cannot predict the effect of any regulations or legislation enacted in the future on USA Waste's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INFLATION</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Because the volumes of certain types of waste, such as yard clippings and construction debris, tend to be higher in the spring and summer, USA Waste experiences seasonal variations in its revenue. As a result,</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295" w:right="1440" w:bottom="1440" w:gutter="0" w:footer="0" w:header="0"/>
          <w:type w:val="continuous"/>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124</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during spring and summer, USA Waste's revenues tend to be higher than its revenues in fall and winter. In addition, during the winter, harsh weather conditions often temporarily affect USA Waste's ability to collect, transport, and dispose of waste. The seasonal impact is often offset by revenues added through acquisitions such that USA Waste's reported revenues have historically reflected increases in period to period comparisons.</w:t>
      </w:r>
    </w:p>
    <w:p>
      <w:pPr>
        <w:spacing w:after="0" w:line="190"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USA Waste believes that inflation and changing prices have not had, and are not expected to have, any material adverse effect on the results of operations in the near future.</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111</w:t>
      </w:r>
    </w:p>
    <w:p>
      <w:pPr>
        <w:sectPr>
          <w:pgSz w:w="11900" w:h="16838" w:orient="portrait"/>
          <w:cols w:equalWidth="0" w:num="1">
            <w:col w:w="10219"/>
          </w:cols>
          <w:pgMar w:left="240" w:top="295"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125</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DESCRIPTION OF CHAMBERS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is a provider of integrated solid waste services in the United States, with operations or properties at the end of 1994 in selected areas of Florida, Georgia, Illinois, Maryland, Mississippi, New Jersey, North Carolina, Ohio, Pennsylvania, South Carolina, Tennessee, Virginia and West Virginia. Major elements of the business include the operation, management, construction and engineering of solid waste sanitary landfills, transfer stations, recycling facilities and related operations. Chambers also provides services for the collection, hauling and recycling of solid waste for municipal, commercial, industrial and residential customers. Chambers presently owns or operates 14 sanitary landfills, one construction and demolition debris landfill and one medical, special and municipal waste incinerator. Chambers' landfills provide long-term disposal capacity for a majority of its collection and hauling operations.</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late 1992, Chambers began a program to divest certain businesses that no longer met strategic and performance objectives. In that regard, in 1993 and 1994, Chambers sold one landfill, one recycling facility, three transfer stations and six collection and hauling businesses, including all of its operations in Rhode Island, Texas, Massachusetts and Indiana, and in 1992 also sold its security services business.</w:t>
      </w:r>
    </w:p>
    <w:p>
      <w:pPr>
        <w:spacing w:after="0" w:line="190"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Chambers was formed in 1971 as a Delaware corporation. Chambers' principal executive offices are located at 10700 Frankstown Road, Pittsburgh, Pennsylvania 15235. Its telephone number is (412) 242-6237.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initially provided disposal services to public utilities and various services to government subdivisions, including recycling, hauling and sales of coal and steel by-products and the disposal of related wastes. After developing the ability to engineer and operate disposal sites for the handling of solid waste in compliance with environmental standards, Chambers expanded its operations to include disposal of municipal solid waste and later to include collection, recycling and hauling of commercial and residential waste and the operation of solid waste transfer stations. Chambers has in past years devoted considerable resources to the development and construction of landfills. However, Chambers currently is focusing its efforts on improving operating efficiencies, with particular emphasis on increasing the volume of waste disposed of in its landfills, in order to achieve greater utilization of those facilities.</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Although Chambers' waste services business is described herein as five separate operations -- landfills, transfer stations, collection and hauling, recycling and medical waste -- these operations are in many respects integrated. For example, Chambers' landfills generate revenues from third-party disposal and also support Chambers' local collection and hauling operations; similarly, Chambers' transfer stations and recycling facilities operate in conjunction with both the landfill and collection operations.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Landfill Operations. Chambers owns or operates 14 sanitary landfills for disposal of nonhazardous solid waste and one construction and demolition debris landfill. Of the sanitary landfills, five are located in Pennsylvania, two each in South Carolina and Virginia and one each in West Virginia, Maryland, Florida, Mississippi and Georgia; all except the Mississippi site are either owned by Chambers or held under long-term lease. The construction and demolition debris landfill is located in Georgia. Chambers' landfills currently provide disposal capacity for a majority of its collection and hauling operations. Most of the landfills are located close to municipal areas served by Chambers' collection operations or are accessible to transfer facilities where waste is consolidated into trailers or rail containers to afford efficient transportation from remote areas to the disposal sites.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Prior to 1992, Chambers' primary emphasis had been upon developing and constructing new landfills ("greenfield sites"), either independently or in cooperation with the municipal entity within which the property was located. Chambers' management believes that the development and construction of new landfills, while often time-consuming and requiring significant capital expenditures and related indirect expenses, is usually preferable to the acquisition of existing landfill sites, so that the environmental risks often associated with acquired landfills can be avoided. In 1992, Chambers' management reexamined its strategies in light of its financial condition and, recognizing that it held permits to construct sufficient disposal capacity to service its anticipated needs for a substantial period of time, decided to focus Chambers' efforts on increasing the</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295" w:right="1440" w:bottom="1440" w:gutter="0" w:footer="0" w:header="0"/>
          <w:type w:val="continuous"/>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126</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utilization of its existing landfills. In addition, Chambers' management recognized that Chambers' ability to independently develop additional greenfield sites would be limited in the near term as Chambers' access to the capital markets would be restricted. See "Management's Discussion and Analysis of Chambers' Financial Condition and Results of Operations."</w:t>
      </w:r>
    </w:p>
    <w:p>
      <w:pPr>
        <w:spacing w:after="0" w:line="189"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Landfill Operational Activity. Fees from third-party solid waste collectors and generators, consisting of landfill tipping fees and in certain instances subcontracted hauling fees, accounted for approximately 23%, 28% and 32% of Chambers' revenues in 1992, 1993 and 1994, respectively. Tipping fees are based on the weight or volume and the type of waste disposed of at the landfills.</w:t>
      </w:r>
    </w:p>
    <w:p>
      <w:pPr>
        <w:spacing w:after="0" w:line="174"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While Chambers' landfills are made available to numerous waste generators and third-party solid waste collectors, Chambers has sought to obtain long-term contracts principally with governmental entities in order to create a predictable waste flow to its landfills. In this regard, for example, Chambers has handled the disposal of the residential municipal solid waste from the City of Richmond, Virginia, since 1989 (including the operation of two transfer stations), and from Fort Pierce, Florida, since 1993.</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an agreement entered into in early 1991 with Bergen County, New Jersey, during 1993 Chambers transported and disposed of the ash generated by the Essex County, New Jersey incinerator, as well as that portion of the Bergen County solid waste which was not disposed of at the Essex County incinerator. In March 1994, Chambers commenced performance under a new three-year contract for the disposal of the municipal solid waste from Bergen County. The contract provides the county with options for two one-year renewal periods. The Bergen County contract produced $16.6 million, or 6%, of Chambers' 1994 revenues. Commencing in 1989, Chambers had also provided disposal and transportation of solid waste from Union County, New Jersey under contracts which were renegotiated in early 1991 and were terminated pursuant to their terms in December 1993. Chambers had also provided disposal of the municipal solid waste from Passaic County, New Jersey, from December 1987 until December 1993. See "Management's Discussion and Analysis of Chambers' Financial Conditions and Results of Operations" regarding the impact of the expiration of these contracts.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continues to place emphasis on the disposal of special wastes, which consist of non-hazardous waste materials such as sewage sludges, contaminated soils, incinerator ash and certain industrial residues. Following a proposal process initiated by the New York City Department of Environmental Protection, Chambers commenced service in January 1992 under a six and one-half year contract to transport and dispose of sewage sludge. In 1994, amounts of sewage sludge transported and disposed of pursuant to this contract ranged from 0 to 330 tons per day. The sewage sludge is being transported by truck in intermodal containers designed for leakproof waste transportation to a Chambers landfill.</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Landfill Development and Construction Activity. Chambers has invested substantial capital to develop landfills with strict environmental controls. Development activities include site selection and site feasibility studies, environmental assessments (including hydrological and geological reviews), land acquisition, engineering and design work for the site as a whole, and the design and construction of the landfill infrastructure. The infrastructure consists of roadway or rail access systems, initial clearing and site preparation, leachate and methane collection and treatment systems, and stormwater and surface water management systems. A large portion of the infrastructure expenditures with respect to each site is nonrecurring, required only at the initial phase in order to prepare the site for the receipt of waste and to support the operation of the landfill throughout its useful life.</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As the operation of a landfill commences, site preparation, including excavation and the installation of a liner system at the base elevation of the site, requires significant capital expenditures, often exceeding $200,000 per acre. However, once a particular area of the site has been lined, limited additional investment is required with respect to overlaying waste on the lined areas. The daily filling activities normally provide for the sequential deposit of waste on the base liner system in adjacent areas within the site (typically referred to as "cells"). The construction of adjacent cells permits the creation of additional space over previously constructed cells, which provides Chambers additional airspace to accept waste with limited additional investment. This technique of overlaying waste materials on areas already lined reduces the ongoing capital requirements for facilities which are currently operational.</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19"/>
          </w:cols>
          <w:pgMar w:left="240" w:top="295" w:right="1440" w:bottom="1440" w:gutter="0" w:footer="0" w:header="0"/>
          <w:type w:val="continuous"/>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127</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performs design and construction work in various phases of landfill development, including excavation and compaction of soils, and stormwater and surface water management. Chambers has found that performing portions of its own landfill construction is cost effective in certain instances. In order to maintain sanitary conditions at the landfills operated by Chambers, heavy equipment is also used to spread, compact and cover the waste daily with soil or other approved cover material. All currently required groundwater monitoring devices and other environmental controls are in place at all of the sanitary landfills operated by Chambers. Landfill operations are subject to increasingly strict and costly environmental regulation, and to numerous uncertainties resulting from legislative, regulatory and local land use restrictions, as well as increasing public attention and market changes. See "-- Regulation" for information concerning evolving environmental laws and regulations and "Management's Discussion and Analysis of Chambers' Financial Condition and Results of Operations" for a discussion of related capital expenditures and constraints on expansion of landfill operations.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Transfer Station Operations. Transfer stations are facilities located in areas which are not convenient to, or which do not have ready access to, solid waste disposal sites. Residential and commercial collection vehicles operating within such areas, including Chambers' vehicles in some cases, discharge their solid waste loads at these facilities. The waste is then consolidated and loaded into larger capacity transfer trailers or rail containers for more efficient transportation to disposal sites, including landfills owned and operated by Chambers. Transfer station operations accounted for approximately 20%, 19% and 20% of Chambers' revenues for 1992, 1993 and 1994, respectively.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Chambers owns or operates eight solid waste transfer stations, with four in New Jersey, two in Virginia and one each in Pennsylvania and South Carolina. In December 1993, Chambers sold its two transfer stations in Morris County, New Jersey, to the Morris County Municipal Utilities Authority (the "MCMUA") but continues to operate both transfer stations and provide transportation services under a contract with the MCMUA until the county's long-term solid waste system is in operation or December 31, 1996, if later.</w:t>
      </w:r>
    </w:p>
    <w:p>
      <w:pPr>
        <w:spacing w:after="0" w:line="192"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Operations at the transfer stations in Morris County, New Jersey, began in January 1988, and these facilities have processed an aggregate of approximately 325,000 tons of municipal solid waste annually. Under its contracts with Morris County, during 1988 through 1994 Chambers operated the transfer stations and provided long-distance transportation of waste from the transfer stations to disposal sites. Commencing in January 1995, the contract for disposal of waste has been awarded to a competitor of Chambers, but Chambers will continue to operate the transfer stations in 1995 and, provided the county's solid waste system is not yet in operation, in 1996. Chambers' rates and revenues from the Morris County transfer station operations are subject to the ratemaking authority of the New Jersey Department of Environmental Protection and Energy. The two Morris County transfer station operations produced approximately 14% of Chambers' 1994 revenues; however, revenues attributable to these operations are expected to decline in 1995.</w:t>
      </w:r>
    </w:p>
    <w:p>
      <w:pPr>
        <w:spacing w:after="0" w:line="19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Collection and Hauling Operations. Waste collection and hauling generally support Chambers' landfill and transfer station operations, although in certain areas, operations involve disposal at commercial or municipal landfills. Fees for collection and hauling services are based on such factors as the type and frequency of service, the volume or weight of the waste, the type of waste, disposal costs and the distance traveled.</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Collection and hauling for residential, municipal, commercial and industrial customers accounted for 52%, 47% and 41% of revenues in 1992, 1993 and 1994, respectively, which includes transportation revenues derived from certain of Chambers' contracts. In the majority of areas, Chambers services commercial and industrial accounts without the requirement of prior municipal approval and, as such, competes with other operators and negotiates rates directly with individual customers. Chambers typically contracts with commercial customers for collection, hauling and disposal of solid waste for a multi-year period. In limited areas, Chambers competes for municipally-awarded franchises which include commercial and industrial accounts. Such contract awards may be in the form of exclusive or nonexclusive franchises for several years. Residential and municipal services are performed primarily under exclusive contracts granted by municipalities on the basis of competitive bids.</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295" w:right="1440" w:bottom="1440" w:gutter="0" w:footer="0" w:header="0"/>
          <w:type w:val="continuous"/>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128</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competitive nature of the waste industry, the varying availability of landfills and disposal capacity, and the financial condition of Chambers are expected to affect the ability of Chambers to secure and maintain municipal contracts in the future. See "-- Regulation" and "Management's Discussion and Analysis of Chambers' Financial Condition and Results of Operations -- Liquidity and Capital Resources."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late 1992, Chambers began a program to divest certain businesses that no longer met strategic and performance objectives, and in March 1993, as an initial part of that program, sold substantially all of the assets of its collection, hauling and transfer station operations in Rhode Island, Massachusetts and Texas. Chambers sold its landfill and collection and hauling operations in Indiana to USA Waste in September 1993, sold its collection and hauling operations in Conway, South Carolina, in November 1993, and sold its Columbus, Georgia, collection and hauling operations in December 1993.</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Recycling Operations. Chambers recognizes the importance of recycling materials recovered from solid waste streams where consistent with viable market conditions. Chambers has engaged in recycling efforts in order to complement its range of waste management services. While extensive recycling is likely to reduce the size of the waste stream available for disposal in Chambers' landfills, and although the market for recyclables is in many instances depressed due to an excessive supply of recovered materials, recycling has aided Chambers' efforts to market its other waste services. Recycling operations accounted for 3% of revenues in each of the last three years. In August 1994, Chambers sold its recycling facility in Pennsylvania, and it continues to own and operate a recycling facility in Virginia.</w:t>
      </w:r>
    </w:p>
    <w:p>
      <w:pPr>
        <w:spacing w:after="0" w:line="189"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Medical Waste Operations. Through its subsidiary, Chambers Medical Technologies, Inc. ("CMTI"), Chambers owns and operates a medical, special and municipal waste incineration facility in Hampton, South Carolina. The facility is permitted to incinerate 200 tons per day of medical waste, municipal solid waste and other approved non-hazardous special wastes. CMTI is implementing a plan to maximize utilization of the facility in response to changing market conditions. CMTI is currently focusing its marketing on higher priced, higher fuel value special wastes such as pharmaceuticals, petrochemicals and scrap tires. State legislation restricts the facility's permitted incineration capacity to the greater of (i) 50 tons per day of medical waste or (ii) per month, 1/12 of the estimated amount of medical waste generated within the State of South Carolina within one year. CMTI has undertaken a constitutional challenge to the state's imposition of the limitation, as well as to certain provisions of the South Carolina Infectious Waste Management Act and the regulations promulgated thereunder. At the trial level CMTI was successful in its challenge to certain fee requirements under the regulations; however, CMTI was not successful in having the volume limitation ruled unconstitutional. CMTI filed a motion for a stay pending appeal of the implementation of the volume limitation, which stay pending appeal was granted. The appellate court has remanded the case to the trial court. CMTI accounted for 2%, 3% and 4% of revenues for 1992, 1993 and 1994, respectively.</w:t>
      </w:r>
    </w:p>
    <w:p>
      <w:pPr>
        <w:spacing w:after="0" w:line="36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Research and Development. Chambers has explored technologies and related business opportunities attendant to the disposal and recycling processes, including but not limited to refuse derived fuel, landfill methane gas recovery and related systems, and tire reclamation and recycling. Chambers has also helped to develop, and holds an exclusive license to use, an intermodal containerized transportation system for the economical and environmentally safe transportation of solid waste by rail and truck.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Solid waste management is a very competitive business which requires substantial investment in labor and capital resources. The sources of competition vary by locality and by the type of services provided, and originate from national, regional and local companies. Several national waste management companies are much larger and have far greater resources than Chambers. Major competitors in the waste industry include WMX Technologies, Inc. and BFI, each of which is substantially larger than Chambers. Chambers also competes with municipalities and commercial facilities which provide their own waste hauling and disposal services. Disposal operations compete primarily on the basis of proximity to collection and hauling operations and on the basis of disposal cost. To acquire new collection contracts and to retain old ones, Chambers competes on the basis of price, service and disposal capacity. Chambers anticipates that competition in the disposal business will increasingly include an emphasis on safeguards with respect to the environment, and</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19"/>
          </w:cols>
          <w:pgMar w:left="240" w:top="295" w:right="1440" w:bottom="1440" w:gutter="0" w:footer="0" w:header="0"/>
          <w:type w:val="continuous"/>
        </w:sectPr>
      </w:pPr>
    </w:p>
    <w:bookmarkStart w:id="132" w:name="page133"/>
    <w:bookmarkEnd w:id="132"/>
    <w:p>
      <w:pPr>
        <w:ind w:left="280"/>
        <w:spacing w:after="0"/>
        <w:rPr>
          <w:sz w:val="20"/>
          <w:szCs w:val="20"/>
          <w:color w:val="auto"/>
        </w:rPr>
      </w:pPr>
      <w:r>
        <w:rPr>
          <w:rFonts w:ascii="Courier New" w:cs="Courier New" w:eastAsia="Courier New" w:hAnsi="Courier New"/>
          <w:sz w:val="16"/>
          <w:szCs w:val="16"/>
          <w:color w:val="auto"/>
        </w:rPr>
        <w:t>129</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intends to continue its policy of constructing and operating landfills with high levels of environmental protection and monitoring. Chambers has experienced competition from incineration and other waste recovery processes. However, it believes that its landfill operations can complement certain of these processes, in that landfills serve as receptacles for incinerator ash and nonrecoverable materials.</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Chambers experiences intense competitive pressure on landfill prices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many markets, partly due to increased landfill capacity in the marketplace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partly as a result of the rapid use of existing capacity by many older landfills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currently operate under less stringent standards of environmental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protection than those utilized by Chambers. As a result of revisions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regulations under Subtitle D of the Resource Conservation and Recovery Act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1976 ("RCRA") and to state regulations, Chambers expects that more stringent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governmental regulations will be mandated in these markets, with the initial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dates under Subtitle D having become effective in late 1993.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Regulation." In the long term, Chambers anticipates that this strengthening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environmental standards should have a positive effect on its business,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because Chambers has designed and constructed all of its landfills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intention of meeting these requirements.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Before entering a new solid waste management market, Chambers evaluates potential business which would be compatible with current operations. Chambers establishes new commercial and industrial accounts through direct solicitation. New municipal business depends on identifying and winning competitive bids. Price, service and disposal capacity are key factors in developing new business and retaining customers. Marketing and operational efficiencies are achieved through Chambers' consolidation of residential and commercial business on a regional basis.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operation of landfills, waste incinerators and transfer stations, the collection and hauling of solid waste and the recycling of solid waste are subject to various local, state and federal requirements which seek to regulate and maintain health, safety, the environment, zoning and land use. Operating permits are required for waste disposal facilities and certain collection vehicles. Some of these permits could be subject to modification, renewal and/or revocation if significant operational and environmental violations occur. Chambers' operation of landfills subjects it to operational, closure, post-closure, monitoring and site maintenance obligations. Governmental authorities have the power to enforce compliance with these regulations and to obtain injunctions and impose fines in the case of violations. While Chambers is in substantial compliance with regulatory requirements, from time to time in the ordinary course of its operations, Chambers receives citations or notices from authorities that such operations may not be in strict specific compliance with applicable environmental regulations. Upon such receipt, Chambers has and will continue to make every effort to resolve amicably and quickly the issues raised by such citations or notices.</w:t>
      </w:r>
    </w:p>
    <w:p>
      <w:pPr>
        <w:spacing w:after="0" w:line="363"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Governmental authorities, including the EPA, various state agencies and county and local authorities acting in conjunction with such federal and state agencies, impose restrictions to control or prohibit air and water pollution and, in most states, Chambers and other operators are required to post bonds or provide other financial assurances covering closure, monitoring and potential corrective measures for its landfills. While Chambers is in substantial compliance with regulatory requirements applicable to its business, if significant regulatory changes are made it may be required to increase capital and/or operating expenditures in order to maintain operations or initiate new operations. Depending on the degree of future regulatory changes, Chambers may be required to curtail certain operations until a particular problem is remedied.</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regulatory framework in the solid waste business, particularly as it relates to the disposal of solid waste, varies substantially from jurisdiction to jurisdiction, and is changing frequently and becoming increasingly complex in nearly all locations. As a result, both current operations and development projects involve certain risks and uncertainties inherent in the industry, as discussed below. Amendments to current laws and regulations governing Chambers' operations could have an adverse economic effect on Chambers or require substantial capital expenditures to comply with such laws and regulations.</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19"/>
          </w:cols>
          <w:pgMar w:left="240" w:top="295" w:right="1440" w:bottom="1440" w:gutter="0" w:footer="0" w:header="0"/>
          <w:type w:val="continuous"/>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130</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October 1991, the EPA promulgated revisions to regulations under RCRA. In revisions to regulations under Subtitle D of RCRA, the EPA announced comprehensive solid waste management standards including location standards, facility design and operating criteria, closure and post-closure requirements, financial assurance standards, methane gas and groundwater monitoring, and corrective action standards which had not been historically required or enforced at landfills. State standards can be, and in a majority of the states where Chambers operates already are, more stringent than the federal requirements. Because some portions of the revisions to regulations under Subtitle D of RCRA are expected to be phased in over as many as five years, the full impact of the revisions may not be felt until 1998. Current landfill design and construction by Chambers has been performed in anticipation of those requirements. More stringent regulation, while requiring greater expenditures by landfill operators, is expected to increase opportunities for Chambers and others who have landfills which comply with these regulations, as noncomplying landfills will be required to close. The 1988 Pennsylvania regulations, which were similar in scope to the revisions to regulations under Subtitle D of RCRA, had a significant adverse impact on the operations of Chambers' Pennsylvania landfills from 1988 through 1991. However, Chambers does not anticipate significant disruption of any of its businesses as a result of the promulgation of the revisions to Subtitle D. Pending development of state standards and evaluation of those standards by the EPA, management of Chambers believes that most of its landfills are currently designed and operated in material compliance with those revisions.</w:t>
      </w:r>
    </w:p>
    <w:p>
      <w:pPr>
        <w:spacing w:after="0" w:line="19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While Chambers believes that the states in which it operates landfills have revised or will revise their landfill regulations to meet or exceed the requirements of the revisions to Subtitle D of RCRA, there can be no assurances that the state regulations will be approved by the EPA. Although Chambers may require additional capital expenditures to comply with potentially inconsistent state and federal regulations applicable to the same facility, Chambers does not believe such inconsistent regulations would have a material adverse effect on Chambers' operations.</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Revisions to health, safety and environmental protection laws will continue to require Chambers and others in the industry to make substantial expenditures to construct waste facilities in compliance with such laws. Substantial capital and operating expenditures to develop landfills and maintain compliance with environmental protection regulations are necessary for Chambers and any party in the waste industry. These costs are incurred in the ordinary course of business, but could increase as laws and regulations change. See "Management's Discussion and Analysis of Chambers' Financial Condition and Results of Operations" for a discussion of anticipated capital expenditures.</w:t>
      </w:r>
    </w:p>
    <w:p>
      <w:pPr>
        <w:spacing w:after="0" w:line="175"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Proposed federal legislation and various proposed state laws include provisions that would allow states to ban or impose differential fees on interstate shipments of solid waste. Chambers cannot currently predict whether such legislation will be enacted and, if enacted, the extent to which it may affect Chambers' operations.</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addition to potentially costly and restrictive regulations, there are a number of risks and factors, often having unforeseen ramifications, which could result in increased costs to Chambers' waste management business or, in some circumstances, delay or prevent certain operations or planned projects. These factors include varying degrees of governmental and public opposition to the siting and operation of landfills, which in many locations can contribute to a shortage of sites and facilities; increased regulation aimed at reducing dependence on landfilling and promoting other methods of disposal such as incineration or recycling; and risks related to potential adverse environmental effects attributable to landfill operations.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Complex regulatory requirements, together with potential community opposition (often resulting in litigation), may make it increasingly difficult to open new landfills or expand existing sites. While Chambers attempts to avail itself of opportunities to acquire or expand landfills at reasonable cost, there can be no assurance regarding the extent to which such opportunities will be present in the future, nor can there be any assurance in the near term that Chambers will be able to avail itself of such opportunities without the generation of additional capital. Nevertheless, Chambers believes that, due to the receipt during 1990, 1991 and 1992 of permits for landfill sites which had been under development in prior periods, it now holds permits to construct sufficient disposal capacity to meet its needs and those of its customers for a substantial period of</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295" w:right="1440" w:bottom="1440" w:gutter="0" w:footer="0" w:header="0"/>
          <w:type w:val="continuous"/>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131</w:t>
      </w:r>
    </w:p>
    <w:p>
      <w:pPr>
        <w:spacing w:after="0" w:line="18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time. See "Management's Discussion and Analysis of Chambers'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BONDING AND INSURANCE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Bid and Performance Bonds. In order to submit a bid to a governmental entity for solid waste collection, hauling and disposal services, Chambers is usually required to submit bonds, in the form of a bid bond and, upon contract award, a bond to secure its performance of the contract. Commercial customers contracting for collection, hauling and solid waste disposal services with Chambers do not generally require either bid or performance bonds. Over the past several years, Chambers' bonding requirements have increased as the size and length of the contracts have increased. It is important for Chambers to bid successfully on large multi-year contracts to ensure a consistent flow of waste into its landfills.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Firms that provide such bonds to the solid waste disposal industry are limited in number. Chambers has in the past relied on, and expects in the future to rely on, a single outside source for its bid and performance bonding requirements. Management believes that Chambers' current bid and performance bond coverage and future capacity is adequate; however, there can be no assurance that future bonding will be available when required by Chambers.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Closure and Post-Closure Financial Assurances. Most states have enacted legislation that requires landfill operators and owners to guarantee minimum financial capabilities to insure that a landfill is properly closed in accordance with environmental requirements. The form of the guarantee varies from state to state but generally consists of either trust funds, letters of credit or surety bonds. Chambers has employed all of these options in various locations. Management believes that its current financial position is adequate to meet the closure and post-closure requirements of its current landfills. However, there is no assurance that Chambers' financial position or the availability of surety bonds or letters of credit in the future will be adequate to meet this significant component of Chambers' business.</w:t>
      </w:r>
    </w:p>
    <w:p>
      <w:pPr>
        <w:spacing w:after="0" w:line="189"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Insurance. Chambers carries a broad range of insurance coverages which management considers sufficient to protect the assets and operations of Chambers that could otherwise be negatively affected in the event of a loss. The coverages are intended to provide Chambers with comprehensive financial protection. Insurance coverages are currently in effect to protect Chambers from financial losses resulting from bodily injury, personal injury and property damage, including but not limited to workers' compensation, comprehensive general liability, fire and casualty, vehicle and other related coverages. Commercial excess liability coverage is maintained as well. Chambers has determined that it is in its best interests to self-insure certain portions of liability and workers' compensation risks, while in some instances maintaining third-party coverage to protect against catastrophic loss. Chambers also maintains directors' and officers' insurance coverage. Because of the litigation arising out of the change in accounting method announced by Chambers in 1992 and the subsequent restatement of its prior years' financial statements (see</w:t>
      </w:r>
    </w:p>
    <w:p>
      <w:pPr>
        <w:spacing w:after="0" w:line="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 Legal Proceedings"), Chambers has incurred significantly higher costs with respect to its directors' and officers' coverage.</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a result of limited availability in the insurance marketplace as well as costly premium assessments, Chambers, along with most companies in the waste industry, has experienced difficulty in obtaining environmental impairment liability insurance. Chambers will continue to undertake efforts to obtain this type of insurance coverage if such coverage is commercially available at premium levels which are reasonable in light of the business and financial risks involved. Chambers does not believe that the limited availability of comprehensive environmental impairment liability insurance should have a material adverse effect upon the operation of its business at this time.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At December 31, 1994, Chambers had approximately 1,440 employees, approximately 300 of whom were represented by unions under collective bargaining agreements. Chambers is a party to union contracts at its Monroeville and Washington locations in Pennsylvania, and at its Morris County, New Jersey, locations. The employees at the remaining locations of Chambers are not represented by unions. Chambers has not experienced any work stoppages.</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19"/>
          </w:cols>
          <w:pgMar w:left="240" w:top="295" w:right="1440" w:bottom="1440" w:gutter="0" w:footer="0" w:header="0"/>
          <w:type w:val="continuous"/>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132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principal fixed assets of Chambers consist of real property interests, real property improvements, and vehicles and equipment. The vehicles and equipment, which are owned and leased, included, at December 31, 1994, approximately 430 collection and disposal vehicles, 160 light vehicles, 60 over-the-road tractors and 470 trailers, 80 rail trailers, 120 railcars and 580 rail containers, 67,000 waste collection containers and roll-off boxes, 51,000 recycling collection containers and 430 portable and stationary compactors, in addition to approximately 300 pieces of heavy equipment used in landfill construction and operations.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At December 31, 1994, Chambers owned 11,172 acres of land and leased 1,217 acres of land, 10,814 acres of which are or could be used for landfill operations, 33 acres are used for recycling and transfer station operations and 1,542 acres of real property are or could be used for garages, offices and other facilities for business operations. Chambers owns and leases facilities where it provides complete maintenance, repair, fabrication, rebuilding and painting services for its vehicles and equipment. In connection with the restructuring of its financing agreements, Chambers has granted security interests in substantially all of its assets as collateral for Chambers' long-term borrowings and performance bonds. See "Management's Discussion and Analysis of Chambers' Financial Condition and Results of Operations -- Liquidity and Capital Resources."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former auditors, and the underwriters of its securities (the "Federal Class Action"). The significant part of these actions, as amended and consolidated on November 4, 1992, under the caption In Re: Chambers Development Chambers,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 of a change in accounting method relating to capitalization of certain costs and expenses through its October 20, 1992 announcement of a $362 million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 92-1081, also asserts derivative claims on behalf of Chambers (which is named as a nominal defendant) for breach of fiduciary duty against certain of its officers and directors and for negligence against its former auditors (the "Federal Derivative Action").</w:t>
      </w:r>
    </w:p>
    <w:p>
      <w:pPr>
        <w:spacing w:after="0" w:line="195"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three parallel lawsuits have been filed in state courts. Two derivative actions, asserting waste and mismanagement claims on behalf of Chambers against certain of its officers and directors, have been filed in the Delaware Court of Chancery for New Castle County (the "Delaware Derivative Actions") and are pending under the caption In Re: Chambers Development Company, Inc. Shareholders Litigation, Consolidated C. A. No. 12508. One purported class action, alleging state securities law and common law claims, has been filed in the Court of Common Pleas of Allegheny County, Commonwealth of Pennsylvania, under the caption Integrated Investments, Inc., et al. v. Chambers Development Company, Inc., et al., No. G.D. 92-7036 (the "State Class Action" and, together with the Federal Class Action, the "Class Actions").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complaints in the Class Actions allege that Chambers, in publicly disseminated materials, intentionally or negligently misstated its earnings during the class period, thereby deceiving Chambers' shareholders and others with respect to its growth prospects and profitability. In particular, the plaintiffs allege that Chambers' earnings were improperly increased by capitalizing certain costs and expenses in violation of generally accepted accounting principles, in part through the use of a formula which arbitrarily allocated indirect costs and expenses to landfill and development activities. In addition, the plaintiffs allege that Chambers had an inadequate information system and failed to maintain the records necessary to support the capitalization of such costs and expenses.</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19"/>
          </w:cols>
          <w:pgMar w:left="240" w:top="295" w:right="1440" w:bottom="1440" w:gutter="0" w:footer="0" w:header="0"/>
          <w:type w:val="continuous"/>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133</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Federal Class Action claims assert violations of section 10(b) of the Securities Exchange Act of 1934 and Rule 10b-5 promulgated thereunder, section 11 of the Securities Act of 1933 and negligent misrepresentation against Chambers. Claims under sections 12(2) and 20(a) of the Securities Act of 1933 have been asserted against Chambers' officers and directors who are named as defendants, but not against Chambers. The State Class Action asserts similar violations of the Pennsylvania securities laws. These actions seek to recover damages in an unspecified amount which the class members allegedly sustained by purchasing Chambers' securities at artificially inflated prices, as well as related relief.</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section 11 claims relate to the sale in April 1989 of 2.85 million shares of Chambers' Class A Common Stock at $25 per share (equivalent to 5.7 million shares of its Class A Common Stock at $12.50 per share after a subsequent two-for-one stock split), the issuance in September 1989 of $110 million principal amount of Chambers' 6 3/4% Convertible Subordinated Debentures Due September 15, 2004 (subsequently converted into Class A Common Stock on or about September 16, 1991 at $21.125 per share), and the sale in June 1991 of 7 million shares of Chambers' Class A Common Stock at $24.875 per share, and may be asserted by plaintiffs who, subject to certain conditions, are able to trace their purchases to these offerings. The section 10(b) fraud and negligent misrepresentation claims relate to these three offerings and open market transactions, whether or not the plaintiffs are able to trace their purchases to a specific offering. Chambers has been advised by its counsel that the plaintiffs have alleged that the restatement of Chambers' 1990 and 1989 consolidated financial statements is an admission that they were materially misstated. However, Chambers has also been advised by its counsel that Chambers' former auditors and former chief financial officer have contended that Chambers' prior consolidated financial statements were fairly presented in accordance with generally accepted accounting principles. If a plaintiff were to establish that Chambers' consolidated financial statements were materially misstated, Chambers would be liable for statutorily prescribed damages under section 11 (subject to a causation defense in which Chambers bears the burden of proving that some or all of the loss resulted from factors other than the misstatement and subject to the statute of limitations defense) and for damages established by case law under section 10(b) and the common law claims if that plaintiff were able to establish the remaining elements of those claims and Chambers had no affirmative defense.</w:t>
      </w:r>
    </w:p>
    <w:p>
      <w:pPr>
        <w:spacing w:after="0" w:line="19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Federal Derivative Action and the Delaware Derivative Actions assert, inter alia, that Chambers' officers and directors committed acts of waste, mismanagement and breach of fiduciary duty by allegedly instituting or approving Chambers' accounting policies relating to capitalization of certain costs and expenses for the purpose of increasing their salaries, fees, stock and other benefits. These actions, which seek recovery of unspecified damages on behalf of Chambers, allege that Chambers has been damaged because it has become exposed to the risk of an adverse judgment or settlement in the class actions, that it has incurred and will incur costs to defend the class actions, and that it has suffered injury to its reputation.</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March 5, 1993, another state court action was filed in the Court of Common Pleas in Allegheny County, Pennsylvania, under the caption Balaban v. Rangos, et al. (the "Pennsylvania Derivative Action" and, together with the Federal and Delaware Derivative Actions, the "Derivative Actions"). This action asserts derivative claims on behalf of Chambers similar in nature to those asserted in the Federal and Delaware Derivative Actions.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18, 1994, Chambers and shareholder representatives executed memoranda of understanding with respect to the settlement and dismissal of the Class Actions and Derivative Actions. 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Class Action Settlement Agreement provides that the sum of $8 million will be paid by Chambers' directors and officers liability insurance carrier and the sum of $70 million will be paid by Chambers in two installments following final court approval of the settlement. The first installment of $25 million, together with</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295" w:right="1440" w:bottom="1440" w:gutter="0" w:footer="0" w:header="0"/>
          <w:type w:val="continuous"/>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134</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interest calculated from the Settlement Effective Date (as hereinafter defined) to the date of payment, is to be made no later than the earlier of (i) 30 days after the Settlement Effective Date or (ii) after the Settlement Effective Date and two days after the Merger or any comparable transaction (as defined in the Class Action Settlement Agreement) of Chambers with any other company has been consummated. The second installment of $45 million, together with interest calculated from the Settlement Effective Date to the date of payment (the "Second Installment"), is to be made no later than the earlier of (i) one year after the Settlement Effective Date or (ii) the date after the Settlement Effective Date and five days after certain refinancing shall have been obtained by the combined entity resulting from the Merger or a comparable transaction. "Settlement Effective Date" is defined as that date upon which (i) the court has finally approved the Class Action settlement after due notice and hearing, (ii) final judgment dismissing the Class Actions as to the settling defendants has been entered, (iii) all times for appeal or other direct attack on the adequacy of the settlement have expired or any such direct attack shall have been finally rejected, and (iv) all related actions (as defined in the Class Action Settlement Agreement) have been dismissed with prejudice; provided, however, that the dismissal of any such related actions may be conditioned upon the subsequent approval of the settlement and the occurrence of the Settlement Effective Date. If the Merger or a comparable transaction is consummated, the total settlement payment will be adjusted by a base increase of $5 million, which will be adjusted upward or downward by an amount consisting of $16,000 for each penny above or below $4.50 of Merger consideration received by Chambers stockholders per share of Chambers Common Stock or Chambers Class A Common Stock, together with interest from the Settlement Effective Date to the payment date (the base increase, together with any adjustment thereto, collectively referred to as the "Adjustment"). Any amount by which the sum of the Second Installment and the Adjustment exceed $50.6 million will be paid by John G. Rangos, Sr., Chairman and Chief Executive Officer of Chambers. The Adjustment shall be payable no later than the earlier of (i) one year after the Settlement Effective Date or (ii) five days after certain refinancing shall have been obtained by the combined entity in the Merger or a comparable transaction. However, the Adjustment shall be payable only if (i) the Merger or a comparable transaction shall have been consummated within one year after the Settlement Effective Date or (ii) the Merger Agreement or an agreement for a comparable transaction is in effect on the date one year after the Settlement Effective Date and the Merger or such comparable transaction is consummated thereafter. John G. Rangos, Sr. has also agreed to guarantee Chambers' obligations to make certain payments in the Class Action settlement in an amount not to exceed $15 million.</w:t>
      </w:r>
    </w:p>
    <w:p>
      <w:pPr>
        <w:spacing w:after="0" w:line="20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Derivative Action Settlement Agreement provides that the consideration from the defendants to Chambers shall include the following: (i) payment of the sum of $2 million from Chambers' directors and officers liability insurance carrier; (ii) the continued implementation by Chambers, for a period of at least two years after the effective date of the settlement, of certain corporate governance measures; (iii) the contribution to Chambers by Synergy Associates of the headquarters property currently leased to Chambers by Synergy Associates; and (iv) the $15 million guarantee of John G. Rangos, Sr. with respect to certain payments to be made by Chambers to the plaintiff class pursuant to the Class Action settlement.</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addition, in order for the settlements to be effective, certain related actions, as described in the Settlement Agreements, must be dismissed with prejudice including the State Class Action and the Delaware and Pennsylvania Derivative Actions. These related actions do not include the cases captioned Option Resource Group, et al. v. Chambers Development Company, et al., and Southeast Investments v. Chambers Development Co., et al., which are described below; these matters may still be pending after the Class Action and Derivative Action settlements.</w:t>
      </w:r>
    </w:p>
    <w:p>
      <w:pPr>
        <w:spacing w:after="0" w:line="187"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The Settlement Agreements provide that Chambers and its present and former officers, directors and employees will receive releases from the plaintiffs. Under the Settlement Agreements, the plaintiffs' actions continued against certain defendants other than Chambers. The terms of settlement also include a right to terminate the settlements based on appeals or opt-outs with respect to the Class Actions. After Chambers entered into the Settlement Agreements, the class and derivative plaintiffs entered into settlements with Grant Thornton, which previously served as Chambers' accountants. Chambers then entered into an agreement with the class plaintiffs to settle their claims against a group of underwriters of certain of Chambers' securities offerings. Chambers agreed to pay $300,000 to the class plaintiffs to resolve these claims for which the</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295" w:right="1440" w:bottom="1440" w:gutter="0" w:footer="0" w:header="0"/>
          <w:type w:val="continuous"/>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135</w:t>
      </w:r>
    </w:p>
    <w:p>
      <w:pPr>
        <w:spacing w:after="0" w:line="186" w:lineRule="exact"/>
        <w:rPr>
          <w:sz w:val="20"/>
          <w:szCs w:val="20"/>
          <w:color w:val="auto"/>
        </w:rPr>
      </w:pPr>
    </w:p>
    <w:p>
      <w:pPr>
        <w:ind w:right="2839"/>
        <w:spacing w:after="0" w:line="258" w:lineRule="auto"/>
        <w:rPr>
          <w:sz w:val="20"/>
          <w:szCs w:val="20"/>
          <w:color w:val="auto"/>
        </w:rPr>
      </w:pPr>
      <w:r>
        <w:rPr>
          <w:rFonts w:ascii="Courier New" w:cs="Courier New" w:eastAsia="Courier New" w:hAnsi="Courier New"/>
          <w:sz w:val="15"/>
          <w:szCs w:val="15"/>
          <w:color w:val="auto"/>
        </w:rPr>
        <w:t>underwriters sought indemnity from Chambers. The Settlement Agreements provide for the seeking of bar orders and also have judgment reduction provisions that are intended to protect Chambers and the settling individual defendants from claims over by Grant Thornton and the underwriters in the event that their settlements are not approved by the court or otherwise do not become final. On March 22, 1995, the court granted preliminary approval of the settlements and the distribution of notices to Chambers' stockholders and the plaintiff class members regarding the settlements. A hearing upon the fairness, reasonableness and adequacy of the proposed settlements has been scheduled for May 19, 1995.</w:t>
      </w:r>
    </w:p>
    <w:p>
      <w:pPr>
        <w:spacing w:after="0" w:line="35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By May 17, 1995, Chambers had been informed by the Claims Administrator for the Class Action that certain potential class members, representing in the aggregate approximately 678,000 shares of Chambers stock, have requested exclusion from the Class Action Settlement Agreement. The Settlement Agreements provide that the requests for exclusion would give the Chambers defendants and the Grant Thornton defendants the right to withdraw from the Settlement Agreements. Potential class members who are excluded from the Class Action settlement will not be foreclosed by such settlement from pursuing any claims they may have against Chambers or others, including Grant Thornton. In addition, if the Grant Thornton defendants elect to withdraw from the settlement, Grant Thornton would not be foreclosed from making claims over against Chambers for damages it has incurred or may incur in the future as a result of any claims against it or otherwise in connection with the subject matter of the settlement, subject, however, to the operation of the bar orders and judgment reduction provisions provided for in the Settlement Agreements. Under the terms of the Settlement Agreements, Chambers may still proceed with the settlements whether or not the Grant Thornton defendants elect to withdraw. In connection with one of the above-mentioned requests for exclusion, a potential class member, purporting to represent approximately 673,000 shares of Chambers stock, has asserted to Chambers' management that it has incurred certain losses beyond those losses attributable to shares purchased during the class period. As of the date hereof, no suit or action has been filed with respect to any such claim.</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has also been informed that the Option Resource Group action described below will still be pending after the settlement of the Class Action and the Derivative Action. In addition, two objections were filed to the Derivative Action Settlement Agreement. It is believed that such objections are not significant and are unlikely to prevent approval of the settlement. Objections to the Settlement Agreements were required to be filed with the court by May 11, 1995 and requests for exclusion were required to be mailed by May 11, 1995.</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Shortly after Chambers' March 17, 1992 announcement of a change in accounting policies concerning capitalization,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 Exchange Act and various rules promulgated thereunder. Chambers has cooperated with the investigation through the production of documents and by providing witnesses pursuant to the Commission's request. On May 9, 1995, the Commission filed a complaint against Chambers in the United States District Court for the Western District of Pennsylvania alleging that Chambers violated the antifraud provisions of the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 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w:t>
      </w:r>
    </w:p>
    <w:p>
      <w:pPr>
        <w:spacing w:after="0" w:line="19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Commission also instituted administrative proceedings under section 21C of the Exchange Act against four present and former officers of Chambers, including John G. Rangos, Sr., Chairman and Chief Executive Officer of Chambers, Dale O. Nolder, Jr. and John J. Cushma, two of Chambers' former corporate controllers and William R. Nelson, a former chief financial officer of Chambers. The Commission found, among other things, that John G. Rangos, Sr. and John J. Cushma each were a cause of Chambers' violations</w:t>
      </w:r>
    </w:p>
    <w:p>
      <w:pPr>
        <w:sectPr>
          <w:pgSz w:w="11900" w:h="16838" w:orient="portrait"/>
          <w:cols w:equalWidth="0" w:num="1">
            <w:col w:w="10219"/>
          </w:cols>
          <w:pgMar w:left="240" w:top="295" w:right="1440" w:bottom="1440" w:gutter="0" w:footer="0" w:header="0"/>
        </w:sectPr>
      </w:pP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95" w:right="1440" w:bottom="1440" w:gutter="0" w:footer="0" w:header="0"/>
          <w:type w:val="continuous"/>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136</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of the reporting, internal controls and recordkeeping provisions of the Exchange Act. Each of these four persons consented to the issuance of a cease and desist order without admitting or denying the Commission's findings.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AMEX and the Chicago Board of Options Exchange are conducting investigations into trading activity on their respective exchanges in Chambers' securities and in put options on Chambers' securities prior to the March 17, 1992 announcement.</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and the Commission investigation described above.</w:t>
      </w:r>
    </w:p>
    <w:p>
      <w:pPr>
        <w:spacing w:after="0" w:line="187"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Chambers is cooperating with each of the investigations referred to in the two preceding paragraphs.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or about March 8, 1993, an action was filed in the United States District Court for the Western District of Pennsylvania, captioned Option Resource Group, et al. v. Chambers Development Company, Inc., et al., C.A. No. 93-354. This action was brought by a market maker in Chambers stock and two of its general partners and asserts federal securities law and common law claims similar to those alleged in the Class Actions against essentially the same group of defendants. These plaintiffs allege that, as a result of large amounts of put options traded on the Chicago Board of Options Exchange between March 13 and March 18, 1992, they bought Chambers stock and also sold it short to assure fluidity in the market, resulting in approximately $2.1 million in losses. On March 19, 1993, another action was filed in the United State District Court for the Eastern District of Arkansas, captioned Southeast Investments, Inc. v. Chambers Development Company, Inc., No. MDL-982 (the "Arkansas Action"). This action was brought by an individual investor which claims to have purchased Chambers stock on March 20, 1992 in reliance on Chambers' March 17, 1992 announcement and suffered an alleged loss of approximately $75,000 upon the subsequent sale of the stock. The complaint asserts federal securities law and common law claims similar to those alleged in the Class Action. Chambers' motion to the Judicial Panel on Multidistrict Litigation ("MDL") to transfer the Arkansas Action to the Western District of Pennsylvania was granted by the MDL. These actions are in discovery and Chambers is vigorously defending these actions.</w:t>
      </w:r>
    </w:p>
    <w:p>
      <w:pPr>
        <w:spacing w:after="0" w:line="19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August 31, 1992, Chambers and the Township of Conemaugh, Pennsylvania, filed an action in the United States District Court for the Western District of Pennsylvania seeking to enjoin the Passaic County Utilities Authority (the "Authority") from entering into a long-term disposal contract with a third party in breach of the Authority's long-term disposal contract with Chambers. The Authority subsequently filed an action on the same issues in the Superior Court of New Jersey in Passaic County. The District Court awarded Chambers summary judgment on one count of its complaint, thereby directing the Authority specifically to perform its obligations under its existing contract with Chambers. However, the District Court in granting summary judgment recognized that the New Jersey Department of Environmental Protection and Energy ("DEPE") has ultimate approval authority regarding New Jersey public solid waste disposal contracts and, therefore, the Authority could proceed with seeking approval from the DEPE of its agreement with the third party. The DEPE subsequently directed the Authority to continue to deliver Passaic County's waste to Chambers through December 11, 1993, and later granted the Authority's request for approval of the third party agreement. Chambers filed a motion for summary judgment for an award of damages, but the District Court granted summary judgment to the Authority. Chambers has filed an appeal of the District Court judgment to the Circuit Court of Appeals.</w:t>
      </w:r>
    </w:p>
    <w:p>
      <w:pPr>
        <w:spacing w:after="0" w:line="194"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1990, two actions were filed by the State of West Virginia, seeking to require Chambers' LCS Landfill in West Virginia to obtain the approval of the local county commission for continued operation of the landfill and for the volume of waste which may be disposed of in the landfill, which cases were consolidated under the caption State of West Virginia ex rel. Hamrick v. LCS Services, Inc., et al. On July 29, 1993, the Circuit Court of Berkeley County, West Virginia, issued an order requiring Chambers to obtain the approval of the Berkeley County Commission in order to continue operation of its LCS landfill. On December 16, 1994, the Supreme</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19"/>
          </w:cols>
          <w:pgMar w:left="240" w:top="295" w:right="1440" w:bottom="1440" w:gutter="0" w:footer="0" w:header="0"/>
          <w:type w:val="continuous"/>
        </w:sectPr>
      </w:pPr>
    </w:p>
    <w:bookmarkStart w:id="140" w:name="page141"/>
    <w:bookmarkEnd w:id="140"/>
    <w:p>
      <w:pPr>
        <w:ind w:left="280"/>
        <w:spacing w:after="0"/>
        <w:rPr>
          <w:sz w:val="20"/>
          <w:szCs w:val="20"/>
          <w:color w:val="auto"/>
        </w:rPr>
      </w:pPr>
      <w:r>
        <w:rPr>
          <w:rFonts w:ascii="Courier New" w:cs="Courier New" w:eastAsia="Courier New" w:hAnsi="Courier New"/>
          <w:sz w:val="16"/>
          <w:szCs w:val="16"/>
          <w:color w:val="auto"/>
        </w:rPr>
        <w:t>137</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Court of Appeals of West Virginia affirmed the lower court's decision in part and reversed that decision in part, holding that the landfill does not require local county site approval, but continuing the volume limitation which has applied to the facility since it commenced operation in 1991.</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declaratory judgment action entitled Morel, et al. v. Chambers Waste Systems of Florida, Inc. was filed on September 29, 1994 in the Circuit Court of the Fifteenth Judicial Circuit of Florida in and for Palm Beach County, Florida. The plaintiffs are asking the court to declare that they are entitled to royalty payments from Chambers as calculated by a percentage of gross revenues derived from Chambers' landfill located at Berman Road in Okeechobee County, Florida, as well as from any landfill that may be sited in the future by Chambers on nearby property. Chambers has responded by seeking, among other things, a declaration that any writing or document that the plaintiffs contend such royalty entitlement is based upon is void, voidable or otherwise of no effect or, alternatively, that any royalty payments be solely based upon the nearby property to Chambers' landfill, when a landfill is developed, if ever, on such property. The outcome of this action is not presently determinable.</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Since the announcement of the Merger, three cases have been filed in the Court of Chancery of the State of Delaware in New Castle County against Chambers, its officers and directors and USA Waste and Envirofil. These cases include Smith v. Rangos et al., C. A. No. 13906, Krim v. Rangos et al., C. A. No. 13985, and Adams v. Rangos et al., C. A. No. 13909. Each of these actions relates to the Merger and all of them seek substantially similar relief. Accordingly, a consolidation order was entered by the Court of Chancery on March 1, 1995. The cases have been consolidated for all purposes under Smith v. Rangos, et al. at C. A. No. 13906 and the caption of the consolidated case is In Re Chambers Development Company, Inc. Shareholders Litigation, Consolidated C. A. No. 13906. The complaint which will govern the consolidated action is the complaint filed in the Krim action. The Krim complaint is brought as a purported class action on behalf of the plaintiff and all similarly situated Chambers security holders, excluding defendants and any person, firm, corporation or similar entity related to or affiliated with any of the defendants. The complaint alleges that the individual defendants, inter alia, engaged in unfair dealing to the detriment of the putative class; the Merger is grossly unfair to the members of the putative class; the members of the putative class would be irreparably damaged if the Merger were to be consummated; and the defendants' conduct constituted a breach of fiduciary and other common law duties allegedly owed to the putative class. The complaint alleges that the Merger consideration is inadequate for various reasons and that the individual defendants failed to maximize shareholder value. 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 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361"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Due to the increasingly complex regulatory environment and heightened public awareness of and community sensitivity toward waste management operations, including particularly the siting or expansion of waste disposal facilities, Chambers could become involved in a variety of potentially significant legal proceedings, in addition to other more routine litigation incidental to its business, including, for example, proceedings relating to permit applications for proposed facilities, personal injury claims and other proceedings.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124</w:t>
      </w:r>
    </w:p>
    <w:p>
      <w:pPr>
        <w:sectPr>
          <w:pgSz w:w="11900" w:h="16838" w:orient="portrait"/>
          <w:cols w:equalWidth="0" w:num="1">
            <w:col w:w="10219"/>
          </w:cols>
          <w:pgMar w:left="240" w:top="295"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6"/>
          <w:szCs w:val="16"/>
          <w:color w:val="auto"/>
        </w:rPr>
        <w:t>138</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SELECTED HISTORICAL CONSOLIDATED FINANCIAL DATA OF CHAMBERS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following selected historical consolidated financial data for Chambers for each of the five years in the period ended December 31, 1994 has been derived from its historical audited consolidated financial statements and should be read in conjunction with the separate historical consolidated financial statements and the notes thereto of Chambers located elsewhere herein. The selected consolidated financial data for Chambers for each of the three-month periods ended March 31, 1994 and 1995 has been derived from the unaudited consolidated financial statements of Chambers. The unaudited data includes, in the opinion of Chambers' management, all adjustments necessary to present fairly the information for such periods. The results for the three-month period ended March 31, 1995 are not necessarily indicative of the results that may be expected for the full year.</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THREE MONTHS</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5"/>
          </w:tcPr>
          <w:p>
            <w:pPr>
              <w:jc w:val="right"/>
              <w:ind w:right="481"/>
              <w:spacing w:after="0"/>
              <w:rPr>
                <w:sz w:val="20"/>
                <w:szCs w:val="20"/>
                <w:color w:val="auto"/>
              </w:rPr>
            </w:pPr>
            <w:r>
              <w:rPr>
                <w:rFonts w:ascii="Courier New" w:cs="Courier New" w:eastAsia="Courier New" w:hAnsi="Courier New"/>
                <w:sz w:val="16"/>
                <w:szCs w:val="16"/>
                <w:color w:val="auto"/>
              </w:rPr>
              <w:t>YEAR ENDED DECEMBER 31,</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w w:val="99"/>
              </w:rPr>
              <w:t>ENDED MARCH 31,</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3"/>
                <w:szCs w:val="3"/>
                <w:color w:val="auto"/>
                <w:w w:val="98"/>
              </w:rPr>
              <w: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8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1990</w:t>
            </w:r>
          </w:p>
        </w:tc>
        <w:tc>
          <w:tcPr>
            <w:tcW w:w="18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1991</w:t>
            </w:r>
          </w:p>
        </w:tc>
        <w:tc>
          <w:tcPr>
            <w:tcW w:w="18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1992</w:t>
            </w:r>
          </w:p>
        </w:tc>
        <w:tc>
          <w:tcPr>
            <w:tcW w:w="18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7"/>
          </w:tcPr>
          <w:p>
            <w:pPr>
              <w:ind w:left="100"/>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w w:val="99"/>
              </w:rPr>
              <w:t>STATEMENT OF OPERATIONS DATA:</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$214,052</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$249,384</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$294,310</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$288,481</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$257,989</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$ 59,766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54,734</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Costs and expenses: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175,669</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196,565</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206,761</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194,355</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179,542</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41,776</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38,442</w:t>
            </w:r>
          </w:p>
        </w:tc>
      </w:tr>
      <w:tr>
        <w:trPr>
          <w:trHeight w:val="182"/>
        </w:trPr>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w w:val="96"/>
              </w:rPr>
              <w:t>General and</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administrative..........</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38,131</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42,908</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37,853</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23,210</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24,796</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5,356</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5,837</w:t>
            </w: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Depreciation and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amortization............</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22,863</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35,611</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38,363</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41,764</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37,568</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9,319</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7,737</w:t>
            </w: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16,938</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44,291</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(11,851)</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8,863</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236,663</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292,022</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327,268</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247,478</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250,769</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56,451</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52,016</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(22,611)</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(42,638)</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(32,958)</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41,003</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7,220</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3,315</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2,718</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Unusual</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380"/>
              <w:spacing w:after="0"/>
              <w:rPr>
                <w:sz w:val="20"/>
                <w:szCs w:val="20"/>
                <w:color w:val="auto"/>
              </w:rPr>
            </w:pPr>
            <w:r>
              <w:rPr>
                <w:rFonts w:ascii="Courier New" w:cs="Courier New" w:eastAsia="Courier New" w:hAnsi="Courier New"/>
                <w:sz w:val="16"/>
                <w:szCs w:val="16"/>
                <w:color w:val="auto"/>
              </w:rPr>
              <w:t>items --</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shareholder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litigation settlement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and other litigation</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related costs...........</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(10,853)</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(5,500)</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(79,400)</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(13,487)</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(30,514)</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(31,628)</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(29,163)</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(23,843)</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(5,726)</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(8,591)</w:t>
            </w: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income...........</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5,575</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9,324</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4,825</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2,470</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2,220</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505</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462</w:t>
            </w: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Other, net................</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861</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2,946</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1,684</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1,093</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(372)</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167</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(7,051)</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(18,244)</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(35,972)</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(31,100)</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(101,395)</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(5,166)</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(7,962)</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Income (loss) before income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taxes.....................</w:t>
            </w: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(29,662)</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(60,882)</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(68,930)</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9,903</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(94,175)</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(1,851)</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(5,244)</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Income tax provision</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(benefit).................</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6,300</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3,600</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1,325</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1,600</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(3,931)</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124</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continuing operations.....</w:t>
            </w: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(35,962)</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(64,482)</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(70,255)</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8,303</w:t>
            </w:r>
          </w:p>
        </w:tc>
        <w:tc>
          <w:tcPr>
            <w:tcW w:w="2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(90,244)</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(1,975)</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(5,269)</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Discontinued operations: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Loss from operations......</w:t>
            </w:r>
          </w:p>
        </w:tc>
        <w:tc>
          <w:tcPr>
            <w:tcW w:w="1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(4,609)</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(7,722)</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(1,407)</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Gain on sale of assets....</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939</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Net income (loss)...........</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$(40,571)</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$(72,204)</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$(70,723)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8,303</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$(90,244)</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(1,975)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(5,269)</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continuing operations per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common 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Income (loss) per common</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common and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common equivalent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54,645</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59,895</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66,788</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66,788</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66,789</w:t>
            </w:r>
          </w:p>
        </w:tc>
        <w:tc>
          <w:tcPr>
            <w:tcW w:w="24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66,789</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66,789</w:t>
            </w:r>
          </w:p>
        </w:tc>
      </w:tr>
      <w:tr>
        <w:trPr>
          <w:trHeight w:val="182"/>
        </w:trPr>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BALANCE SHEET DATA (AT END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w w:val="96"/>
              </w:rPr>
              <w:t>OF PERIOD):</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Working capital (deficit)...</w:t>
            </w:r>
          </w:p>
        </w:tc>
        <w:tc>
          <w:tcPr>
            <w:tcW w:w="1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$129,322</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$142,487</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$ 52,631</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$ 30,067</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$(12,220)</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(8,961)</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Total assets................</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516,017</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699,859</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592,790</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533,622</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488,498</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476,363</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including</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27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current maturities........</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403,602</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377,782</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352,836</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291,551</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257,481</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247,673</w:t>
            </w:r>
          </w:p>
        </w:tc>
      </w:tr>
      <w:tr>
        <w:trPr>
          <w:trHeight w:val="182"/>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14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16,385</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216,456</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145,870</w:t>
            </w:r>
          </w:p>
        </w:tc>
        <w:tc>
          <w:tcPr>
            <w:tcW w:w="18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154,173</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63,932</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58,663</w:t>
            </w:r>
          </w:p>
        </w:tc>
      </w:tr>
    </w:tbl>
    <w:p>
      <w:pPr>
        <w:spacing w:after="0" w:line="200" w:lineRule="exact"/>
        <w:rPr>
          <w:sz w:val="20"/>
          <w:szCs w:val="20"/>
          <w:color w:val="auto"/>
        </w:rPr>
      </w:pPr>
    </w:p>
    <w:p>
      <w:pPr>
        <w:sectPr>
          <w:pgSz w:w="11900" w:h="16838" w:orient="portrait"/>
          <w:cols w:equalWidth="0" w:num="1">
            <w:col w:w="10219"/>
          </w:cols>
          <w:pgMar w:left="240" w:top="295" w:right="1440" w:bottom="0" w:gutter="0" w:footer="0" w:header="0"/>
        </w:sectPr>
      </w:pP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295" w:right="1440" w:bottom="0" w:gutter="0" w:footer="0" w:header="0"/>
          <w:type w:val="continuous"/>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139</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MANAGEMENT'S DISCUSSION AND ANALYSIS OF CHAMBERS'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FOR THE THREE MONTHS ENDED MARCH 31, 1994 AND 1995</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following table sets forth the items in the condensed consolidated statements of operations as a percentage of revenues, and the percentage change in dollar amounts of the items for the three months ended March 31, 1994, as compared with the three months ended March 31, 1995.</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760" w:type="dxa"/>
            <w:vAlign w:val="bottom"/>
          </w:tcPr>
          <w:p>
            <w:pPr>
              <w:spacing w:after="0"/>
              <w:rPr>
                <w:sz w:val="15"/>
                <w:szCs w:val="15"/>
                <w:color w:val="auto"/>
              </w:rPr>
            </w:pP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THREE MONTHS</w:t>
            </w:r>
          </w:p>
        </w:tc>
        <w:tc>
          <w:tcPr>
            <w:tcW w:w="1120" w:type="dxa"/>
            <w:vAlign w:val="bottom"/>
          </w:tcPr>
          <w:p>
            <w:pPr>
              <w:spacing w:after="0"/>
              <w:rPr>
                <w:sz w:val="15"/>
                <w:szCs w:val="15"/>
                <w:color w:val="auto"/>
              </w:rPr>
            </w:pPr>
          </w:p>
        </w:tc>
      </w:tr>
      <w:tr>
        <w:trPr>
          <w:trHeight w:val="182"/>
        </w:trPr>
        <w:tc>
          <w:tcPr>
            <w:tcW w:w="5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ENDED</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760" w:type="dxa"/>
            <w:vAlign w:val="bottom"/>
          </w:tcPr>
          <w:p>
            <w:pPr>
              <w:spacing w:after="0"/>
              <w:rPr>
                <w:sz w:val="15"/>
                <w:szCs w:val="15"/>
                <w:color w:val="auto"/>
              </w:rPr>
            </w:pPr>
          </w:p>
        </w:tc>
        <w:tc>
          <w:tcPr>
            <w:tcW w:w="16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MARCH 31,</w:t>
            </w:r>
          </w:p>
        </w:tc>
        <w:tc>
          <w:tcPr>
            <w:tcW w:w="11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PERCENTAGE</w:t>
            </w:r>
          </w:p>
        </w:tc>
      </w:tr>
      <w:tr>
        <w:trPr>
          <w:trHeight w:val="182"/>
        </w:trPr>
        <w:tc>
          <w:tcPr>
            <w:tcW w:w="5760" w:type="dxa"/>
            <w:vAlign w:val="bottom"/>
          </w:tcPr>
          <w:p>
            <w:pPr>
              <w:spacing w:after="0"/>
              <w:rPr>
                <w:sz w:val="15"/>
                <w:szCs w:val="15"/>
                <w:color w:val="auto"/>
              </w:rPr>
            </w:pPr>
          </w:p>
        </w:tc>
        <w:tc>
          <w:tcPr>
            <w:tcW w:w="16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INCREASE</w:t>
            </w:r>
          </w:p>
        </w:tc>
      </w:tr>
      <w:tr>
        <w:trPr>
          <w:trHeight w:val="182"/>
        </w:trPr>
        <w:tc>
          <w:tcPr>
            <w:tcW w:w="5760" w:type="dxa"/>
            <w:vAlign w:val="bottom"/>
          </w:tcPr>
          <w:p>
            <w:pPr>
              <w:spacing w:after="0"/>
              <w:rPr>
                <w:sz w:val="15"/>
                <w:szCs w:val="15"/>
                <w:color w:val="auto"/>
              </w:rPr>
            </w:pP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1994</w:t>
            </w:r>
          </w:p>
        </w:tc>
        <w:tc>
          <w:tcPr>
            <w:tcW w:w="6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8"/>
              </w:rPr>
              <w:t>1995</w:t>
            </w:r>
          </w:p>
        </w:tc>
        <w:tc>
          <w:tcPr>
            <w:tcW w:w="11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(DECREASE)</w:t>
            </w:r>
          </w:p>
        </w:tc>
      </w:tr>
      <w:tr>
        <w:trPr>
          <w:trHeight w:val="182"/>
        </w:trPr>
        <w:tc>
          <w:tcPr>
            <w:tcW w:w="5760" w:type="dxa"/>
            <w:vAlign w:val="bottom"/>
          </w:tcPr>
          <w:p>
            <w:pPr>
              <w:spacing w:after="0"/>
              <w:rPr>
                <w:sz w:val="15"/>
                <w:szCs w:val="15"/>
                <w:color w:val="auto"/>
              </w:rPr>
            </w:pP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w:t>
            </w:r>
          </w:p>
        </w:tc>
        <w:tc>
          <w:tcPr>
            <w:tcW w:w="6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8"/>
              </w:rPr>
              <w:t>----</w:t>
            </w:r>
          </w:p>
        </w:tc>
        <w:tc>
          <w:tcPr>
            <w:tcW w:w="11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Revenues....................................................</w:t>
            </w: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100%</w:t>
            </w:r>
          </w:p>
        </w:tc>
        <w:tc>
          <w:tcPr>
            <w:tcW w:w="6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8"/>
              </w:rPr>
              <w:t>100%</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r>
      <w:tr>
        <w:trPr>
          <w:trHeight w:val="182"/>
        </w:trPr>
        <w:tc>
          <w:tcPr>
            <w:tcW w:w="57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3"/>
              </w:rPr>
              <w:t>70</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r>
      <w:tr>
        <w:trPr>
          <w:trHeight w:val="182"/>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w:t>
            </w:r>
          </w:p>
        </w:tc>
      </w:tr>
      <w:tr>
        <w:trPr>
          <w:trHeight w:val="182"/>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3"/>
              </w:rPr>
              <w:t>15</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w:t>
            </w:r>
          </w:p>
        </w:tc>
      </w:tr>
      <w:tr>
        <w:trPr>
          <w:trHeight w:val="182"/>
        </w:trPr>
        <w:tc>
          <w:tcPr>
            <w:tcW w:w="5760" w:type="dxa"/>
            <w:vAlign w:val="bottom"/>
          </w:tcPr>
          <w:p>
            <w:pPr>
              <w:spacing w:after="0"/>
              <w:rPr>
                <w:sz w:val="15"/>
                <w:szCs w:val="15"/>
                <w:color w:val="auto"/>
              </w:rPr>
            </w:pP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w:t>
            </w:r>
          </w:p>
        </w:tc>
        <w:tc>
          <w:tcPr>
            <w:tcW w:w="6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8"/>
              </w:rPr>
              <w:t>----</w:t>
            </w:r>
          </w:p>
        </w:tc>
        <w:tc>
          <w:tcPr>
            <w:tcW w:w="1120" w:type="dxa"/>
            <w:vAlign w:val="bottom"/>
          </w:tcPr>
          <w:p>
            <w:pPr>
              <w:spacing w:after="0"/>
              <w:rPr>
                <w:sz w:val="15"/>
                <w:szCs w:val="15"/>
                <w:color w:val="auto"/>
              </w:rPr>
            </w:pPr>
          </w:p>
        </w:tc>
      </w:tr>
      <w:tr>
        <w:trPr>
          <w:trHeight w:val="182"/>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from operations......................................</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w:t>
            </w:r>
          </w:p>
        </w:tc>
      </w:tr>
      <w:tr>
        <w:trPr>
          <w:trHeight w:val="182"/>
        </w:trPr>
        <w:tc>
          <w:tcPr>
            <w:tcW w:w="57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income, primarily interest..........................</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w:t>
            </w:r>
          </w:p>
        </w:tc>
      </w:tr>
      <w:tr>
        <w:trPr>
          <w:trHeight w:val="182"/>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(10)</w:t>
            </w:r>
          </w:p>
        </w:tc>
        <w:tc>
          <w:tcPr>
            <w:tcW w:w="6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8"/>
              </w:rPr>
              <w:t>(16)</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w:t>
            </w:r>
          </w:p>
        </w:tc>
      </w:tr>
      <w:tr>
        <w:trPr>
          <w:trHeight w:val="182"/>
        </w:trPr>
        <w:tc>
          <w:tcPr>
            <w:tcW w:w="5760" w:type="dxa"/>
            <w:vAlign w:val="bottom"/>
          </w:tcPr>
          <w:p>
            <w:pPr>
              <w:spacing w:after="0"/>
              <w:rPr>
                <w:sz w:val="15"/>
                <w:szCs w:val="15"/>
                <w:color w:val="auto"/>
              </w:rPr>
            </w:pP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w:t>
            </w:r>
          </w:p>
        </w:tc>
        <w:tc>
          <w:tcPr>
            <w:tcW w:w="6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8"/>
              </w:rPr>
              <w:t>----</w:t>
            </w:r>
          </w:p>
        </w:tc>
        <w:tc>
          <w:tcPr>
            <w:tcW w:w="1120" w:type="dxa"/>
            <w:vAlign w:val="bottom"/>
          </w:tcPr>
          <w:p>
            <w:pPr>
              <w:spacing w:after="0"/>
              <w:rPr>
                <w:sz w:val="15"/>
                <w:szCs w:val="15"/>
                <w:color w:val="auto"/>
              </w:rPr>
            </w:pPr>
          </w:p>
        </w:tc>
      </w:tr>
      <w:tr>
        <w:trPr>
          <w:trHeight w:val="182"/>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Loss before income taxes....................................</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w:t>
            </w:r>
          </w:p>
        </w:tc>
        <w:tc>
          <w:tcPr>
            <w:tcW w:w="6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8"/>
              </w:rPr>
              <w:t>(10)</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w:t>
            </w:r>
          </w:p>
        </w:tc>
      </w:tr>
      <w:tr>
        <w:trPr>
          <w:trHeight w:val="182"/>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tax provision........................................</w:t>
            </w: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3"/>
              </w:rPr>
              <w:t>--</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w:t>
            </w:r>
          </w:p>
        </w:tc>
      </w:tr>
      <w:tr>
        <w:trPr>
          <w:trHeight w:val="182"/>
        </w:trPr>
        <w:tc>
          <w:tcPr>
            <w:tcW w:w="5760" w:type="dxa"/>
            <w:vAlign w:val="bottom"/>
          </w:tcPr>
          <w:p>
            <w:pPr>
              <w:spacing w:after="0"/>
              <w:rPr>
                <w:sz w:val="15"/>
                <w:szCs w:val="15"/>
                <w:color w:val="auto"/>
              </w:rPr>
            </w:pP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w:t>
            </w:r>
          </w:p>
        </w:tc>
        <w:tc>
          <w:tcPr>
            <w:tcW w:w="6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8"/>
              </w:rPr>
              <w:t>----</w:t>
            </w:r>
          </w:p>
        </w:tc>
        <w:tc>
          <w:tcPr>
            <w:tcW w:w="1120" w:type="dxa"/>
            <w:vAlign w:val="bottom"/>
          </w:tcPr>
          <w:p>
            <w:pPr>
              <w:spacing w:after="0"/>
              <w:rPr>
                <w:sz w:val="15"/>
                <w:szCs w:val="15"/>
                <w:color w:val="auto"/>
              </w:rPr>
            </w:pPr>
          </w:p>
        </w:tc>
      </w:tr>
      <w:tr>
        <w:trPr>
          <w:trHeight w:val="182"/>
        </w:trPr>
        <w:tc>
          <w:tcPr>
            <w:tcW w:w="5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loss....................................................</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1"/>
              </w:rPr>
              <w:t>(10)%</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167</w:t>
            </w:r>
          </w:p>
        </w:tc>
      </w:tr>
      <w:tr>
        <w:trPr>
          <w:trHeight w:val="182"/>
        </w:trPr>
        <w:tc>
          <w:tcPr>
            <w:tcW w:w="5760" w:type="dxa"/>
            <w:vAlign w:val="bottom"/>
          </w:tcPr>
          <w:p>
            <w:pPr>
              <w:spacing w:after="0"/>
              <w:rPr>
                <w:sz w:val="15"/>
                <w:szCs w:val="15"/>
                <w:color w:val="auto"/>
              </w:rPr>
            </w:pPr>
          </w:p>
        </w:tc>
        <w:tc>
          <w:tcPr>
            <w:tcW w:w="9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w:t>
            </w:r>
          </w:p>
        </w:tc>
        <w:tc>
          <w:tcPr>
            <w:tcW w:w="6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8"/>
              </w:rPr>
              <w:t>====</w:t>
            </w:r>
          </w:p>
        </w:tc>
        <w:tc>
          <w:tcPr>
            <w:tcW w:w="1120" w:type="dxa"/>
            <w:vAlign w:val="bottom"/>
          </w:tcPr>
          <w:p>
            <w:pPr>
              <w:spacing w:after="0"/>
              <w:rPr>
                <w:sz w:val="15"/>
                <w:szCs w:val="15"/>
                <w:color w:val="auto"/>
              </w:rPr>
            </w:pPr>
          </w:p>
        </w:tc>
      </w:tr>
    </w:tbl>
    <w:p>
      <w:pPr>
        <w:spacing w:after="0" w:line="36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The following table sets forth the components of revenue change for each of the three months ended March 31, 1994 and 1995:</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80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c>
          <w:tcPr>
            <w:tcW w:w="6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3"/>
              </w:rPr>
              <w:t>1995</w:t>
            </w:r>
          </w:p>
        </w:tc>
      </w:tr>
      <w:tr>
        <w:trPr>
          <w:trHeight w:val="182"/>
        </w:trPr>
        <w:tc>
          <w:tcPr>
            <w:tcW w:w="680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68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Price..................................................................</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2"/>
        </w:trPr>
        <w:tc>
          <w:tcPr>
            <w:tcW w:w="68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Volume.................................................................</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r>
      <w:tr>
        <w:trPr>
          <w:trHeight w:val="182"/>
        </w:trPr>
        <w:tc>
          <w:tcPr>
            <w:tcW w:w="68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Divestitures...........................................................</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w:t>
            </w:r>
          </w:p>
        </w:tc>
        <w:tc>
          <w:tcPr>
            <w:tcW w:w="6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80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2"/>
        </w:trPr>
        <w:tc>
          <w:tcPr>
            <w:tcW w:w="680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3"/>
              </w:rPr>
              <w:t>====</w:t>
            </w:r>
          </w:p>
        </w:tc>
      </w:tr>
    </w:tbl>
    <w:p>
      <w:pPr>
        <w:spacing w:after="0" w:line="36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following table sets forth revenues of Chambers by each of the principal lines of ongoing business and for divested businesses for each of the three months ended March 31, 1994 and 1995 (dollar amounts in thousands):</w:t>
      </w:r>
    </w:p>
    <w:p>
      <w:pPr>
        <w:spacing w:after="0" w:line="200" w:lineRule="exact"/>
        <w:rPr>
          <w:sz w:val="20"/>
          <w:szCs w:val="20"/>
          <w:color w:val="auto"/>
        </w:rPr>
      </w:pPr>
    </w:p>
    <w:p>
      <w:pPr>
        <w:spacing w:after="0" w:line="348"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19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THREE MONTHS</w:t>
            </w:r>
          </w:p>
        </w:tc>
        <w:tc>
          <w:tcPr>
            <w:tcW w:w="1140" w:type="dxa"/>
            <w:vAlign w:val="bottom"/>
          </w:tcPr>
          <w:p>
            <w:pPr>
              <w:spacing w:after="0"/>
              <w:rPr>
                <w:sz w:val="15"/>
                <w:szCs w:val="15"/>
                <w:color w:val="auto"/>
              </w:rPr>
            </w:pPr>
          </w:p>
        </w:tc>
      </w:tr>
      <w:tr>
        <w:trPr>
          <w:trHeight w:val="182"/>
        </w:trPr>
        <w:tc>
          <w:tcPr>
            <w:tcW w:w="5300" w:type="dxa"/>
            <w:vAlign w:val="bottom"/>
          </w:tcPr>
          <w:p>
            <w:pPr>
              <w:spacing w:after="0"/>
              <w:rPr>
                <w:sz w:val="15"/>
                <w:szCs w:val="15"/>
                <w:color w:val="auto"/>
              </w:rPr>
            </w:pPr>
          </w:p>
        </w:tc>
        <w:tc>
          <w:tcPr>
            <w:tcW w:w="19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ENDED MARCH 31,</w:t>
            </w:r>
          </w:p>
        </w:tc>
        <w:tc>
          <w:tcPr>
            <w:tcW w:w="11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PERCENTAGE</w:t>
            </w:r>
          </w:p>
        </w:tc>
      </w:tr>
      <w:tr>
        <w:trPr>
          <w:trHeight w:val="182"/>
        </w:trPr>
        <w:tc>
          <w:tcPr>
            <w:tcW w:w="5300" w:type="dxa"/>
            <w:vAlign w:val="bottom"/>
          </w:tcPr>
          <w:p>
            <w:pPr>
              <w:spacing w:after="0"/>
              <w:rPr>
                <w:sz w:val="15"/>
                <w:szCs w:val="15"/>
                <w:color w:val="auto"/>
              </w:rPr>
            </w:pPr>
          </w:p>
        </w:tc>
        <w:tc>
          <w:tcPr>
            <w:tcW w:w="19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INCREASE</w:t>
            </w:r>
          </w:p>
        </w:tc>
      </w:tr>
      <w:tr>
        <w:trPr>
          <w:trHeight w:val="182"/>
        </w:trPr>
        <w:tc>
          <w:tcPr>
            <w:tcW w:w="5300" w:type="dxa"/>
            <w:vAlign w:val="bottom"/>
          </w:tcPr>
          <w:p>
            <w:pPr>
              <w:spacing w:after="0"/>
              <w:rPr>
                <w:sz w:val="15"/>
                <w:szCs w:val="15"/>
                <w:color w:val="auto"/>
              </w:rPr>
            </w:pP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11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(DECREASE)</w:t>
            </w:r>
          </w:p>
        </w:tc>
      </w:tr>
      <w:tr>
        <w:trPr>
          <w:trHeight w:val="182"/>
        </w:trPr>
        <w:tc>
          <w:tcPr>
            <w:tcW w:w="530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5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Collection services....................................</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$25,816</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$25,325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5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Disposal services (landfills)..........................</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18,883</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18,815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Transfer stations......................................</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10,857</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6,322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w:t>
            </w:r>
          </w:p>
        </w:tc>
      </w:tr>
      <w:tr>
        <w:trPr>
          <w:trHeight w:val="182"/>
        </w:trPr>
        <w:tc>
          <w:tcPr>
            <w:tcW w:w="5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Incinerator............................................</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2,315</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2,592</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5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Recycling services.....................................</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1,510</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1,680</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5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Divested businesses....................................</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385</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w:t>
            </w:r>
          </w:p>
        </w:tc>
      </w:tr>
      <w:tr>
        <w:trPr>
          <w:trHeight w:val="182"/>
        </w:trPr>
        <w:tc>
          <w:tcPr>
            <w:tcW w:w="530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spacing w:after="0"/>
              <w:rPr>
                <w:sz w:val="15"/>
                <w:szCs w:val="15"/>
                <w:color w:val="auto"/>
              </w:rPr>
            </w:pPr>
          </w:p>
        </w:tc>
      </w:tr>
      <w:tr>
        <w:trPr>
          <w:trHeight w:val="182"/>
        </w:trPr>
        <w:tc>
          <w:tcPr>
            <w:tcW w:w="5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$59,766</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$54,734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w:t>
            </w:r>
          </w:p>
        </w:tc>
      </w:tr>
      <w:tr>
        <w:trPr>
          <w:trHeight w:val="182"/>
        </w:trPr>
        <w:tc>
          <w:tcPr>
            <w:tcW w:w="530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spacing w:after="0"/>
              <w:rPr>
                <w:sz w:val="15"/>
                <w:szCs w:val="15"/>
                <w:color w:val="auto"/>
              </w:rPr>
            </w:pPr>
          </w:p>
        </w:tc>
      </w:tr>
    </w:tbl>
    <w:p>
      <w:pPr>
        <w:spacing w:after="0" w:line="3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Revenues. Revenues for the first quarter of 1995 decreased by $5.1 million to $54.7 million from $59.8 million for the first quarter of 1994. The 8% decrease in revenues, as discussed in detail below, resulted from a 9% decrease related to price, partially offset by a 1% increase in volume. During 1994, Chambers sold</w:t>
      </w:r>
    </w:p>
    <w:p>
      <w:pPr>
        <w:sectPr>
          <w:pgSz w:w="11900" w:h="16838" w:orient="portrait"/>
          <w:cols w:equalWidth="0" w:num="1">
            <w:col w:w="10219"/>
          </w:cols>
          <w:pgMar w:left="240" w:top="295" w:right="1440" w:bottom="527"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95" w:right="1440" w:bottom="527" w:gutter="0" w:footer="0" w:header="0"/>
          <w:type w:val="continuous"/>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140</w:t>
      </w:r>
    </w:p>
    <w:p>
      <w:pPr>
        <w:spacing w:after="0" w:line="18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one recycling operation with a resulting decrease in revenues attributable to that operation of $0.4 million in the first quarter of 1995.</w:t>
      </w:r>
    </w:p>
    <w:p>
      <w:pPr>
        <w:spacing w:after="0" w:line="188"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Landfill revenues for the first quarter of 1995 remained relatively constant compared to the first quarter of 1994. Increased volume at Chambers' landfills in Okeechobee County, Florida, Richland County, South Carolina, and Southern Alleghenies, Pennsylvania, was partially offset by a reduction in volume at the Charles City County, Virginia, site. Landfill revenues were derived from municipal solid waste and from special waste, which consists of nonhazardous waste materials such as sewage sludges, contaminated soils, incinerator ash and industrial residues.</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addition, collection revenues for the first quarter of 1995 were reduced primarily as a result of Chambers' contract with Bergen County, New Jersey. In December 1993, Chambers was awarded a new three-year agreement at a reduced rate from the prior contract for the municipal solid waste from Bergen County, New Jersey, commencing on March 1, 1994. The contract for the transportation and disposal of ash generated by the Essex County incinerator was awarded to a competitor effective March 16, 1994. The decline in collection revenues is partially offset by increased volume at the Mainline, Pennsylvania, facility.</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Transfer station revenues declined during the first quarter of 1995 by $4.6 million or 42%, to $6.3 million, from $10.9 million in the first quarter of 1994, due primarily to a rate reduction resulting from the sale but continued operation of the two Morris County, New Jersey, transfer stations on December 31, 1993.</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Management of Chambers believes that progress has been made in replacing a portion of such revenues and waste streams, although at lower operating margins than the terminated contracts, and efforts will continue toward increasing Chambers' customer base and marketing its special waste programs.</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Operating Costs and Expenses. Operating costs and expenses, which decreased by $3.4 million to $38.4 million from $41.8 million, remained constant as a percentage of revenues to 70% in the first quarter of 1995 as compared with the same period of 1994.</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During 1994, Chambers sold one recycling operation, with a resulting decrease in operating costs and expenses attributable to that operation of $0.6 million in the first quarter of 1995. In addition, costs for disposal of waste at third-party landfills and transportation expenses were reduced as a result of continued emphasis on the utilization of internal disposal capacity and the decrease in waste volume received by Chambers from the Essex County, New Jersey, incinerator, as previously discussed. Further reductions in operating expenses resulted from lower landfill closure and post-closure rates resulting from increases in projected airspace for future expansions of existing landfill sites, partially offset by volume increases at Chambers' landfills.</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General and Administrative Expenses. General and administrative expenses increased as a percentage of revenues to 11% in the first quarter of 1995 as compared with 9% during the comparable period of 1994, while increasing by $0.5 million. The percentage increase, which included the effect of severance benefits of $0.7 million during the first quarter of 1995, is due primarily to a decline in revenues, as previously discussed, and Merger-related expenses of $0.3 million partially offset by the cumulative benefit of Chambers' reorganization efforts in 1992, 1993 and late 1994. The first quarter 1995 reorganization efforts are expected to reduce general and administrative expenses in future periods.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Depreciation and Amortization. Depreciation and amortization decreased as a percentage of revenues to 14% in the first quarter of 1995 from 15% for the same period of 1994, while decreasing by $1.6 million. The dollar decrease reflects primarily the effect of increases to projected airspace resulting from future expansions of existing landfill sites, partially offset by higher landfill construction cost amortization associated with volume increases at Chambers' landfills.</w:t>
      </w:r>
    </w:p>
    <w:p>
      <w:pPr>
        <w:spacing w:after="0" w:line="192" w:lineRule="exact"/>
        <w:rPr>
          <w:sz w:val="20"/>
          <w:szCs w:val="20"/>
          <w:color w:val="auto"/>
        </w:rPr>
      </w:pPr>
    </w:p>
    <w:p>
      <w:pPr>
        <w:ind w:right="3039" w:firstLine="473"/>
        <w:spacing w:after="0" w:line="267" w:lineRule="auto"/>
        <w:rPr>
          <w:sz w:val="20"/>
          <w:szCs w:val="20"/>
          <w:color w:val="auto"/>
        </w:rPr>
      </w:pPr>
      <w:r>
        <w:rPr>
          <w:rFonts w:ascii="Courier New" w:cs="Courier New" w:eastAsia="Courier New" w:hAnsi="Courier New"/>
          <w:sz w:val="15"/>
          <w:szCs w:val="15"/>
          <w:color w:val="auto"/>
        </w:rPr>
        <w:t>Other Income, Primarily Interest. Other income, primarily interest, remained constant at $0.6 million during the first quarter of 1994 and 1995.</w:t>
      </w:r>
    </w:p>
    <w:p>
      <w:pPr>
        <w:spacing w:after="0" w:line="1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Interest Expense. Interest expense increased $2.9 million to $8.6 million for the first quarter of 1995 as compared with $5.7 million for the first quarter of 1994. Interest expense in each period was less than total interest charges as a result of interest capitalization related to Chambers' development of landfills. Capitalized interest totaled $0.6 million and $0.9 million during the first quarter of 1994 and 1995, respectively. Interest</w:t>
      </w:r>
    </w:p>
    <w:p>
      <w:pPr>
        <w:sectPr>
          <w:pgSz w:w="11900" w:h="16838" w:orient="portrait"/>
          <w:cols w:equalWidth="0" w:num="1">
            <w:col w:w="10219"/>
          </w:cols>
          <w:pgMar w:left="240" w:top="295" w:right="1440" w:bottom="1440" w:gutter="0" w:footer="0" w:header="0"/>
        </w:sectPr>
      </w:pP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19"/>
          </w:cols>
          <w:pgMar w:left="240" w:top="295" w:right="1440" w:bottom="1440" w:gutter="0" w:footer="0" w:header="0"/>
          <w:type w:val="continuous"/>
        </w:sectPr>
      </w:pPr>
    </w:p>
    <w:bookmarkStart w:id="144" w:name="page145"/>
    <w:bookmarkEnd w:id="144"/>
    <w:p>
      <w:pPr>
        <w:ind w:left="280"/>
        <w:spacing w:after="0"/>
        <w:rPr>
          <w:sz w:val="20"/>
          <w:szCs w:val="20"/>
          <w:color w:val="auto"/>
        </w:rPr>
      </w:pPr>
      <w:r>
        <w:rPr>
          <w:rFonts w:ascii="Courier New" w:cs="Courier New" w:eastAsia="Courier New" w:hAnsi="Courier New"/>
          <w:sz w:val="16"/>
          <w:szCs w:val="16"/>
          <w:color w:val="auto"/>
        </w:rPr>
        <w:t>141</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costs, before capitalized interest, increased to $9.5 million for the first quarter of 1995 as compared with $6.3 million for the same period of 1994. The increase in interest costs is attributable primarily to an early redemption premium and escalating extension fees resulting from amendments to Chambers' credit facility and senior note agreements in November 1994.</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Income Taxes. The provision for income taxes for the first quarter of 1994 and 1995 represents provisions for state and local income taxes. There was no provision for federal income taxes as a result of Chambers' operating loss carryforwards.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Net</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Loss. Chambers'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net</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loss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was $5.3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million</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for the first</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quarter of</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1995, as</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compared with a</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net</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loss</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of $2.0</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million for</w:t>
            </w:r>
          </w:p>
        </w:tc>
        <w:tc>
          <w:tcPr>
            <w:tcW w:w="25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the first quarter of 1994.</w:t>
            </w:r>
          </w:p>
        </w:tc>
      </w:tr>
      <w:tr>
        <w:trPr>
          <w:trHeight w:val="182"/>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This increase in</w:t>
            </w:r>
          </w:p>
        </w:tc>
        <w:tc>
          <w:tcPr>
            <w:tcW w:w="2400" w:type="dxa"/>
            <w:vAlign w:val="bottom"/>
            <w:gridSpan w:val="5"/>
          </w:tcPr>
          <w:p>
            <w:pPr>
              <w:jc w:val="right"/>
              <w:ind w:right="1"/>
              <w:spacing w:after="0"/>
              <w:rPr>
                <w:sz w:val="20"/>
                <w:szCs w:val="20"/>
                <w:color w:val="auto"/>
              </w:rPr>
            </w:pPr>
            <w:r>
              <w:rPr>
                <w:rFonts w:ascii="Courier New" w:cs="Courier New" w:eastAsia="Courier New" w:hAnsi="Courier New"/>
                <w:sz w:val="16"/>
                <w:szCs w:val="16"/>
                <w:color w:val="auto"/>
                <w:w w:val="99"/>
              </w:rPr>
              <w:t>net loss resulted from a</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decrease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2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revenues and an increase</w:t>
            </w:r>
          </w:p>
        </w:tc>
      </w:tr>
      <w:tr>
        <w:trPr>
          <w:trHeight w:val="182"/>
        </w:trPr>
        <w:tc>
          <w:tcPr>
            <w:tcW w:w="2880" w:type="dxa"/>
            <w:vAlign w:val="bottom"/>
            <w:gridSpan w:val="5"/>
          </w:tcPr>
          <w:p>
            <w:pPr>
              <w:spacing w:after="0"/>
              <w:rPr>
                <w:sz w:val="20"/>
                <w:szCs w:val="20"/>
                <w:color w:val="auto"/>
              </w:rPr>
            </w:pPr>
            <w:r>
              <w:rPr>
                <w:rFonts w:ascii="Courier New" w:cs="Courier New" w:eastAsia="Courier New" w:hAnsi="Courier New"/>
                <w:sz w:val="16"/>
                <w:szCs w:val="16"/>
                <w:color w:val="auto"/>
                <w:w w:val="99"/>
              </w:rPr>
              <w:t>in interest expense, partially</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offset by a</w:t>
            </w:r>
          </w:p>
        </w:tc>
        <w:tc>
          <w:tcPr>
            <w:tcW w:w="2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decrease in operating</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costs and</w:t>
            </w:r>
          </w:p>
        </w:tc>
      </w:tr>
      <w:tr>
        <w:trPr>
          <w:trHeight w:val="182"/>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w:t>
            </w:r>
          </w:p>
        </w:tc>
        <w:tc>
          <w:tcPr>
            <w:tcW w:w="13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amortization,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discussed above.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FOR THE THREE YEARS ENDED DECEMBER 31, 1994</w:t>
      </w:r>
    </w:p>
    <w:p>
      <w:pPr>
        <w:spacing w:after="0" w:line="18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On December 11, 1992, Chambers completed the sale of its security services business. The following discussion excludes the operational activity and results of the security services business, which has been included in the accompanying consolidated financial statements of Chambers as discontinued operations.</w:t>
      </w:r>
    </w:p>
    <w:p>
      <w:pPr>
        <w:spacing w:after="0" w:line="173"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following table sets forth the items in Chambers' consolidated statements of operations related to continuing operations as a percentage of revenues, and the percentage changes in dollar amounts of the items compared to previous years.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PERCENTAGE INCREASE</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(DECREASE)</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YEAR ENDED</w:t>
            </w:r>
          </w:p>
        </w:tc>
        <w:tc>
          <w:tcPr>
            <w:tcW w:w="580" w:type="dxa"/>
            <w:vAlign w:val="bottom"/>
          </w:tcPr>
          <w:p>
            <w:pPr>
              <w:spacing w:after="0"/>
              <w:rPr>
                <w:sz w:val="15"/>
                <w:szCs w:val="15"/>
                <w:color w:val="auto"/>
              </w:rPr>
            </w:pPr>
          </w:p>
        </w:tc>
        <w:tc>
          <w:tcPr>
            <w:tcW w:w="22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0" w:type="dxa"/>
            <w:vAlign w:val="bottom"/>
            <w:gridSpan w:val="2"/>
          </w:tcPr>
          <w:p>
            <w:pPr>
              <w:jc w:val="center"/>
              <w:ind w:left="381"/>
              <w:spacing w:after="0"/>
              <w:rPr>
                <w:sz w:val="20"/>
                <w:szCs w:val="20"/>
                <w:color w:val="auto"/>
              </w:rPr>
            </w:pPr>
            <w:r>
              <w:rPr>
                <w:rFonts w:ascii="Courier New" w:cs="Courier New" w:eastAsia="Courier New" w:hAnsi="Courier New"/>
                <w:sz w:val="16"/>
                <w:szCs w:val="16"/>
                <w:color w:val="auto"/>
                <w:w w:val="98"/>
              </w:rPr>
              <w:t>DECEMBER 31,</w:t>
            </w:r>
          </w:p>
        </w:tc>
        <w:tc>
          <w:tcPr>
            <w:tcW w:w="580" w:type="dxa"/>
            <w:vAlign w:val="bottom"/>
          </w:tcPr>
          <w:p>
            <w:pPr>
              <w:spacing w:after="0"/>
              <w:rPr>
                <w:sz w:val="15"/>
                <w:szCs w:val="15"/>
                <w:color w:val="auto"/>
              </w:rPr>
            </w:pPr>
          </w:p>
        </w:tc>
        <w:tc>
          <w:tcPr>
            <w:tcW w:w="1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COMPARED</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COMPARED</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1992</w:t>
            </w:r>
          </w:p>
        </w:tc>
        <w:tc>
          <w:tcPr>
            <w:tcW w:w="10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1993</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1994</w:t>
            </w: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TO 1992</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TO 1993</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0"/>
              </w:rPr>
              <w:t>---</w:t>
            </w: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100%</w:t>
            </w:r>
          </w:p>
        </w:tc>
        <w:tc>
          <w:tcPr>
            <w:tcW w:w="14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3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67</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70</w:t>
            </w:r>
          </w:p>
        </w:tc>
        <w:tc>
          <w:tcPr>
            <w:tcW w:w="14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w:t>
            </w:r>
          </w:p>
        </w:tc>
        <w:tc>
          <w:tcPr>
            <w:tcW w:w="14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(39)</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w:t>
            </w:r>
          </w:p>
        </w:tc>
        <w:tc>
          <w:tcPr>
            <w:tcW w:w="1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w:t>
            </w:r>
          </w:p>
        </w:tc>
        <w:tc>
          <w:tcPr>
            <w:tcW w:w="1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0"/>
              </w:rPr>
              <w:t>---</w:t>
            </w: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operations......................</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w:t>
            </w:r>
          </w:p>
        </w:tc>
        <w:tc>
          <w:tcPr>
            <w:tcW w:w="1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3120" w:type="dxa"/>
            <w:vAlign w:val="bottom"/>
          </w:tcPr>
          <w:p>
            <w:pPr>
              <w:jc w:val="right"/>
              <w:ind w:right="961"/>
              <w:spacing w:after="0"/>
              <w:rPr>
                <w:sz w:val="20"/>
                <w:szCs w:val="20"/>
                <w:color w:val="auto"/>
              </w:rPr>
            </w:pPr>
            <w:r>
              <w:rPr>
                <w:rFonts w:ascii="Courier New" w:cs="Courier New" w:eastAsia="Courier New" w:hAnsi="Courier New"/>
                <w:sz w:val="16"/>
                <w:szCs w:val="16"/>
                <w:color w:val="auto"/>
                <w:w w:val="97"/>
              </w:rPr>
              <w:t>shareholder litigation</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settlement and other litigation related</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costs.........................................</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(31)</w:t>
            </w:r>
          </w:p>
        </w:tc>
        <w:tc>
          <w:tcPr>
            <w:tcW w:w="14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(49)</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1,344</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income, primarily interest.................</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w:t>
            </w:r>
          </w:p>
        </w:tc>
        <w:tc>
          <w:tcPr>
            <w:tcW w:w="14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w:t>
            </w:r>
          </w:p>
        </w:tc>
        <w:tc>
          <w:tcPr>
            <w:tcW w:w="14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0"/>
              </w:rPr>
              <w:t>---</w:t>
            </w: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income taxes.....................................</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(37)</w:t>
            </w:r>
          </w:p>
        </w:tc>
        <w:tc>
          <w:tcPr>
            <w:tcW w:w="1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tax provision (benefit).....................</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w:t>
            </w:r>
          </w:p>
        </w:tc>
        <w:tc>
          <w:tcPr>
            <w:tcW w:w="1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0"/>
              </w:rPr>
              <w:t>---</w:t>
            </w: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(35)%</w:t>
            </w:r>
          </w:p>
        </w:tc>
        <w:tc>
          <w:tcPr>
            <w:tcW w:w="1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0"/>
              </w:rPr>
              <w:t>===</w:t>
            </w: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36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Revenues. The following table sets forth the components of revenue change for Chambers during the years indicated.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1992</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1993</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5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Price...............................................................</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Volume..............................................................</w:t>
            </w: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w:t>
            </w: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Acquisitions........................................................</w:t>
            </w: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w:t>
            </w: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Divestitures........................................................</w:t>
            </w: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r>
      <w:tr>
        <w:trPr>
          <w:trHeight w:val="182"/>
        </w:trPr>
        <w:tc>
          <w:tcPr>
            <w:tcW w:w="65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Total...............................................................</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2"/>
        </w:trPr>
        <w:tc>
          <w:tcPr>
            <w:tcW w:w="65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5" w:right="1440" w:bottom="1072" w:gutter="0" w:footer="0" w:header="0"/>
        </w:sectPr>
      </w:pP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19"/>
          </w:cols>
          <w:pgMar w:left="240" w:top="295" w:right="1440" w:bottom="1072" w:gutter="0" w:footer="0" w:header="0"/>
          <w:type w:val="continuous"/>
        </w:sectPr>
      </w:pPr>
    </w:p>
    <w:bookmarkStart w:id="145" w:name="page146"/>
    <w:bookmarkEnd w:id="145"/>
    <w:p>
      <w:pPr>
        <w:ind w:left="280"/>
        <w:spacing w:after="0"/>
        <w:rPr>
          <w:sz w:val="20"/>
          <w:szCs w:val="20"/>
          <w:color w:val="auto"/>
        </w:rPr>
      </w:pPr>
      <w:r>
        <w:rPr>
          <w:rFonts w:ascii="Courier New" w:cs="Courier New" w:eastAsia="Courier New" w:hAnsi="Courier New"/>
          <w:sz w:val="16"/>
          <w:szCs w:val="16"/>
          <w:color w:val="auto"/>
        </w:rPr>
        <w:t>142</w:t>
      </w:r>
    </w:p>
    <w:p>
      <w:pPr>
        <w:spacing w:after="0" w:line="186" w:lineRule="exact"/>
        <w:rPr>
          <w:sz w:val="20"/>
          <w:szCs w:val="20"/>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The following table sets forth revenues of Chambers by each of the principal lines of ongoing business and for divested businesses for each of the three years in the period ended December 31, 1994 (dollar amounts in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PERCENTAGE</w:t>
            </w:r>
          </w:p>
        </w:tc>
      </w:tr>
      <w:tr>
        <w:trPr>
          <w:trHeight w:val="182"/>
        </w:trPr>
        <w:tc>
          <w:tcPr>
            <w:tcW w:w="3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INCREASE (DECREASE)</w:t>
            </w:r>
          </w:p>
        </w:tc>
      </w:tr>
      <w:tr>
        <w:trPr>
          <w:trHeight w:val="182"/>
        </w:trPr>
        <w:tc>
          <w:tcPr>
            <w:tcW w:w="3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332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YEAR ENDED DECEMBER 31,</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396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114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COMPARED</w:t>
            </w: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w w:val="96"/>
              </w:rPr>
              <w:t>COMPARED</w:t>
            </w:r>
          </w:p>
        </w:tc>
      </w:tr>
      <w:tr>
        <w:trPr>
          <w:trHeight w:val="182"/>
        </w:trPr>
        <w:tc>
          <w:tcPr>
            <w:tcW w:w="3960" w:type="dxa"/>
            <w:vAlign w:val="bottom"/>
          </w:tcPr>
          <w:p>
            <w:pPr>
              <w:spacing w:after="0"/>
              <w:rPr>
                <w:sz w:val="15"/>
                <w:szCs w:val="15"/>
                <w:color w:val="auto"/>
              </w:rPr>
            </w:pPr>
          </w:p>
        </w:tc>
        <w:tc>
          <w:tcPr>
            <w:tcW w:w="1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1992</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TO 1992</w:t>
            </w: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TO 1993</w:t>
            </w:r>
          </w:p>
        </w:tc>
      </w:tr>
      <w:tr>
        <w:trPr>
          <w:trHeight w:val="182"/>
        </w:trPr>
        <w:tc>
          <w:tcPr>
            <w:tcW w:w="39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Collection services......................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$126,726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$122,444</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$106,206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Disposal services (landfills)............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66,705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78,992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83,526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Transfer stations........................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56,404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55,316</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50,882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Incinerator..............................</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6,391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9,691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9,589</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Recycling services.......................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6,214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6,117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6,463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Divested businesses......................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31,870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15,921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1,323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w:t>
            </w:r>
          </w:p>
        </w:tc>
      </w:tr>
      <w:tr>
        <w:trPr>
          <w:trHeight w:val="182"/>
        </w:trPr>
        <w:tc>
          <w:tcPr>
            <w:tcW w:w="39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$294,310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$288,481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$257,989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39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3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1994. Revenues for 1994 decreased by $30.5 million to $258.0 million from $288.5 million during 1993, due in part to the sale of businesses as part of Chambers' divestiture program. During 1993 and 1994, Chambers sold six collection and hauling operations, one transfer station, one recycling operation and one landfill, with a resulting decrease in revenues attributable to those operations of $14.6 million in 1994 from 1993.</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addition, both collection and disposal revenues for 1994 were reduced as a result of contract renegotiations and terminations. Chambers' previous contract with Bergen County, New Jersey, to dispose of that county's solid waste either to a Chambers landfill or to the Essex County, New Jersey, incinerator also included the transportation and disposal of ash generated by the Essex County incinerator. In December 1993, Chambers was awarded a new three-year agreement at a reduced rate from the prior contract for the disposal of the municipal solid waste from Bergen County, New Jersey, commencing on March 1, 1994. The contract for the transportation and disposal of ash generated by the Essex County incinerator was awarded to a competitor effective March 16, 1994. Chambers also had provided disposal and transportation of solid waste from Union County, New Jersey, under contracts which expired in December 1993. In addition, in October 1993, the New Jersey Department of Environmental Protection and Energy approved the Passaic County Utilities Authority's contract redirecting the county's solid waste to a competitor's landfill for a two-year period commencing on December 1, 1993. As a result, Chambers no longer receives waste under its contract with the Passaic County Utilities Authority. As a result of these contract renegotiations and terminations, Chambers' 1994 revenues related to the New Jersey activities decreased to $16.6 million from $50.3 million for 1993, and the loss from operations related to these activities totaled $1.6 million in 1994 as compared to income from operations of $12.4 million for 1993. Chambers' management believes that progress has been made in replacing a portion of such waste streams, although at lower operating margins than the terminated contracts, and efforts will continue toward increasing Chambers' customer base and marketing of its special waste programs.</w:t>
      </w:r>
    </w:p>
    <w:p>
      <w:pPr>
        <w:spacing w:after="0" w:line="18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Landfill revenues for 1994 increased by $4.5 million, or 6%, which was primarily attributable to increased volume at Chambers' landfill in Okeechobee County, Florida, as a result of a transportation and disposal agreement with Reuter Recycling of Florida, Inc. and new waste volume at Chambers' landfill in Amelia County, Virginia, which opened in May 1993. Landfill revenues were enhanced by additional special waste volume, which consists of nonhazardous waste materials such as sewage sludges, contaminated soils, incinerator ash and certain industrial residues. Due to intense competitive pressures within the industry, landfill volume growth was partially offset by reducing pricing at certain of Chambers' landfills.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Transfer station revenues decreased $4.4 million during 1994 to $50.9 million compared to $55.3 million during 1993, due primarily to rate reduction resulting from the sale but continued operation of the two Morris County, New Jersey, transfer stations on December 31, 1993, and partially offset by increased revenues at the Columbia, South Carolina, and Hunterdon County, New Jersey, transfer stations. The Morris County transfer station operations generated revenues of $35.6 million, including $4.0 million in revenues deferred from 1993,</w:t>
      </w:r>
    </w:p>
    <w:p>
      <w:pPr>
        <w:sectPr>
          <w:pgSz w:w="11900" w:h="16838" w:orient="portrait"/>
          <w:cols w:equalWidth="0" w:num="1">
            <w:col w:w="10219"/>
          </w:cols>
          <w:pgMar w:left="240" w:top="295" w:right="1440" w:bottom="1440"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19"/>
          </w:cols>
          <w:pgMar w:left="240" w:top="295" w:right="1440" w:bottom="1440" w:gutter="0" w:footer="0" w:header="0"/>
          <w:type w:val="continuous"/>
        </w:sectPr>
      </w:pPr>
    </w:p>
    <w:bookmarkStart w:id="146" w:name="page147"/>
    <w:bookmarkEnd w:id="146"/>
    <w:p>
      <w:pPr>
        <w:ind w:left="280"/>
        <w:spacing w:after="0"/>
        <w:rPr>
          <w:sz w:val="20"/>
          <w:szCs w:val="20"/>
          <w:color w:val="auto"/>
        </w:rPr>
      </w:pPr>
      <w:r>
        <w:rPr>
          <w:rFonts w:ascii="Courier New" w:cs="Courier New" w:eastAsia="Courier New" w:hAnsi="Courier New"/>
          <w:sz w:val="16"/>
          <w:szCs w:val="16"/>
          <w:color w:val="auto"/>
        </w:rPr>
        <w:t>143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income from operations of $12.2 million in 1994; however, it is expected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generate annual revenues of approximately $11 million in each of 1995 and 1996,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the County's long-term solid waste system is not yet in operation.</w:t>
      </w:r>
    </w:p>
    <w:p>
      <w:pPr>
        <w:spacing w:after="0" w:line="194"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1993. Revenues for 1993 decreased by $5.8 million to $288.5 million from $294.3 million for 1992, principally as a result of the sale of certain businesses as part of Chambers' divestiture program. As discussed below, Chambers sold its two transfer stations in Morris County, New Jersey, on December 31, 1993. In addition, during 1993 Chambers sold six collection and hauling operations, one transfer station and one landfill, with a resulting decrease in revenues attributable to those operations of $15.4 million in 1993 from 1992.</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Landfill revenues for 1993 increased by $12.3 million, or 18%, which was primarily attributable to the full period operations and increased waste streams at the newly constructed landfills in Amelia County, Virginia, which opened in May 1993, in Allegany County, Maryland, which opened in February 1992, and in Atlanta, Georgia, which opened in May 1992, and the acquisition of a landfill in Okeechobee County, Florida, in January 1992. Landfill revenues were also enhanced by additional special waste volumes resulting from Chambers' increasing emphasis on the disposal of special wastes.</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Revenues for 1993 also reflect a $3.3 million, or 52%, increase in medical and special waste revenues from the operation of the Hampton County, South Carolina, incinerator, which also benefited from Chambers' increased emphasis on the special waste market. See "Results of Operations for the Three Years Ended December 31, 1994 -- Unusual Items -- Operations."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Revenues for 1993 were reduced by a decrease in waste volume from Chambers' New York City sludge contract and a decrease in waste volume from Chambers' New Jersey municipal customers, which redirected portions of their solid waste to the Essex County, New Jersey, waste-to-energy incinerator and reduced their solid waste volume as a result of the state's recycling program.</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On December 31, 1993, Chambers sold its two transfer stations in Morris County, New Jersey, to the Morris County Municipal Utilities Authority. As part of the agreement of sale, Chambers will continue to operate the transfer stations and provide transportation services until the county's long-term solid waste system is in operation or December 31, 1996, if later. The county has an option to extend the operation and transportation agreement for two six-month periods beyond 1996, if its long-term solid waste system is not yet operational.</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Operating Costs and Expenses. Operating costs and expenses, which decreased by $14.8 million to $179.5 million in 1994 from $194.3 million in 1993, increased as a percentage of revenues in 1994 to 70% as compared with 67% in 1993.</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During 1993 and 1994, Chambers sold certain operations with a resulting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decrease in operating costs and expenses attributable to those operations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$12.6 million in 1994. In addition, costs for disposal of waste at third-party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landfills and transportation expenses were reduced as a result of continued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emphasis on the utilization of internal disposal capacity and the decrease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volume received by Chambers from the Essex County, New Jersey,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incinerator, as previously discussed, and Chambers' New York City sludge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Further reductions in operating expenses resulted from lower landfill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closure and post-closure rates resulting from increases to projected airspace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future expansions of existing landfill sites, partially offset by volume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increases at Chambers' landfills.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1993, Chambers experienced a reduction in costs for disposal of waste at third-party landfills as compared with 1992. The reduction in these costs, which reflects the increased emphasis on the utilization of internal disposal capacity, was, however, partially offset by an increase in community host fees resulting from the redirection of waste to landfills owned by Chambers. In addition, operating costs and expenses for 1993 reflect an increase in subcontract hauling expense resulting from increased special waste volume at the Hampton County, South Carolina, incinerator.</w:t>
      </w:r>
    </w:p>
    <w:p>
      <w:pPr>
        <w:spacing w:after="0" w:line="187"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General and Administrative Expenses. General and administrative expenses increased as a percentage of revenues to 10% for 1994 as compared to 8% during 1993, while increasing in dollar amount by $1.6 million.</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19"/>
          </w:cols>
          <w:pgMar w:left="240" w:top="295" w:right="1440" w:bottom="1440" w:gutter="0" w:footer="0" w:header="0"/>
          <w:type w:val="continuous"/>
        </w:sectPr>
      </w:pPr>
    </w:p>
    <w:bookmarkStart w:id="147" w:name="page148"/>
    <w:bookmarkEnd w:id="147"/>
    <w:p>
      <w:pPr>
        <w:ind w:left="280"/>
        <w:spacing w:after="0"/>
        <w:rPr>
          <w:sz w:val="20"/>
          <w:szCs w:val="20"/>
          <w:color w:val="auto"/>
        </w:rPr>
      </w:pPr>
      <w:r>
        <w:rPr>
          <w:rFonts w:ascii="Courier New" w:cs="Courier New" w:eastAsia="Courier New" w:hAnsi="Courier New"/>
          <w:sz w:val="16"/>
          <w:szCs w:val="16"/>
          <w:color w:val="auto"/>
        </w:rPr>
        <w:t>144</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The dollar increase in 1994 principally reflects a $2.3 million charge for charitable contributions, offset partially by the continued benefit of Chambers' reorganization efforts in 1992, 1993 and late 1994. Further reorganization efforts during 1995 are expected to reduce general and administrative expenses in future periods. In the fourth quarter of 1994, Chambers elected early adoption of Statement of Financial Accounting Standards No. 116, "Accounting for Contributions Received and Contributions Made." The new standard requires, among other things, the recognition of the fair value of contributions made, including unconditional promises to give, in the period in which the contribution is made or unconditional promise is given. Prior to adoption, Chambers had recognized contributions made or unconditional promises to give in the period the contribution was paid. On December 29, 1994, Chambers made unconditional promises to contribute $3 million to certain charitable organizations, payable in annual installments of $0.5 million over the next six years; accordingly, Chambers recorded a charge to general and administrative expense of $2.3 million, representing the present value of these obligations.</w:t>
      </w:r>
    </w:p>
    <w:p>
      <w:pPr>
        <w:spacing w:after="0" w:line="181"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As anticipated, general and administrative expenses declined in 1993 compared with 1992, due largely to the full year benefit of Chambers' reorganization efforts. During 1992, management implemented a reorganization of its corporate and regional staffing levels, having determined that the emphasis on internal growth through the utilization of disposal capacity for which permits have been issued would not require the same levels of administrative personnel that existed previously. These reduced expenses include compensation as well as travel and professional fees.</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Depreciation and Amortization. Depreciation and amortization increased as a percentage of revenues to 15% in 1994 from 14% in 1993 and 13% in 1992, while decreasing by $4.2 million in 1994 from 1993 and increasing by $3.4 million in 1993 from 1992. The 1994 dollar decrease reflects the sale of certain of Chambers' operations and the effect of increases to projected airspace resulting from future expansions of existing landfill sites, partially offset by higher landfill construction cost amortization associated with volume increases at Chambers' landfills. The increase in 1992 reflects higher landfill construction cost amortization associated with volume increases at Chambers' landfills, partially offset by the effects of increases to projected airspace resulting from future expansions of existing landfill sites.</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Unusual Items -- Operations. In 1992 and the first half of 1993, Chambers was not in compliance with certain covenants of its various long-term borrowing agreements and commenced the restructuring of its principal credit facilities and surety arrangements. In addition, Chambers undertook significant steps to reorganize its corporate and regional activities. Chambers also decided to divest certain businesses that did not meet strategic and performance objectives and not to pursue certain development activities.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1994, Chambers recorded charges of $3.4 million for losses on asset divestitures including $1.1 million to adjust a prior year estimate of the loss on divestiture of a hauling, recycling and transfer station operation, and $2.3 million related to the estimated future loss on a municipal contract. Effective March 1, 1994, Chambers was awarded a three-year contract for the transportation and disposal of municipal solid waste with, at the customer's option, two one-year extension periods beyond February 28, 1997. The costs of operating the contract have been greater than originally estimated and, since inception, the contract has been generating an operating loss. Operational changes and improvements implemented during 1994 did not sufficiently reduce operating costs. As a result, Chambers has estimated it will incur operating losses of approximately $2.3 million through the remaining two-year term of the contract, and the two one-year extension periods, in order to satisfy the service requirements of the contract and accordingly has accrued such amount. In 1994, Chambers also reversed prior year provisions for losses on divestitures and contractual commitments of $3.6 million, including $2.0 million previously recorded for expected losses to be incurred on a municipal contract with respect to which Chambers was able to negotiate an early termination and $1.0 million of excess reserve related to the sale in 1994 of a recycling operation and certain real estate.</w:t>
      </w:r>
    </w:p>
    <w:p>
      <w:pPr>
        <w:spacing w:after="0" w:line="19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addition, in 1994 Chambers recorded net charges of $8.2 million for asset impairments and abandoned projects. That amount included a fourth quarter charge of $7.0 million to reduce the carrying value, as of December 31, 1994, of Chambers' medical, special and municipal waste incinerator facility to its estimated net realizable value. The amount of the charge was measured as the difference between the carrying value of long-term assets, principally property, plant and equipment and intangible assets, and the estimated fair value</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295" w:right="1440" w:bottom="1440" w:gutter="0" w:footer="0" w:header="0"/>
          <w:type w:val="continuous"/>
        </w:sectPr>
      </w:pPr>
    </w:p>
    <w:bookmarkStart w:id="148" w:name="page149"/>
    <w:bookmarkEnd w:id="148"/>
    <w:p>
      <w:pPr>
        <w:ind w:left="280"/>
        <w:spacing w:after="0"/>
        <w:rPr>
          <w:sz w:val="20"/>
          <w:szCs w:val="20"/>
          <w:color w:val="auto"/>
        </w:rPr>
      </w:pPr>
      <w:r>
        <w:rPr>
          <w:rFonts w:ascii="Courier New" w:cs="Courier New" w:eastAsia="Courier New" w:hAnsi="Courier New"/>
          <w:sz w:val="16"/>
          <w:szCs w:val="16"/>
          <w:color w:val="auto"/>
        </w:rPr>
        <w:t>145</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of the assets based on the present value of future cash flows discounted at 12%. The adjustment was based on a review conducted in the fourth quarter which determined there had been a permanent decline in the value of the facility, based on the conclusion that Chambers could not recover its investment through future operations, given current and forecasted pricing, waste mix and capacity trends as well as recently proposed regulations with respect to medical waste incinerator facilities and general declines in the value of waste incinerator businesses. During 1994, Chambers also reached a favorable settlement of previously reported litigation related to certain contracts entered into with respect to the purchase by Chambers of a landfill and the prior purchase of a waste collection and hauling company. The settlement amount is included as a credit to unusual items and includes receipt by Chambers of $1.2 million in cash and the forgiveness of all remaining non-compete payments totalling $0.5 million that were to have been paid by Chambers to various individuals in 1994, 1995 and 1996. The remaining charge of $3.0 million represents changes in prior year estimates for certain asset impairments and abandoned projects. In addition, Chambers recorded a charge of $0.8 million primarily relating to severance benefits paid to employees terminated as part of Chambers' continued reorganization. With the exception of the $1.2 million litigation settlement received by Chambers and the $0.8 million payment of severance benefits, there was no cash flow effect to these unusual charges.</w:t>
      </w:r>
    </w:p>
    <w:p>
      <w:pPr>
        <w:spacing w:after="0" w:line="362"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During 1993, Chambers sold certain businesses as part of its divestiture program, which resulted in a net gain of $20.7 million. Chambers also recorded charges of $8.7 million for losses on asset divestitures and contractual commitments including (i) $3.2 million related to the municipal contract discussed above, (ii) $3.2 million related to the recycling operation and real estate sold in 1994 and (iii) $2.1 million related to a hauling, recycling and transfer station held for sale. In addition, Chambers reversed prior year provisions of $6.6 million for losses on divestitures for businesses that were subsequently retained.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1993, Chambers also recorded charges of $4.9 million, consisting of $2.0 million for impaired assets and $2.9 million for abandoned projects. Additionally, there were charges in 1993 of $1.6 million for special directors and officers insurance premiums and $0.3 million for severance benefits paid to employees terminated in connection with the corporate and regional restructuring.</w:t>
      </w:r>
    </w:p>
    <w:p>
      <w:pPr>
        <w:spacing w:after="0" w:line="190"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 1992, Chambers recorded a charge of $10.5 million for anticipated losses on planned asset divestitures and contractual commitments and recorded a charge of $12.4 million for asset impairments and abandoned projects. There was no cash flow effect for these unusual charges.</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addition, Chambers recorded charges of $10.4 million in 1992 for financing and professional fees primarily related to the restructuring of its principal credit facilities and surety arrangements. Chambers also recorded a charge of $7.1 million for special directors and officers insurance premiums as a result of the shareholder litigation and charges of $3.8 million related to the reorganization of its corporate and regional operations. The latter charges were for employee severance, relocation and related transition costs, costs to close certain facilities and other related costs.</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Unusual Items -- Shareholder Litigation Settlement and Other Litigation Related Costs. Other income (expense) includes charges of $79.4 million, $5.5 million and $10.9 million for the years ended December 31, 1994, 1993 and 1992, respectively. The charge in 1994 consists of $75.3 million for the shareholder litigation settlement and $4.1 million for legal and other related costs. The charges in 1993 and 1992 are for legal and other costs related to the shareholder litigation. See "Description of Chambers -- Legal Proceedings." While Chambers believes these charges are adequate to provide for the settlement, certain of these amounts are estimates, and actual amounts will depend on the outcome of future events. If such estimated amounts are not adequate, additional charges against income would be made when such determinations are made.</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Other Income. Other income, primarily interest, decreased to $1.8 million in 1994 from $3.6 million in 1993 and $6.5 million in 1992, due primarily to the use of funds for debt reductions and capital expenditures, as well as the reduction in market interest rates during 1993.</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Interest Expense. Interest expense decreased to $23.8 million in 1994 from $29.2 million in 1993 and $31.6 million in 1992. Interest expense in each period was less than total interest charges as a result of interest capitalization related to Chambers' development of landfills. Capitalized interest totaled $3.0 million, $3.5 million and $6.7 million during 1994, 1993 and 1992, respectively. Interest costs, excluding the effect of capitalized interest, decreased to $26.8 million during 1994 as compared with $32.6 million in 1993 and</w:t>
      </w:r>
    </w:p>
    <w:p>
      <w:pPr>
        <w:sectPr>
          <w:pgSz w:w="11900" w:h="16838" w:orient="portrait"/>
          <w:cols w:equalWidth="0" w:num="1">
            <w:col w:w="10219"/>
          </w:cols>
          <w:pgMar w:left="240" w:top="295" w:right="1440" w:bottom="1072" w:gutter="0" w:footer="0" w:header="0"/>
        </w:sectPr>
      </w:pP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19"/>
          </w:cols>
          <w:pgMar w:left="240" w:top="295" w:right="1440" w:bottom="1072" w:gutter="0" w:footer="0" w:header="0"/>
          <w:type w:val="continuous"/>
        </w:sectPr>
      </w:pPr>
    </w:p>
    <w:bookmarkStart w:id="149" w:name="page150"/>
    <w:bookmarkEnd w:id="149"/>
    <w:p>
      <w:pPr>
        <w:ind w:left="280"/>
        <w:spacing w:after="0"/>
        <w:rPr>
          <w:sz w:val="20"/>
          <w:szCs w:val="20"/>
          <w:color w:val="auto"/>
        </w:rPr>
      </w:pPr>
      <w:r>
        <w:rPr>
          <w:rFonts w:ascii="Courier New" w:cs="Courier New" w:eastAsia="Courier New" w:hAnsi="Courier New"/>
          <w:sz w:val="16"/>
          <w:szCs w:val="16"/>
          <w:color w:val="auto"/>
        </w:rPr>
        <w:t>146</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$38.3 million in 1992. The decrease in interest costs is attributable primarily to the reduced level of debt outstanding.</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Income Taxes. The income tax benefit for 1994 reflects the effect of a tentative agreement with the Internal Revenue Service regarding the tax treatment of certain costs and expenses deducted for financial statement purposes in open tax years and results from an adjustment to the estimated tax effect of Chambers' financial statement restatement in 1991. The provision for income taxes for 1993 reflects the benefit of estimated temporary differences and includes $0.5 million of additional state income tax related to the gain on sale of the Company's collection, hauling and landfill operations in Indiana. The provision for income taxes for 1992 results primarily from limitations imposed on the net operating loss carrybacks for federal and state income tax purposes. Chambers estimates its tax net operating loss carryforwards at December 31, 1994 to be approximately $232 million, the majority of which expire in 2007. The potential benefits of unused tax net operating loss carryforwards have not been recognized in the accompanying financial statements because management has not concluded that realization of such benefits is more likely than not.</w:t>
      </w:r>
    </w:p>
    <w:p>
      <w:pPr>
        <w:spacing w:after="0" w:line="192"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Effective January 1, 1993, Chambers adopted Statement of Financial Accounting Standards ("SFAS") No. 109, "Accounting for Income Taxes," using an asset and liability approach. That statement supersedes SFAS No. 96 which was adopted by Chambers in 1988. There was no effect on Chambers' financial statements upon adoption of the new standard using the cumulative effect method.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Cash Flows. Cash and cash equivalents decreased by $7.1 million during the first quarter of 1995, from $23.5 million at December 31, 1994 to $16.4 million at March 31, 1995. Working capital, although a deficit, improved by $3.2 million, to $9.0 million at March 31, 1995. Cash flow activity included $18.2 million provided by operating activities during the first quarter of 1995, of which $10.0 million was received from Chambers' directors and officers liability insurance carrier, more than offset by $15.3 million used by investing activities and $10.0 million utilized in financing activities. Cash and cash equivalents decreased to $23.5 million at December 31, 1994, as compared to $44.6 million and $45.9 million at December 31, 1993 and 1992, respectively. Chambers' working capital decreased to a deficit of $12.2 million at the end of 1994 from a positive $30.1 million and $52.6 million at the end of 1993 and 1992, respectively. The decrease in working capital reflects, in part, significant reductions made to Chambers' long-term obligations and increases in current maturities of long-term obligations. Cash provided by operating activities was $32.1 million in 1994 and $35.9 million in 1993, representing a significant improvement from the $12.1 million provided in 1992. Included in operating activities were $5.0 million, $17.3 million and $26.2 million of tax refunds for 1994, 1993 and 1992, respectively.</w:t>
      </w:r>
    </w:p>
    <w:p>
      <w:pPr>
        <w:spacing w:after="0" w:line="36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Investing activities included escrow activity of $9.5 million in the first quarter of 1995, primarily resulting from $10.0 million in proceeds from Chambers' directors and officers liability insurance carrier placed in escrow to fund the Settlement Agreements, net of $0.5 million in other escrow activity. Investing activities also included $8.1 million utilized for capital expenditures. Investing activities include cash proceeds of $3.2 million in 1994, $53.1 million in 1993 and $35.5 million in 1992 realized from the disposition of assets. In 1993 and 1994, Chambers completed a series of asset sales to various parties in conjunction with its divestiture program and in 1992 sold its security services business. (See Note E to Chambers' consolidated financial statements). Investing activities in 1994 also reflect $17.9 million in net escrow activity, primarily related to the receipt of $11.3 million in cash from divestiture proceeds that were held in escrow at the end of 1993.</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During 1994 and 1993, capital expenditures totaled $39.8 million and $38.1 million, respectively, a substantial reduction from the $132.8 million used for capital and acquisition expenditures in 1992. Included in 1992 was $20.9 million for the acquisition of eight hauling companies and property and permit rights related to two landfills. In addition, 1992 included a higher level of landfill construction activity as compared with 1993 and 1994, as a number of landfill sites previously under development were constructed.</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Cash used in financing activities during the first quarter of 1995 consisted of $10.0 million of principal payments on long-term obligations. Cash used in financing activities included $35.3 million, $60.7 million and $55.4 million of principal payments on long-term obligations in 1994, 1993 and 1992, respectively. In addition,</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19"/>
          </w:cols>
          <w:pgMar w:left="240" w:top="295" w:right="1440" w:bottom="1440" w:gutter="0" w:footer="0" w:header="0"/>
          <w:type w:val="continuous"/>
        </w:sectPr>
      </w:pPr>
    </w:p>
    <w:bookmarkStart w:id="150" w:name="page151"/>
    <w:bookmarkEnd w:id="150"/>
    <w:p>
      <w:pPr>
        <w:ind w:left="280"/>
        <w:spacing w:after="0"/>
        <w:rPr>
          <w:sz w:val="20"/>
          <w:szCs w:val="20"/>
          <w:color w:val="auto"/>
        </w:rPr>
      </w:pPr>
      <w:r>
        <w:rPr>
          <w:rFonts w:ascii="Courier New" w:cs="Courier New" w:eastAsia="Courier New" w:hAnsi="Courier New"/>
          <w:sz w:val="16"/>
          <w:szCs w:val="16"/>
          <w:color w:val="auto"/>
        </w:rPr>
        <w:t>147</w:t>
      </w:r>
    </w:p>
    <w:p>
      <w:pPr>
        <w:spacing w:after="0" w:line="186" w:lineRule="exact"/>
        <w:rPr>
          <w:sz w:val="20"/>
          <w:szCs w:val="20"/>
          <w:color w:val="auto"/>
        </w:rPr>
      </w:pPr>
    </w:p>
    <w:p>
      <w:pPr>
        <w:jc w:val="both"/>
        <w:ind w:right="3219"/>
        <w:spacing w:after="0" w:line="238" w:lineRule="auto"/>
        <w:rPr>
          <w:sz w:val="20"/>
          <w:szCs w:val="20"/>
          <w:color w:val="auto"/>
        </w:rPr>
      </w:pPr>
      <w:r>
        <w:rPr>
          <w:rFonts w:ascii="Courier New" w:cs="Courier New" w:eastAsia="Courier New" w:hAnsi="Courier New"/>
          <w:sz w:val="16"/>
          <w:szCs w:val="16"/>
          <w:color w:val="auto"/>
        </w:rPr>
        <w:t>1993 included the receipt of $10.2 million previously used in 1992 as cash collateral to support certain of Chambers' business activities, which were collateralized in 1993 by letters of credit.</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Credit Facilities and Refinancing. In July 1993, Chambers executed comprehensive amendments to its bank credit facility (the "Credit Facility") and its note purchase agreements under which Chambers issued senior notes (the "Senior Notes"). The amendments to the Credit Facility and Senior Note agreements (collectively, as amended, the "Amended Agreements") included revisions to the terms and conditions of the original agreements and provided for additional terms and conditions with respect to future periods. Chambers' lenders and bonding company were granted security interests in substantially all of the assets of Chambers, and an intercreditor agreement has been executed among the Credit Facility banks, the Senior Note holders and the bonding company with respect to priority of interests in collateral and access to assets.</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November 1994, Chambers executed additional amendments (the "Amendments") to the Amended Agreements which included waivers (with respect to noncompliance of consolidated working capital and consolidated tangible net worth covenants attributable to the proposed settlement of the shareholder litigation and financial statement delivery covenants) and revisions to the terms and conditions of the Amended Agreements, principally with respect to payment terms and compliance covenants.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Amendments provide that 90% of the $74.4 million scheduled payments previously due on July 1, 1995 may be deferred until July 1, 1996, with further deferral to December 31, 1996, at Chambers' option, of up to 75% of the $95.5 million scheduled payments previously due on October 31, 1995 and December 30, 1995 and all of the $95.5 million scheduled payments due on October 31, 1996 and December 30, 1996. Certain of such scheduled payments due in 1995 and 1996 will be reduced by pro rata payments made prior to the scheduled payment dates. The non-deferred portion of these scheduled payments will be applied to reduce Senior Note obligations, industrial revenue bond obligations and letters of credit issued under the Credit Facility. The Amendments also provide that the remaining originally scheduled principal payments on the Senior Notes due after 1996 become due on December 31, 1996.</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Amendments require, however, that Chambers reduce Senior Note and Credit Facility obligations by a total of $60 million, primarily through the payment of the non-deferred portions of the scheduled payments discussed above and other scheduled payments, between August 31, 1994 and December 31, 1995, of which $20 million must occur by January 31, 1995. Of the $60 million, $23.7 million has been paid to date, with the January 1995 payment requirement having been satisfied. Portions of the remaining required payments are expected to be satisfied by currently available funds and operating cash flow; however, in the absence of the Merger and related refinancing of the Senior Note and Credit Facility obligations during 1995, Chambers will need to refinance the Senior Note and Credit Facility obligations on a stand-alone basis or complete significant divestitures to satisfy any remaining payments. Under the Amendments, Chambers is also required to pay to the holders of the Senior Notes and the Credit Facility banks the amount by which its daily average unrestricted cash balance exceeds $40 million for any calendar month, and a minimum of 50% of the net proceeds from specified divestitures as permitted by the Amendments, which proceeds will be applied to the $60 million discussed above.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Amendments also provide for the issuance to the Senior Note holders and Credit Facility banks, at nominal consideration, of shares of Chambers Class A Common Stock in the event Chambers has not refinanced the Senior Note and Credit Facility obligations prior to October 1, 1995. On that date, additional shares equal to 4% of Chambers Class A Common Stock then issued and outstanding would become issuable. Additional shares equal to 4% of Chambers Class A Common Stock then issued and outstanding issuable if Chambers has not refinanced prior to April 1, 1996.</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Amendments contain financial covenants which require Chambers to maintain minimum levels of tangible net worth, working capital and quarterly cash flows from operations. The Amendments also prohibit the incurrence of additional indebtedness and the payment of cash dividends and limit annual cash capital expenditures.</w:t>
      </w:r>
    </w:p>
    <w:p>
      <w:pPr>
        <w:spacing w:after="0" w:line="189" w:lineRule="exact"/>
        <w:rPr>
          <w:sz w:val="20"/>
          <w:szCs w:val="20"/>
          <w:color w:val="auto"/>
        </w:rPr>
      </w:pPr>
    </w:p>
    <w:p>
      <w:pPr>
        <w:jc w:val="both"/>
        <w:ind w:right="2659" w:firstLine="473"/>
        <w:spacing w:after="0" w:line="256" w:lineRule="auto"/>
        <w:rPr>
          <w:sz w:val="20"/>
          <w:szCs w:val="20"/>
          <w:color w:val="auto"/>
        </w:rPr>
      </w:pPr>
      <w:r>
        <w:rPr>
          <w:rFonts w:ascii="Courier New" w:cs="Courier New" w:eastAsia="Courier New" w:hAnsi="Courier New"/>
          <w:sz w:val="15"/>
          <w:szCs w:val="15"/>
          <w:color w:val="auto"/>
        </w:rPr>
        <w:t>Chambers anticipates that the combined company will refinance substantially all of the indebtedness of Chambers and USA Waste, including the Senior Note and Credit Facility obligations of Chambers, before or at the time of the Merger.</w:t>
      </w:r>
    </w:p>
    <w:p>
      <w:pPr>
        <w:spacing w:after="0" w:line="2"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Upon any refinancing of the Senior Note and Credit Facility obligations, Chambers</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19"/>
          </w:cols>
          <w:pgMar w:left="240" w:top="295" w:right="1440" w:bottom="1440" w:gutter="0" w:footer="0" w:header="0"/>
          <w:type w:val="continuous"/>
        </w:sectPr>
      </w:pPr>
    </w:p>
    <w:bookmarkStart w:id="151" w:name="page152"/>
    <w:bookmarkEnd w:id="151"/>
    <w:p>
      <w:pPr>
        <w:ind w:left="280"/>
        <w:spacing w:after="0"/>
        <w:rPr>
          <w:sz w:val="20"/>
          <w:szCs w:val="20"/>
          <w:color w:val="auto"/>
        </w:rPr>
      </w:pPr>
      <w:r>
        <w:rPr>
          <w:rFonts w:ascii="Courier New" w:cs="Courier New" w:eastAsia="Courier New" w:hAnsi="Courier New"/>
          <w:sz w:val="16"/>
          <w:szCs w:val="16"/>
          <w:color w:val="auto"/>
        </w:rPr>
        <w:t>148</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expects to pay an early redemption premium to the Senior Note holders (the "Premium") based on the difference between the interest rates on the Senior Notes and an adjusted rate for U.S. Treasury securities having a similar maturity. Based on interest rates on U.S. Treasury securities at December 31, 1994, if the refinancing were to occur on June 30, 1995, Chambers' management's estimate of the approximate date of the Merger, the Premium would be approximately $7.0 million.</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Amendments also require payment of escalating extension fees by Chambers to the Senior Note holders and Credit Facility banks, based upon the principal amounts outstanding as of the beginning of each calendar quarter, until such time as the existing debt under these agreements has been retired. Such extension fees are expected to aggregate approximately $0.7 million through June 30, 1995.</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amount shown above for the Premium is an estimate, and the final amount will depend on the date of the refinancing, the interest rate on U.S. Treasury securities and the actual principal amounts outstanding under the Senior Notes at the date of the refinancing. The estimated extension fees and the Premium are being charged to interest expense through the period ending June 30, 1995. At December 31, 1994, Chambers had accrued a total of $1.2 million related to the Premium. In addition, a fee of approximately $0.7 million paid upon execution of the Amendments was charged to interest expense in 1994.</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event the Merger is not consummated, Chambers intends to seek refinancing for its Senior Note and Credit Facility obligations. It is anticipated that such refinancing could be completed by September 30, 1995; however, management of Chambers believes that such refinancing would not be available to Chambers on a stand-alone basis without significant dilution to the stockholders of Chambers. If a refinancing were to occur on September 30, 1995, the Premium amount would be approximately $5.5 million. In addition, $0.9 million of additional extension fees would be incurred.</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event that the Merger is not consummated, Chambers would necessarily undertake a series of actions to provide for liquidity and funding of the Settlement Agreements. Chambers has the ability to abandon the Settlement Agreements in the absence of funding sufficient to comply with the payment obligations. However, it is the intention of Chambers, should the Merger not be consummated, to seek a refinancing and to delay the funding of the Settlement Agreements rather than abandon such agreements.</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Chambers believes that a refinancing cannot be obtained in the absence of a settlement of the shareholder litigation. While Chambers has, under certain circumstances, alternate available financing through a funding agreement with USA Waste as described in the following paragraph in an amount sufficient to satisfy Chambers' obligations under the Settlement Agreements, actual payments under such funding agreement remain subject to the consent of Chambers' current lending group. In the alternative, Chambers could delay the implementation of the shareholder litigation settlement until refinancing has been obtained.</w:t>
      </w:r>
    </w:p>
    <w:p>
      <w:pPr>
        <w:spacing w:after="0" w:line="17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Pursuant to requirements negotiated in connection with the Merger Agreement, USA Waste and Chambers developed a plan for the financing of certain of Chambers' obligations, including a $6.8 million obligation that was due in January 1995 and $70 million of the $85.9 million in payments that may be required pursuant to the Settlement Agreements with respect to the shareholder litigation. The purpose of the financing plan, the requirements of which were imposed by Chambers as a condition to proceeding with the negotiation and execution of the Merger Agreement, was to provide Chambers with the ability to fund these payment obligations pending the Merger and in the event that the parties were subsequently unable or unwilling to proceed with the Merger. The financing plan was set forth in a letter agreement executed on December 19, 1994. To provide for the payment of the $6.8 million obligation, USA Waste agreed (i) to accelerate to January 30, 1995 the payment of $2.5 million on certain promissory notes owing by USA Waste to Chambers with respect to a previous transaction and (ii) to enter into a letter of intent pursuant to which USA Waste would agree to acquire certain assets from Chambers and make a deposit of $4.3 million to be applied against the purchase price for such assets. These payments were made and a letter of intent was executed providing for the purchase of certain assets, including a hauling company in Charlotte, North Carolina, and a landfill and a waste collection facility in Lake, Mississippi. The letter of intent will expire upon the Merger. In the event the Merger Agreement is terminated, the closing of the asset purchase will occur within 75 days after such termination. To provide for the funding of the initial $25 million settlement payment due upon final approval of the settlement of the shareholder litigation, USA Waste agreed to make an advance purchase of airspace</w:t>
      </w:r>
    </w:p>
    <w:p>
      <w:pPr>
        <w:sectPr>
          <w:pgSz w:w="11900" w:h="16838" w:orient="portrait"/>
          <w:cols w:equalWidth="0" w:num="1">
            <w:col w:w="10219"/>
          </w:cols>
          <w:pgMar w:left="240" w:top="295" w:right="1440" w:bottom="1440" w:gutter="0" w:footer="0" w:header="0"/>
        </w:sectPr>
      </w:pP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10219"/>
          </w:cols>
          <w:pgMar w:left="240" w:top="295" w:right="1440" w:bottom="1440" w:gutter="0" w:footer="0" w:header="0"/>
          <w:type w:val="continuous"/>
        </w:sectPr>
      </w:pPr>
    </w:p>
    <w:bookmarkStart w:id="152" w:name="page153"/>
    <w:bookmarkEnd w:id="152"/>
    <w:p>
      <w:pPr>
        <w:ind w:left="280"/>
        <w:spacing w:after="0"/>
        <w:rPr>
          <w:sz w:val="20"/>
          <w:szCs w:val="20"/>
          <w:color w:val="auto"/>
        </w:rPr>
      </w:pPr>
      <w:r>
        <w:rPr>
          <w:rFonts w:ascii="Courier New" w:cs="Courier New" w:eastAsia="Courier New" w:hAnsi="Courier New"/>
          <w:sz w:val="16"/>
          <w:szCs w:val="16"/>
          <w:color w:val="auto"/>
        </w:rPr>
        <w:t>149</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rights at certain of Chambers' landfills in the aggregate amount of $25 million. Such payment would be made within 30 days after final court approval of the Settlement Agreements and expiration of the applicable appeal period. To provide for the payment of the subsequent $45 million settlement payment on the shareholder litigation, USA Waste and Chambers have agreed to negotiate an agreement for the purchase by USA Waste from Chambers of an asset or group of assets or airspace rights mutually selected by USA Waste and Chambers and having a fair market value of not less than $45 million. Payment of such amount is required not later than one year from the date of final court approval of the Settlement Agreements and the expiration of the applicable appeal period. In the event Chambers completes a refinancing of its current indebtedness, including amounts due with respect to the shareholder litigation, USA Waste's obligation to finance the $45 million payment will lapse and USA Waste will have an option to require Chambers to repurchase, and Chambers will have an option to require USA Waste to sell, any unused airspace purchased in advance by USA Waste.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absence of a settlement of the shareholder litigation and a refinancing of the Senior Note and Credit Facility obligations, Chambers would be compelled to implement an action plan to ensure continuing liquidity. The steps that would be necessary with respect to liquidity would include a reduction in discretionary capital expenditures with respect to current transfer station and methane recovery projects. Capital expenditures for vehicle and heavy equipment purchases would be reduced to a maintenance level, or otherwise deferred, and Chambers would employ lease financing programs, to the extent available, for certain equipment, in substitution for capital expenditure programs currently planned. Chambers would also resume and accelerate its divestiture program with respect to non-core assets and operations. As an additional step, Chambers would endeavor to accelerate remaining tax refunds and to substitute surety bond programs where permitted, with respect to closure and post-closure bond requirements, for cash collateral programs presently in place in certain jurisdictions.</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Should the Merger not be consummated, management of Chambers believes that the foregoing plan of action would be adequate to maintain compliance with the covenants and payment obligations under its Senior Note and Credit Facility obligations through December 31, 1995, and would provide a sufficient period of time to achieve a refinancing, which in turn would permit the implementation of the settlement of the shareholder litigation. As indicated above, the Amendments provide that deferred payments previously due on July 1, 1995 may be deferred until July 1, 1996, with other deferred payments becoming due in December 1996, and with the remaining originally scheduled payments due after 1996 becoming due on December 31, 1996. With the bulk of Chambers' long-term obligations becoming due in the second half of 1996 under the Amendments, the liquidity of Chambers would be adversely affected if the Merger were not consummated or a refinancing or modification of the current lending agreements were not achieved in a timely fashion.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EXPENDITURES</w:t>
      </w:r>
    </w:p>
    <w:p>
      <w:pPr>
        <w:spacing w:after="0" w:line="186"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Landfill Expenditures, General. At the beginning of 1986, Chambers' operations were limited to three landfill sites and related collection and hauling activities. Since that time, Chambers has substantially expanded the number of landfill sites which it has designed, permitted and constructed. Currently Chambers owns or operates 14 sanitary landfills and one construction and demolition debris landfill, having made the necessary capital investments since 1986 to establish these landfill sites, and to develop the related collection, hauling, transfer station and recycling operations.</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has expended substantial amounts of capital to establish an integrated waste services business, from waste collection enterprises to disposal facilities, to meet the long-term needs of the communities and customers it services. Historically, Chambers has also expended capital to acquire additional waste services businesses, to fund property and equipment needs for internal expansion and to develop the infrastructure of its landfills. The infrastructure expenditures with respect to each site have been in major part nonrecurring, being required at the initial phase at each site in order to prepare the site for the receipt of waste and to support the operations of the landfill throughout its useful life. However, Chambers will continue to incur capital expenditures with respect to the construction of cells at existing sites to accommodate the daily receipt of waste and to ensure compliance with environmental and other regulations.</w:t>
      </w:r>
    </w:p>
    <w:p>
      <w:pPr>
        <w:sectPr>
          <w:pgSz w:w="11900" w:h="16838" w:orient="portrait"/>
          <w:cols w:equalWidth="0" w:num="1">
            <w:col w:w="10219"/>
          </w:cols>
          <w:pgMar w:left="240" w:top="295" w:right="1440" w:bottom="1440" w:gutter="0" w:footer="0" w:header="0"/>
        </w:sectPr>
      </w:pP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19"/>
          </w:cols>
          <w:pgMar w:left="240" w:top="295" w:right="1440" w:bottom="1440" w:gutter="0" w:footer="0" w:header="0"/>
          <w:type w:val="continuous"/>
        </w:sectPr>
      </w:pPr>
    </w:p>
    <w:bookmarkStart w:id="153" w:name="page154"/>
    <w:bookmarkEnd w:id="153"/>
    <w:p>
      <w:pPr>
        <w:ind w:left="280"/>
        <w:spacing w:after="0"/>
        <w:rPr>
          <w:sz w:val="20"/>
          <w:szCs w:val="20"/>
          <w:color w:val="auto"/>
        </w:rPr>
      </w:pPr>
      <w:r>
        <w:rPr>
          <w:rFonts w:ascii="Courier New" w:cs="Courier New" w:eastAsia="Courier New" w:hAnsi="Courier New"/>
          <w:sz w:val="16"/>
          <w:szCs w:val="16"/>
          <w:color w:val="auto"/>
        </w:rPr>
        <w:t>150</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liquidity of Chambers' operations is more heavily influenced by its landfill operations than by its collection, hauling, transfer station and recycling operations. Chambers' liquidity is adversely affected during periods of increased construction activity involved in the establishment of new landfill sites, with revenues commencing only upon opening the sites for the receipt of waste and the delivery of waste to the sites. Liquidity is improved following the opening of new sites, to the extent that landfill capital expenditures for additional cell construction are substantially lower than the initial construction costs.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However, additional cash is required later in the life cycle of a landfill to fund closure and post-closure costs. Therefore, it is important for Chambers to increase the volume received in each landfill as soon as possible after commencement of operations.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management believes that the operations of the existing sites plus a combination of existing cash and asset sales will support the operational requirements of Chambers, including the construction of additional cells for the receipt of waste. Funds supporting those sites which Chambers has under development have previously been generated from capital markets and through project financing from industrial revenue bond sources. Over the past three years, however, Chambers' access to capital markets for purposes of new development has been restricted. Chambers' management believes the proposed Merger with USA Waste will open capital markets that will enable new landfill development as well as continued development of existing sites. However, should the proposed Merger not be consummated, development of additional new landfill sites will be limited.</w:t>
      </w:r>
    </w:p>
    <w:p>
      <w:pPr>
        <w:spacing w:after="0" w:line="189"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Historical Capital Expenditures. Construction and development expenditures of $26.9 million in 1994, $26.7 million in 1993, and $81.1 million in 1992 were related principally to the various phases of the permitting, design and construction of new landfill sites and the expansion of existing sites. During 1993, Chambers opened a landfill in Amelia County, Virginia. During 1992, Chambers opened landfills in Atlanta, Georgia, and Allegany County, Maryland, and acquired a landfill in Okeechobee County, Florida, having incurred expenditures with respect to such sites in 1992 and prior years.</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Capital equipment additions of $10.9 million in 1994, $11.0 million in 1993 and $25.6 million in 1992 include the purchase of equipment for Chambers' intermodal rail transportation system and the lease buyouts of vehicles and equipment.</w:t>
      </w:r>
    </w:p>
    <w:p>
      <w:pPr>
        <w:spacing w:after="0" w:line="187" w:lineRule="exact"/>
        <w:rPr>
          <w:sz w:val="20"/>
          <w:szCs w:val="20"/>
          <w:color w:val="auto"/>
        </w:rPr>
      </w:pPr>
    </w:p>
    <w:p>
      <w:pPr>
        <w:ind w:right="3219" w:firstLine="473"/>
        <w:spacing w:after="0" w:line="262" w:lineRule="auto"/>
        <w:rPr>
          <w:sz w:val="20"/>
          <w:szCs w:val="20"/>
          <w:color w:val="auto"/>
        </w:rPr>
      </w:pPr>
      <w:r>
        <w:rPr>
          <w:rFonts w:ascii="Courier New" w:cs="Courier New" w:eastAsia="Courier New" w:hAnsi="Courier New"/>
          <w:sz w:val="15"/>
          <w:szCs w:val="15"/>
          <w:color w:val="auto"/>
        </w:rPr>
        <w:t>Other property and equipment additions of $2.0 million in 1994, $0.4 million in 1993 and $5.2 million in 1992 were made for buildings, building improvements, furniture and fixtures, computer equipment and other assets.</w:t>
      </w:r>
    </w:p>
    <w:p>
      <w:pPr>
        <w:spacing w:after="0" w:line="171"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Chambers also invested $20.9 million in the acquisition of waste services businesses in 1992.</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Capital Expenditures, 1995. Chambers anticipates that approximately $33 million will be expended in 1995 for construction and development activities. The anticipated capital expenditures are principally for construction of disposal capacity at existing landfills. Chambers anticipates that it will also spend approximately $10 million for vehicles and equipment during 1995. However, if Chambers is unable to generate the anticipated levels of proceeds from asset sales and cash flow from operations, or if the proposed Merger with USA Waste is not consummated, the level of 1995 capital expenditures will be limited.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Revisions to regulations under Subtitle D of RCRA, which were promulgated by the EPA in October 1991, established guidelines for the design, construction and operation of environmentally sound waste disposal facilities. These revisions generally became effective in October 1993, other than with respect to groundwater monitoring requirements which will be phased in over a five-year period, and financial responsibility requirements which become effective upon application for a modification of a permit or a new permit. Chambers anticipates that, in the near-term, it will continue to experience the discount pricing of landfill airspace by competitors, as facilities that anticipate the cessation of operations seek to maximize the utilization of current airspace prior to their closure.</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295" w:right="1440" w:bottom="1440" w:gutter="0" w:footer="0" w:header="0"/>
          <w:type w:val="continuous"/>
        </w:sectPr>
      </w:pPr>
    </w:p>
    <w:bookmarkStart w:id="154" w:name="page155"/>
    <w:bookmarkEnd w:id="154"/>
    <w:p>
      <w:pPr>
        <w:ind w:left="280"/>
        <w:spacing w:after="0"/>
        <w:rPr>
          <w:sz w:val="20"/>
          <w:szCs w:val="20"/>
          <w:color w:val="auto"/>
        </w:rPr>
      </w:pPr>
      <w:r>
        <w:rPr>
          <w:rFonts w:ascii="Courier New" w:cs="Courier New" w:eastAsia="Courier New" w:hAnsi="Courier New"/>
          <w:sz w:val="16"/>
          <w:szCs w:val="16"/>
          <w:color w:val="auto"/>
        </w:rPr>
        <w:t>151</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More stringent regulation, while requiring greater expenditures, is expected to increase opportunities for Chambers and others who have landfills that comply with these regulations, as noncomplying landfills have been and will be required, under Chambers' interpretation of current legislation, to cease operations. Chambers expects, however, that certain of the older, less environmentally secure landfills operated by its competitors will continue to operate in 1995 and beyond, depressing market prices for solid waste disposal in the interim.</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principal development efforts from 1987 through 1994 have been in the creation of permitted landfill disposal capacity, with the design, operation and construction of environmentally sound facilities to serve its customers on a long-term basis. Since 1987, Chambers had advanced its program of site development, moving from a level of 10 million tons of permitted airspace capacity in 1987 to 191 million tons of remaining permitted airspace capacity in 1994, which includes 60 million tons of permitted airspace related to two permitted but undeveloped landfill projects. The strategic direction of Chambers' efforts has been consistent with the industry trend of the closure of landfill sites which do not provide adequate protection for the environment and the creation of sound disposal facilities which minimize the risk to the environment from contamination.</w:t>
      </w:r>
    </w:p>
    <w:p>
      <w:pPr>
        <w:spacing w:after="0" w:line="189"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Chambers has made every effort to meet the numerous regulatory challenges facing the waste services industry, and management believes that Chambers will not experience a long-term negative impact from the implementation of the regulations under Subtitle D of RCRA. Current landfill design and construction by Chambers have been performed in compliance with state regulations and in anticipation of the federal requirements. Chambers' South Carolina landfills have permit expansion applications pending which will meet the revisions to Subtitle D of RCRA but currently operate in disposal areas that comply with current state regulations but which are not in compliance with Subtitle D.</w:t>
      </w:r>
    </w:p>
    <w:p>
      <w:pPr>
        <w:spacing w:after="0" w:line="175"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Chambers' operation within the environmental services industry also subjects it to future financial obligations with regard to closure and post-closure monitoring and site maintenance costs associated with the solid waste landfills it operates. Chambers' engineers estimate such costs based on the technical requirements of the U.S. Environmental Protection Agency's Subtitle D regulations and the proposed air emissions standards under the Clean Air Act, as they are being applied on a state-by-state basis.</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Final closure and post-closure monitoring and site maintenance costs represent the costs related to cash expenditures to be incurred after a landfill ceases to accept waste and closes. Such costs include final capping of the site and site inspections, groundwater monitoring, leachate management, methane gas control and maintenance costs to be incurred for up to 30 years after the facility closes. Final closure and post-closure monitoring and site maintenance costs are estimated to be approximately $85 million at the time all Chambers landfills have reached their respective capacity. The accrual for these costs is recorded as the airspace at the respective landfill site is consumed.</w:t>
      </w:r>
    </w:p>
    <w:p>
      <w:pPr>
        <w:spacing w:after="0" w:line="175"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In addition, Chambers expects to incur other closure costs, principally related to capping and methane gas control activities, during the operating lives of the landfill sites. The accrual for these costs is also recorded as airspace at the respective landfill site is consumed.</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of March 31, 1995 and December 31, 1994, accrued liabilities for all closure and post-closure monitoring and maintenance costs totaled $26.9 million and $25.6 million, respectively, of which $1.5 million is expected to be expended in each of the respective twelve-month periods following such dates. Chambers periodically reviews and updates the underlying assumptions used to determine such estimates and, accordingly, the estimate of total projected costs is subject to periodic revision and adjustment.</w:t>
      </w:r>
    </w:p>
    <w:p>
      <w:pPr>
        <w:spacing w:after="0" w:line="18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DESCRIPTION OF USA WASTE CAPITAL STOCK</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is currently authorized to issue 50,000,000 shares of Common Stock, par value $.01 per share, of which 22,967,256 shares were outstanding on the Record Date. If the proposed amendment to the Certificate of Incorporation of USA Waste to increase the number of authorized shares of USA Waste Common Stock is approved by the shareholders of USA Waste, USA Waste will be authorized to issue 150,000,000 shares of USA Waste Common Stock. USA Waste is also authorized to issue 10,000,000 shares</w:t>
      </w:r>
    </w:p>
    <w:p>
      <w:pPr>
        <w:sectPr>
          <w:pgSz w:w="11900" w:h="16838" w:orient="portrait"/>
          <w:cols w:equalWidth="0" w:num="1">
            <w:col w:w="10219"/>
          </w:cols>
          <w:pgMar w:left="240" w:top="295" w:right="1440" w:bottom="1440" w:gutter="0" w:footer="0" w:header="0"/>
        </w:sectPr>
      </w:pP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19"/>
          </w:cols>
          <w:pgMar w:left="240" w:top="295" w:right="1440" w:bottom="1440" w:gutter="0" w:footer="0" w:header="0"/>
          <w:type w:val="continuous"/>
        </w:sectPr>
      </w:pPr>
    </w:p>
    <w:bookmarkStart w:id="155" w:name="page156"/>
    <w:bookmarkEnd w:id="155"/>
    <w:p>
      <w:pPr>
        <w:ind w:left="280"/>
        <w:spacing w:after="0"/>
        <w:rPr>
          <w:sz w:val="20"/>
          <w:szCs w:val="20"/>
          <w:color w:val="auto"/>
        </w:rPr>
      </w:pPr>
      <w:r>
        <w:rPr>
          <w:rFonts w:ascii="Courier New" w:cs="Courier New" w:eastAsia="Courier New" w:hAnsi="Courier New"/>
          <w:sz w:val="16"/>
          <w:szCs w:val="16"/>
          <w:color w:val="auto"/>
        </w:rPr>
        <w:t>152</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of Preferred Stock, none of which are outstanding. USA Waste has reserved for future issuance 3,698,113 shares issuable upon conversion of its 8 1/2% Convertible Subordinated Debentures Due 2002, 2,407,087 shares upon exercise of outstanding warrants, and 1,504,628 shares issuable under its 1990 Stock Option Plan and 1993 Stock Incentive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Each holder of USA Waste Common Stock is entitled to one vote per share held of record on each matter submitted to shareholders. Cumulative voting for the election of directors is not permitted, and the holders of a majority of shares voting for the election of directors can elect all members of the USA Waste Board of Directors.</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18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Holders of USA Waste Common Stock have no conversion, redemption, or preemptive rights. All outstanding shares of USA Waste Common Stock are validly issued, fully paid, and nonassessable.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USA Waste Board of Directors is authorized, without further approval of the shareholders,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shareholder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Authorized but unissued shares of USA Waste Common Stock or Preferred Stock can be reserved for issuance by the Board of Directors of USA Waste from time to time without further shareholder action for proper corporate purposes, including stock dividends or stock splits, raising equity capital, and structuring future corporate transactions, including acquisitions.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6"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The transfer agent and registrar for the USA Waste Common Stock is The First National Bank of Boston, Boston, Massachusetts.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LIABILITY AND INDEMNIFICATION OF OFFICERS AND DIRECTORS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Certificate of Incorporation of USA Waste provides that the directors of USA Waste shall not be liable to USA Waste or its shareholders for monetary damages for breach of fiduciary duty as a director to the fullest extent permitted by the OGCA. The foregoing limitation does not eliminate or limit the liability of a director for any breach of a director's duty of loyalty to USA Waste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USA Waste also provides that USA Waste shall indemnify, and advance litigation expenses to, its officers, directors,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139</w:t>
      </w:r>
    </w:p>
    <w:p>
      <w:pPr>
        <w:sectPr>
          <w:pgSz w:w="11900" w:h="16838" w:orient="portrait"/>
          <w:cols w:equalWidth="0" w:num="1">
            <w:col w:w="10219"/>
          </w:cols>
          <w:pgMar w:left="240" w:top="295"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6"/>
          <w:szCs w:val="16"/>
          <w:color w:val="auto"/>
        </w:rPr>
        <w:t>153</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employees, and agents to the fullest extent permitted by the OGCA and all other laws of the State of Oklahoma.</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OGCA provides that USA Waste has the power to indemnify any person who is sued or threatened to be made a named party in a proceeding, other than an action by or in the right of USA Waste, because such person is or was a director, officer, employee, or agent of USA Waste or is or was serving at the request of USA Waste as a director, officer, employee, or agent of another corporation, partnership, joint venture, trust, or other enterprise, against expenses actually and reasonably incurred by such person in connection with such proceeding. In order to be indemnified, the person must have (1) acted in good faith; (2) acted in a manner he reasonably believed to be in or not opposed to the best interests of USA Waste, and (3) with respect to any criminal action or proceeding, had no reasonable cause to believe such person's conduct was unlawful. The indemnification includes attorneys' fees, judgments, fines, and amounts paid in settlement.</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OGCA also provides that USA Waste may indemnify any person who is sued or threatened to be made a named party in a proceeding by or in the right of USA Waste to procure a judgment in its favor because such person is or was a director, officer, employee, or agent of USA Waste, or is or was serving at the request of USA Waste as a director, officer, employee, or agent of another corporation, partnership, joint venture, trust, or other enterprise. In order to be indemnified, the person must have conducted himself or herself in good faith and in a manner such person reasonably believed to be in or not opposed to the best interests of USA Waste. No indemnification may be made, however, with respect to any claim, issue, or matter as to which such person shall have been judged to be liable to USA Waste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91"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Indemnification by USA Waste is subject to a determination that the director, officer, employee, or agent has met the applicable standard of conduct. The determination must be made (1) by a majority vote of a quorum of the USA Waste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USA Waste.</w:t>
      </w:r>
    </w:p>
    <w:p>
      <w:pPr>
        <w:spacing w:after="0" w:line="187"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USA Waste maintains an officers and directors liability insurance policy insuring officers and directors of USA Waste and its subsidiaries against certain liabilities, including liabilities under the Securities Act of 1933, as amended. The effect of such policy is to indemnify the officers and directors of USA Waste against losses incurred by them while acting in such capacities.</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Insofar as indemnification for liabilities under the Securities Act may be permitted to directors, officers, or persons controlling USA Waste pursuant to the foregoing provisions, USA Waste had been informed that in the opinion of the Commission such indemnification is against public policy as expressed in such Act and is therefore unenforceable.</w:t>
      </w:r>
    </w:p>
    <w:p>
      <w:pPr>
        <w:spacing w:after="0" w:line="18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validity of the USA Waste Common Stock to be issued in connection with the Merger will be passed upon by Snell &amp; Smith, P.C., Houston, Texas. Certain legal issues and tax consequences of the Merger will be passed upon for USA Waste by Andrews &amp; Kurth L.L.P., Houston, Texas and for Chambers by Sullivan &amp; Cromwell, New York, New York and Thorp, Reed &amp; Armstrong, Pittsburgh, Pennsylvania.</w:t>
      </w:r>
    </w:p>
    <w:p>
      <w:pPr>
        <w:spacing w:after="0" w:line="18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EXPERTS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consolidated financial statements of USA Waste at December 31, 1993 and 1994, and for each of the three years in the period ended December 31, 1994, included and incorporated by reference in this Joint Proxy Statement and Prospectus have been included and incorporated by reference herein in reliance on the reports</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19"/>
          </w:cols>
          <w:pgMar w:left="240" w:top="295" w:right="1440" w:bottom="1440" w:gutter="0" w:footer="0" w:header="0"/>
          <w:type w:val="continuous"/>
        </w:sectPr>
      </w:pPr>
    </w:p>
    <w:bookmarkStart w:id="157" w:name="page158"/>
    <w:bookmarkEnd w:id="157"/>
    <w:p>
      <w:pPr>
        <w:ind w:left="280"/>
        <w:spacing w:after="0"/>
        <w:rPr>
          <w:sz w:val="20"/>
          <w:szCs w:val="20"/>
          <w:color w:val="auto"/>
        </w:rPr>
      </w:pPr>
      <w:r>
        <w:rPr>
          <w:rFonts w:ascii="Courier New" w:cs="Courier New" w:eastAsia="Courier New" w:hAnsi="Courier New"/>
          <w:sz w:val="16"/>
          <w:szCs w:val="16"/>
          <w:color w:val="auto"/>
        </w:rPr>
        <w:t>154</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of Coopers &amp; Lybrand L.L.P., independent accountants, given on the authority of that firm as experts in accounting and auditing.</w:t>
      </w:r>
    </w:p>
    <w:p>
      <w:pPr>
        <w:spacing w:after="0" w:line="188"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consolidated financial statements of Envirofil for the year ended June 30, 1993 referred to in this Joint Proxy Statement and Prospectus, and the combined financial statements of the Acquired New Jersey Solid Waste Companies as of December 31, 1992 and 1993 and for each of the three years in the period ended December 31, 1993 incorporated into this Joint Proxy Statement and Prospectus by reference to Envirofil, Inc.'s Form 8-K filed with the Commission on February 28, 1994, as amended by Envirofil, Inc.'s Form 8-K/A filed with the Commission on May 11, 1994, have been included in reliance upon the report of Arthur Andersen LLP, independent public accountants, given on the authority of that firm as experts in accounting and auditing in giving said report.</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consolidated financial statements of Chambers at December 31, 1993 and 1994, and for each of the three years in the period ended December 31, 1994, included and incorporated by reference in this Joint Proxy Statement and Prospectus have been audited by Deloitte &amp; Touche LLP, independent auditors, as stated in their reports, which are included and incorporated by reference herein, and have been so included in reliance upon their authority as experts in accounting and auditing.</w:t>
      </w:r>
    </w:p>
    <w:p>
      <w:pPr>
        <w:spacing w:after="0" w:line="188"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PROPOSALS OF SHAREHOLDERS FOR ANNUAL MEETINGS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USA Waste will consider proposals of shareholders intended to be presented for action at the 1996 Annual Meeting of Shareholders. A shareholder proposal must be submitted in writing and be received at USA Waste's principal executive offices, 5000 Quorum Drive, Suite 300, Dallas, Texas 75240 no later than January 20, 1996, to be considered for inclusion in USA Waste's proxy statement and form of proxy relating to the 1996 Annual Meeting of Shareholders. Submission of a shareholder proposal does not assure inclusion in the proxy statement or form of proxy because proposals must meet certain Commission rules.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the Merger is not consummated, it is presently anticipated that the 1995 Annual Meeting of Stockholders of Chambers will be held on October 18, 1995. If such meeting is held, stockholder proposals intended to be presented at such meeting must be received by Chambers, addressed to the Secretary at 10700 Frankstown Road, Pittsburgh, Pennsylvania 15235, no later than August 15, 1995, to be considered for inclusion in the proxy statement and form of proxy relating to that meeting.</w:t>
      </w:r>
    </w:p>
    <w:p>
      <w:pPr>
        <w:spacing w:after="0" w:line="18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Boards of Directors of USA Waste and Chambers do not know of any other matters to be presented for action at the USA Waste Annual Meeting or the Chambers Special Meeting other than those listed in the Notice of Meeting and referred to herein. Under Delaware law, no other matters may come before the Chambers Special Meeting. If any other matter should properly come before the USA Waste Annual Meeting or any adjournment thereof, it is intended that the proxies solicited hereby be voted with respect to such matters in accordance with the judgment of the persons voting such proxies.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141</w:t>
      </w:r>
    </w:p>
    <w:p>
      <w:pPr>
        <w:sectPr>
          <w:pgSz w:w="11900" w:h="16838" w:orient="portrait"/>
          <w:cols w:equalWidth="0" w:num="1">
            <w:col w:w="10219"/>
          </w:cols>
          <w:pgMar w:left="240" w:top="295"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6"/>
          <w:szCs w:val="16"/>
          <w:color w:val="auto"/>
        </w:rPr>
        <w:t>155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20" w:type="dxa"/>
            <w:vAlign w:val="bottom"/>
          </w:tcPr>
          <w:p>
            <w:pPr>
              <w:jc w:val="right"/>
              <w:ind w:right="3041"/>
              <w:spacing w:after="0"/>
              <w:rPr>
                <w:sz w:val="20"/>
                <w:szCs w:val="20"/>
                <w:color w:val="auto"/>
              </w:rPr>
            </w:pPr>
            <w:r>
              <w:rPr>
                <w:rFonts w:ascii="Courier New" w:cs="Courier New" w:eastAsia="Courier New" w:hAnsi="Courier New"/>
                <w:sz w:val="16"/>
                <w:szCs w:val="16"/>
                <w:color w:val="auto"/>
              </w:rPr>
              <w:t>INDEX TO FINANCIAL STATEMENTS</w:t>
            </w:r>
          </w:p>
        </w:tc>
        <w:tc>
          <w:tcPr>
            <w:tcW w:w="480" w:type="dxa"/>
            <w:vAlign w:val="bottom"/>
          </w:tcPr>
          <w:p>
            <w:pPr>
              <w:spacing w:after="0"/>
              <w:rPr>
                <w:sz w:val="15"/>
                <w:szCs w:val="15"/>
                <w:color w:val="auto"/>
              </w:rPr>
            </w:pPr>
          </w:p>
        </w:tc>
      </w:tr>
      <w:tr>
        <w:trPr>
          <w:trHeight w:val="728"/>
        </w:trPr>
        <w:tc>
          <w:tcPr>
            <w:tcW w:w="8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8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8220" w:type="dxa"/>
            <w:vAlign w:val="bottom"/>
          </w:tcPr>
          <w:p>
            <w:pPr>
              <w:spacing w:after="0"/>
              <w:rPr>
                <w:sz w:val="20"/>
                <w:szCs w:val="20"/>
                <w:color w:val="auto"/>
              </w:rPr>
            </w:pPr>
            <w:r>
              <w:rPr>
                <w:rFonts w:ascii="Courier New" w:cs="Courier New" w:eastAsia="Courier New" w:hAnsi="Courier New"/>
                <w:sz w:val="16"/>
                <w:szCs w:val="16"/>
                <w:color w:val="auto"/>
              </w:rPr>
              <w:t>USA WASTE SERVICES, INC.</w:t>
            </w:r>
          </w:p>
        </w:tc>
        <w:tc>
          <w:tcPr>
            <w:tcW w:w="480" w:type="dxa"/>
            <w:vAlign w:val="bottom"/>
          </w:tcPr>
          <w:p>
            <w:pPr>
              <w:spacing w:after="0"/>
              <w:rPr>
                <w:sz w:val="24"/>
                <w:szCs w:val="24"/>
                <w:color w:val="auto"/>
              </w:rPr>
            </w:pP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w w:val="99"/>
              </w:rPr>
              <w:t>Report of Independent Accountants.....................................................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w:t>
            </w: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w w:val="99"/>
              </w:rPr>
              <w:t>Report of Independent Public Accountants..............................................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F-3</w:t>
            </w: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w w:val="99"/>
              </w:rPr>
              <w:t>Consolidated Balance Sheets as of December 31, 1993 and 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F-4</w:t>
            </w: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rPr>
              <w:t>Consolidated Statements of Income for the Years Ended December 31, 1992, 1993 and</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F-5</w:t>
            </w: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w w:val="99"/>
              </w:rPr>
              <w:t>Consolidated Statements of Stockholders' Equity for the Years Ended December 31, 1992,</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 and 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F-6</w:t>
            </w: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for the Years Ended December 31, 1992, 1993 and</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F-7</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Notes to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F-8</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Consolidated Balance Sheets (unaudited) as of December 31, 1994 and March 31, 1995....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F-20</w:t>
            </w: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rPr>
              <w:t>Consolidated Statements of Income (unaudited) for the Three Months Ended March 31,</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 and 1995.......................................................................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F-21</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Consolidated Statements of Stockholders' Equity (unaudited) for the Three Months Ended</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March 31, 1995......................................................................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F-22</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Consolidated Statements of Cash Flows (unaudited) for the Three Months Ended March 31,</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 and 1995.......................................................................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F-23</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Notes to Interim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F-24</w:t>
            </w:r>
          </w:p>
        </w:tc>
      </w:tr>
      <w:tr>
        <w:trPr>
          <w:trHeight w:val="364"/>
        </w:trPr>
        <w:tc>
          <w:tcPr>
            <w:tcW w:w="8220" w:type="dxa"/>
            <w:vAlign w:val="bottom"/>
          </w:tcPr>
          <w:p>
            <w:pPr>
              <w:spacing w:after="0"/>
              <w:rPr>
                <w:sz w:val="20"/>
                <w:szCs w:val="20"/>
                <w:color w:val="auto"/>
              </w:rPr>
            </w:pPr>
            <w:r>
              <w:rPr>
                <w:rFonts w:ascii="Courier New" w:cs="Courier New" w:eastAsia="Courier New" w:hAnsi="Courier New"/>
                <w:sz w:val="16"/>
                <w:szCs w:val="16"/>
                <w:color w:val="auto"/>
              </w:rPr>
              <w:t>CHAMBERS DEVELOPMENT COMPANY, INC.</w:t>
            </w:r>
          </w:p>
        </w:tc>
        <w:tc>
          <w:tcPr>
            <w:tcW w:w="480" w:type="dxa"/>
            <w:vAlign w:val="bottom"/>
          </w:tcPr>
          <w:p>
            <w:pPr>
              <w:spacing w:after="0"/>
              <w:rPr>
                <w:sz w:val="24"/>
                <w:szCs w:val="24"/>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Report of Independent Auditors........................................................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F-25</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Consolidated Balance Sheets as of December 31, 1993 and 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F-26</w:t>
            </w: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rPr>
              <w:t>Consolidated Statements of Operations for the Years Ended December 31, 1992, 1993 and</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F-27</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Consolidated Statements of Stockholders' Equity for the Years Ended December 31, 1992,</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 and 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F-28</w:t>
            </w: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for the Years Ended December 31, 1992, 1993 and</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F-29</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Notes to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F-30</w:t>
            </w:r>
          </w:p>
        </w:tc>
      </w:tr>
      <w:tr>
        <w:trPr>
          <w:trHeight w:val="182"/>
        </w:trPr>
        <w:tc>
          <w:tcPr>
            <w:tcW w:w="8220" w:type="dxa"/>
            <w:vAlign w:val="bottom"/>
          </w:tcPr>
          <w:p>
            <w:pPr>
              <w:spacing w:after="0"/>
              <w:rPr>
                <w:sz w:val="20"/>
                <w:szCs w:val="20"/>
                <w:color w:val="auto"/>
              </w:rPr>
            </w:pPr>
            <w:r>
              <w:rPr>
                <w:rFonts w:ascii="Courier New" w:cs="Courier New" w:eastAsia="Courier New" w:hAnsi="Courier New"/>
                <w:sz w:val="16"/>
                <w:szCs w:val="16"/>
                <w:color w:val="auto"/>
              </w:rPr>
              <w:t>Condensed Consolidated Balance Sheets (unaudited) as of December 31, 1994 and March</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31, 1995............................................................................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F-51</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Condensed Consolidated Statements of Operations (unaudited) for the Three Months Ended</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March 31, 1994 and 1995.............................................................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F-52</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Condensed Consolidated Statements of Cash Flows (unaudited) for the Three Months Ended</w:t>
            </w:r>
          </w:p>
        </w:tc>
        <w:tc>
          <w:tcPr>
            <w:tcW w:w="480" w:type="dxa"/>
            <w:vAlign w:val="bottom"/>
          </w:tcPr>
          <w:p>
            <w:pPr>
              <w:spacing w:after="0"/>
              <w:rPr>
                <w:sz w:val="15"/>
                <w:szCs w:val="15"/>
                <w:color w:val="auto"/>
              </w:rPr>
            </w:pP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March 31, 1994 and 1995.............................................................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F-53</w:t>
            </w:r>
          </w:p>
        </w:tc>
      </w:tr>
      <w:tr>
        <w:trPr>
          <w:trHeight w:val="182"/>
        </w:trPr>
        <w:tc>
          <w:tcPr>
            <w:tcW w:w="82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Notes to Interim Condensed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F-54</w:t>
            </w:r>
          </w:p>
        </w:tc>
      </w:tr>
      <w:tr>
        <w:trPr>
          <w:trHeight w:val="546"/>
        </w:trPr>
        <w:tc>
          <w:tcPr>
            <w:tcW w:w="8220" w:type="dxa"/>
            <w:vAlign w:val="bottom"/>
          </w:tcPr>
          <w:p>
            <w:pPr>
              <w:jc w:val="right"/>
              <w:ind w:right="4181"/>
              <w:spacing w:after="0"/>
              <w:rPr>
                <w:sz w:val="20"/>
                <w:szCs w:val="20"/>
                <w:color w:val="auto"/>
              </w:rPr>
            </w:pPr>
            <w:r>
              <w:rPr>
                <w:rFonts w:ascii="Courier New" w:cs="Courier New" w:eastAsia="Courier New" w:hAnsi="Courier New"/>
                <w:sz w:val="16"/>
                <w:szCs w:val="16"/>
                <w:color w:val="auto"/>
              </w:rPr>
              <w:t>F-1</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6"/>
          <w:szCs w:val="16"/>
          <w:color w:val="auto"/>
        </w:rPr>
        <w:t>156</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have audited the accompanying consolidated balance sheets of USA Waste Services, Inc. (the "Company") as of December 31, 1993 and 1994, and the related consolidated statements of income, stockholders' equity and cash flows for each of the three years in the period ended December 31, 1994. These consolidated financial statements are the responsibility of the Company's management. Our responsibility is to express an opinion on these consolidated financial statements based on our audits. We did not audit the financial statements of Envirofil, Inc., which the Company acquired on May 27, 1994, through a transaction accounted for under the pooling of interests method, which statements reflect total revenues constituting 8 percent in 1992 of the related consolidated totals. Those statements were audited by other auditors whose report has been furnished to us, and our opinion, insofar as it relates to the amounts included for Envirofil, Inc., is based solely on the report of the other auditors.</w:t>
      </w:r>
    </w:p>
    <w:p>
      <w:pPr>
        <w:spacing w:after="0" w:line="19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our opinion, based on our audits and the reports of the other auditors, the consolidated financial statements referred to above present fairly, in all material respects, the financial position of the Company as of December 31, 1993 and 1994, and the results of their operations and their cash flows for each of the three years in the period ended December 31, 1994, in conformity with generally accepted accounting principles.</w:t>
      </w:r>
    </w:p>
    <w:p>
      <w:pPr>
        <w:spacing w:after="0" w:line="186"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6"/>
          <w:szCs w:val="16"/>
          <w:color w:val="auto"/>
        </w:rPr>
        <w:t>COOPERS &amp; LYBRAND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10, 1995</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295"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6"/>
          <w:szCs w:val="16"/>
          <w:color w:val="auto"/>
        </w:rPr>
        <w:t>157</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Envirofil, Inc.:</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have audited the consolidated statements of operations, shareholders' equity (deficit) and cash flows of Envirofil, Inc. (a Delaware corporation) and subsidiaries for the year ended June 30, 1993 prior to the restatement (and, therefore, are not presented herein) for the acquisition of Envirofil, Inc. accounted for under the pooling of interests method of accounting as described in Note 2 to the restated consolidated financial statement of USA Waste Services, Inc. These financial statements and the schedules referred to below are the responsibility of the Company's management. Our responsibility is to express an opinion on the financial statements and schedules based on our audit.</w:t>
      </w:r>
    </w:p>
    <w:p>
      <w:pPr>
        <w:spacing w:after="0" w:line="175"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results of operations, shareholders' equity (deficit) and cash flows of Envirofil, Inc. and subsidiaries for the year ended June 30, 1993, in conformity with generally accepted accounting principles.</w:t>
      </w:r>
    </w:p>
    <w:p>
      <w:pPr>
        <w:spacing w:after="0" w:line="173"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Our audit was made for the purpose of forming an opinion on the basic financial statements taken as a whole. The schedules listed in the index to the Envirofil, Inc. financial statements prior to the restatement (and, therefore, are not presented herein) as discussed above are presented for purposes of complying with the Securities and Exchange Commission's rules and are not part of the basic financial statements. These schedules have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18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ARTHUR ANDERSEN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1993</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295"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6"/>
          <w:szCs w:val="16"/>
          <w:color w:val="auto"/>
        </w:rPr>
        <w:t>158</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15"/>
                <w:szCs w:val="15"/>
                <w:color w:val="auto"/>
              </w:rPr>
            </w:pPr>
          </w:p>
        </w:tc>
        <w:tc>
          <w:tcPr>
            <w:tcW w:w="4820" w:type="dxa"/>
            <w:vAlign w:val="bottom"/>
          </w:tcPr>
          <w:p>
            <w:pPr>
              <w:ind w:left="940"/>
              <w:spacing w:after="0"/>
              <w:rPr>
                <w:sz w:val="20"/>
                <w:szCs w:val="20"/>
                <w:color w:val="auto"/>
              </w:rPr>
            </w:pPr>
            <w:r>
              <w:rPr>
                <w:rFonts w:ascii="Courier New" w:cs="Courier New" w:eastAsia="Courier New" w:hAnsi="Courier New"/>
                <w:sz w:val="16"/>
                <w:szCs w:val="16"/>
                <w:color w:val="auto"/>
              </w:rPr>
              <w:t>CONSOLIDATED BALANCE SHEETS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728"/>
        </w:trPr>
        <w:tc>
          <w:tcPr>
            <w:tcW w:w="15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7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1993</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tcPr>
          <w:p>
            <w:pPr>
              <w:spacing w:after="0"/>
              <w:rPr>
                <w:sz w:val="24"/>
                <w:szCs w:val="24"/>
                <w:color w:val="auto"/>
              </w:rPr>
            </w:pPr>
          </w:p>
        </w:tc>
        <w:tc>
          <w:tcPr>
            <w:tcW w:w="4820" w:type="dxa"/>
            <w:vAlign w:val="bottom"/>
          </w:tcPr>
          <w:p>
            <w:pPr>
              <w:ind w:left="2640"/>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Cash and cash</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equivalents.......................................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4,626,000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6,613,000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Accounts receivable, net of allowance for doubtful accounts of</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$1,249,000</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and $2,369,000....................................</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13,291,000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19,992,000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Notes and other receivables.....................................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2,016,000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8,072,000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Prepaid expenses and other......................................</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2,545,000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2,361,000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current assets....................................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22,478,000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37,038,000</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Notes and other</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receivables.......................................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2,763,000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2,462,000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Property and equipment, net.......................................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149,097,000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182,415,000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Excess of cost over net assets of acquired business, net..........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42,702,000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73,305,000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Other intangible assets, net......................................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11,915,000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14,375,000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Other assets......................................................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9,864,000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13,572,000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assets............................................</w:t>
            </w: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$238,819,000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$323,167,000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LIABILITIES AND</w:t>
            </w: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8,382,000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$ 12,023,000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Accrued liabilities.............................................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9,691,000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12,783,000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Deferred revenues...............................................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1,783,000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Current maturities of long-term debt............................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3,559,000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1,830,000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current liabilities...............................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23,113,000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28,419,000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Revolving credit facility.........................................</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55,500,000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98,000,000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Convertible subordinated debentures...............................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49,000,000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49,000,000</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long-term</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debt..............................................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7,115,000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6,903,000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Closure, post-closure and other liabilities.......................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14,168,000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17,067,000</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Deferred income</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taxes.............................................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11,842,000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15,792,000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liabilities.......................................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160,738,000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215,181,000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Commitments and</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contingencies.....................................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Preferred stock, $1.00 par value;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10,000,000</w:t>
            </w: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shares authorized;</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14,000 shares and none issued................................</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Common stock,</w:t>
            </w: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$.01 par value;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50,000,000</w:t>
            </w: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shares authorized;</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18,819,861</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and 22,728,548 shares issued......................</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188,000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227,000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Additional paid-in capital......................................</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80,041,000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95,758,000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Retained earnings...............................................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696,000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13,962,000</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Less treasury</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stock, 219,285 and 149,285 shares at cost.........</w:t>
            </w:r>
          </w:p>
        </w:tc>
        <w:tc>
          <w:tcPr>
            <w:tcW w:w="1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(2,858,000)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(1,961,000)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stockholders' equity..............................</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78,081,000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107,986,000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liabilities and stockholders' equity..............</w:t>
            </w: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$238,819,000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$323,167,000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295"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6"/>
          <w:szCs w:val="16"/>
          <w:color w:val="auto"/>
        </w:rPr>
        <w:t>159</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780" w:type="dxa"/>
            <w:vAlign w:val="bottom"/>
            <w:gridSpan w:val="5"/>
          </w:tcPr>
          <w:p>
            <w:pPr>
              <w:jc w:val="right"/>
              <w:ind w:right="401"/>
              <w:spacing w:after="0"/>
              <w:rPr>
                <w:sz w:val="20"/>
                <w:szCs w:val="20"/>
                <w:color w:val="auto"/>
              </w:rPr>
            </w:pPr>
            <w:r>
              <w:rPr>
                <w:rFonts w:ascii="Courier New" w:cs="Courier New" w:eastAsia="Courier New" w:hAnsi="Courier New"/>
                <w:sz w:val="16"/>
                <w:szCs w:val="16"/>
                <w:color w:val="auto"/>
              </w:rPr>
              <w:t>FOR THE YEAR ENDED DECEMBER 31,</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78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1992</w:t>
            </w:r>
          </w:p>
        </w:tc>
        <w:tc>
          <w:tcPr>
            <w:tcW w:w="1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$57,049,000</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$93,753,000</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$176,235,000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Operating...................................</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28,128,000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49,251,000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101,069,000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General and administrative..................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11,612,000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17,497,000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23,463,000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Merger costs................................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3,782,000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Stock compensation expense..................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5,249,000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923,000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Restructuring charges.......................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1,507,000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Depreciation and amortization...............</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5,776,000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10,558,000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18,785,000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52,272,000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78,229,000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147,099,000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from operations........................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4,777,000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15,524,000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29,136,000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Interest expense, net.......................</w:t>
            </w:r>
          </w:p>
        </w:tc>
        <w:tc>
          <w:tcPr>
            <w:tcW w:w="4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(4,212,000)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(6,856,000)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(10,385,000)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Interest income.............................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610,000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1,113,000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591,000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Other, net..................................</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822,000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2,249,000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(3,587,000)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(4,921,000)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(7,545,000)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before provision for income taxes......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1,190,000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10,603,000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21,591,000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Provision for income taxes....................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3,955,000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5,413,000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7,760,000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4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(2,765,000)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5,190,000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13,831,000</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Gain on sale of discontinued operations,</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of income taxes.........................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897,000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(loss) before extraordinary item.......</w:t>
            </w:r>
          </w:p>
        </w:tc>
        <w:tc>
          <w:tcPr>
            <w:tcW w:w="4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(1,868,000)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5,190,000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13,831,000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Extraordinary income from forgiveness of debt,</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of income taxes.........................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10,066,000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Net income....................................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8,198,000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5,190,000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13,831,000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Preferred dividends...........................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152,000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582,000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565,000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available to common shareholders.......</w:t>
            </w: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$ 8,046,000</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$ 4,608,000</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$ 13,266,000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Earnings (loss) per common share:</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Continuing operations.......................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0.61</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Discontinued operations.....................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0.06</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Extraordinary income........................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0.68</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Earnings per common share...........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0.61</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equivalent shares outstanding...............</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14,878,174</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18,055,801</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21,842,049</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295"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6"/>
          <w:szCs w:val="16"/>
          <w:color w:val="auto"/>
        </w:rPr>
        <w:t>160</w:t>
      </w:r>
    </w:p>
    <w:p>
      <w:pPr>
        <w:spacing w:after="0" w:line="183"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ADDITIONAL</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PREFERRED</w:t>
            </w:r>
          </w:p>
        </w:tc>
        <w:tc>
          <w:tcPr>
            <w:tcW w:w="980" w:type="dxa"/>
            <w:vAlign w:val="bottom"/>
          </w:tcPr>
          <w:p>
            <w:pPr>
              <w:ind w:left="220"/>
              <w:spacing w:after="0"/>
              <w:rPr>
                <w:sz w:val="20"/>
                <w:szCs w:val="20"/>
                <w:color w:val="auto"/>
              </w:rPr>
            </w:pPr>
            <w:r>
              <w:rPr>
                <w:rFonts w:ascii="Courier New" w:cs="Courier New" w:eastAsia="Courier New" w:hAnsi="Courier New"/>
                <w:sz w:val="16"/>
                <w:szCs w:val="16"/>
                <w:color w:val="auto"/>
              </w:rPr>
              <w:t>COMMON</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PAID-IN</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RETAINED</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TREASURY</w:t>
            </w:r>
          </w:p>
        </w:tc>
      </w:tr>
      <w:tr>
        <w:trPr>
          <w:trHeight w:val="182"/>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STOCK</w:t>
            </w:r>
          </w:p>
        </w:tc>
        <w:tc>
          <w:tcPr>
            <w:tcW w:w="980" w:type="dxa"/>
            <w:vAlign w:val="bottom"/>
          </w:tcPr>
          <w:p>
            <w:pPr>
              <w:ind w:left="220"/>
              <w:spacing w:after="0"/>
              <w:rPr>
                <w:sz w:val="20"/>
                <w:szCs w:val="20"/>
                <w:color w:val="auto"/>
              </w:rPr>
            </w:pPr>
            <w:r>
              <w:rPr>
                <w:rFonts w:ascii="Courier New" w:cs="Courier New" w:eastAsia="Courier New" w:hAnsi="Courier New"/>
                <w:sz w:val="16"/>
                <w:szCs w:val="16"/>
                <w:color w:val="auto"/>
              </w:rPr>
              <w:t>STOCK</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CAPITAL</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EARNINGS</w:t>
            </w:r>
          </w:p>
        </w:tc>
        <w:tc>
          <w:tcPr>
            <w:tcW w:w="180" w:type="dxa"/>
            <w:vAlign w:val="bottom"/>
          </w:tcPr>
          <w:p>
            <w:pPr>
              <w:spacing w:after="0"/>
              <w:rPr>
                <w:sz w:val="15"/>
                <w:szCs w:val="15"/>
                <w:color w:val="auto"/>
              </w:rPr>
            </w:pPr>
          </w:p>
        </w:tc>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Balance, December 31, 1991.......................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$37,264,000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$(14,936,000)</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 options exercised........................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Conversion of subordinated notes to common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2,521,000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Shares issued in acquisitions..................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5,660,000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Effect of SRI acquisition accounted for as a</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pooling of interest.........................</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Conversion of preferred stock to subordinated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debenture...................................</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(2,998,000)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Redemption of preferred stock..................</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(1,995,000)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Treasury stock purchased.......................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(1,526,000)</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Common stock subscriptions collected...........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Conversion of debt to preferred stock..........</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522,000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Conversion of preferred stock, debt and accrued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as part of reorganization to common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(522,000)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1,764,000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Private placement of common stock as part of</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reorganization..............................</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3,355,000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Compensation charge for common stock warrants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granted.....................................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6,353,000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Private placement of common stock..............</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4,785,000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Series C Preferred Stock issued................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7,876,000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Preferred dividends, 10% Series B,</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 Series C.................................</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8,198,000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Balance, December 31, 1992.......................</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172,000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64,994,000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(6,972,000)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(1,526,000)</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 options exercised........................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Shares issued in acquisitions..................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4,790,000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Treasury stock purchased.......................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(1,332,000)</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Preferred stock subscriptions collected........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Private placement of common stock..............</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4,742,000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Series D Preferred Stock issued................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5,212,000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Compensation charge for common stock warrants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granted.....................................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Common stock issued for preferred stock</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dividends...................................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154,000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(582,000)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Change in Envirofil fiscal year................</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3,060,000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5,190,000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Balance, December 31, 1993.......................</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188,000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80,041,000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(2,858,000)</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70,000 shares of treasury stock issued upon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exercise of stock options...................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(597,000)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897,000</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Common stock issued for preferred stock</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dividends...................................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1,390,000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(565,000)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Shares issued in acquisitions..................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14,506,000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Conversion of preferred stock to common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 warrants exercised.......................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148,000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Compensation charge for common stock issued to</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directors...................................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 options exercised........................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192,000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13,831,000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Balance, December 31, 1994.......................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$227,000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$95,758,000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$13,962,000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$(1,961,000)</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680"/>
          </w:cols>
          <w:pgMar w:left="240" w:top="295" w:right="979"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6"/>
          <w:szCs w:val="16"/>
          <w:color w:val="auto"/>
        </w:rPr>
        <w:t>161</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CONSOLIDATED STATEMENTS OF CASH FLOWS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728"/>
        </w:trPr>
        <w:tc>
          <w:tcPr>
            <w:tcW w:w="7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60" w:type="dxa"/>
            <w:vAlign w:val="bottom"/>
            <w:gridSpan w:val="4"/>
          </w:tcPr>
          <w:p>
            <w:pPr>
              <w:jc w:val="right"/>
              <w:ind w:right="581"/>
              <w:spacing w:after="0"/>
              <w:rPr>
                <w:sz w:val="20"/>
                <w:szCs w:val="20"/>
                <w:color w:val="auto"/>
              </w:rPr>
            </w:pPr>
            <w:r>
              <w:rPr>
                <w:rFonts w:ascii="Courier New" w:cs="Courier New" w:eastAsia="Courier New" w:hAnsi="Courier New"/>
                <w:sz w:val="16"/>
                <w:szCs w:val="16"/>
                <w:color w:val="auto"/>
              </w:rPr>
              <w:t>FOR THE YEAR ENDED DECEMBER 31,</w:t>
            </w:r>
          </w:p>
        </w:tc>
      </w:tr>
      <w:tr>
        <w:trPr>
          <w:trHeight w:val="182"/>
        </w:trPr>
        <w:tc>
          <w:tcPr>
            <w:tcW w:w="7180" w:type="dxa"/>
            <w:vAlign w:val="bottom"/>
          </w:tcPr>
          <w:p>
            <w:pPr>
              <w:spacing w:after="0"/>
              <w:rPr>
                <w:sz w:val="15"/>
                <w:szCs w:val="15"/>
                <w:color w:val="auto"/>
              </w:rPr>
            </w:pPr>
          </w:p>
        </w:tc>
        <w:tc>
          <w:tcPr>
            <w:tcW w:w="4160" w:type="dxa"/>
            <w:vAlign w:val="bottom"/>
            <w:gridSpan w:val="5"/>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7180" w:type="dxa"/>
            <w:vAlign w:val="bottom"/>
          </w:tcPr>
          <w:p>
            <w:pPr>
              <w:ind w:left="180"/>
              <w:spacing w:after="0"/>
              <w:rPr>
                <w:sz w:val="20"/>
                <w:szCs w:val="20"/>
                <w:color w:val="auto"/>
              </w:rPr>
            </w:pPr>
            <w:r>
              <w:rPr>
                <w:rFonts w:ascii="Courier New" w:cs="Courier New" w:eastAsia="Courier New" w:hAnsi="Courier New"/>
                <w:sz w:val="16"/>
                <w:szCs w:val="16"/>
                <w:color w:val="auto"/>
                <w:w w:val="99"/>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8,198,000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5,190,000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$ 13,831,000</w:t>
            </w:r>
          </w:p>
        </w:tc>
      </w:tr>
      <w:tr>
        <w:trPr>
          <w:trHeight w:val="182"/>
        </w:trPr>
        <w:tc>
          <w:tcPr>
            <w:tcW w:w="718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 cash provided by operating</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5,776,000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10,558,000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18,785,000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943,000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995,000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Minority interest......................................................</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Nonrecurring and other noncash items...................................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6,639,000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1,330,000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Gain on disposal of assets, net........................................</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(1,898,000)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(648,000)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(1,588,000)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Adjustment for change in Envirofil fiscal year.........................</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Discontinued operations................................................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Extraordinary income...................................................</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(10,066,000)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Change in assets and liabilities, net of effects of business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5301"/>
              <w:spacing w:after="0"/>
              <w:rPr>
                <w:sz w:val="20"/>
                <w:szCs w:val="20"/>
                <w:color w:val="auto"/>
              </w:rPr>
            </w:pPr>
            <w:r>
              <w:rPr>
                <w:rFonts w:ascii="Courier New" w:cs="Courier New" w:eastAsia="Courier New" w:hAnsi="Courier New"/>
                <w:sz w:val="16"/>
                <w:szCs w:val="16"/>
                <w:color w:val="auto"/>
              </w:rPr>
              <w:t>acquisitions: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decrease in accounts receivable and other receivables.....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(535,000)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655,000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(4,562,000)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decrease in prepaid expenses and other....................</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137,000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(27,000)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in other assets.............................................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(416,000)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(3,038,000)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(4,731,000)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(decrease) in accounts payable and accrued liabilities......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2,553,000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(3,827,000)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(3,099,000)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in deferred revenues and other liabilities..................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276,000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549,000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cash provided by operating activities..................................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12,267,000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10,977,000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18,903,000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(25,527,000)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(64,709,000)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(23,944,000)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Capital expenditures.....................................................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(6,370,000)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(23,324,000)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(40,876,000)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Loans to others..........................................................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(4,320,000)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(4,932,000)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(7,504,000)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Collection of loans to others............................................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1,607,000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1,743,000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Proceeds from sale of assets.............................................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872,000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13,738,000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cash used in investing activities......................................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(34,365,000)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(87,571,000)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(56,843,000)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Proceeds from issuance of long-term debt.................................</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50,292,000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55,922,000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44,260,000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Principal payments on long-term debt.....................................</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(30,393,000)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(10,903,000)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(4,976,000)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Redemption of preferred stock............................................</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proceeds from issuance of preferred stock............................</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7,889,000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9,537,000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proceeds from issuance of common stock...............................</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8,177,000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13,106,000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Proceeds from exercise of warrants.......................................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151,000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Proceeds from exercise of stock options..................................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492,000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proceeds from stock subscriptions....................................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Purchases of treasury stock..............................................</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(1,526,000)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(1,332,000)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cash provided by financing activities..................................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32,675,000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66,455,000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39,927,000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Increase (decrease) in cash and cash equivalents...........................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10,577,000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(10,139,000)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1,987,000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Cash and cash equivalents at beginning of year.............................</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4,188,000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14,765,000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4,626,000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Cash and cash equivalents at end of year...................................</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$ 14,765,000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4,626,000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6,613,000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ind w:left="180"/>
              <w:spacing w:after="0"/>
              <w:rPr>
                <w:sz w:val="20"/>
                <w:szCs w:val="20"/>
                <w:color w:val="auto"/>
              </w:rPr>
            </w:pPr>
            <w:r>
              <w:rPr>
                <w:rFonts w:ascii="Courier New" w:cs="Courier New" w:eastAsia="Courier New" w:hAnsi="Courier New"/>
                <w:sz w:val="16"/>
                <w:szCs w:val="16"/>
                <w:color w:val="auto"/>
              </w:rPr>
              <w:t>Cash paid during the year for:</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2,140,000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6,571,000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$ 10,837,000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5,597,000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5,748,000</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Supplemental disclosure of non-cash investing and financing activities: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Acquisition of property and equipment through capital leases.............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Conversion of preferred stock............................................</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Conversion of subordinated notes.........................................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2,523,000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Issuance of common stock for preferred dividends.........................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1,391,000</w:t>
            </w:r>
          </w:p>
        </w:tc>
      </w:tr>
      <w:tr>
        <w:trPr>
          <w:trHeight w:val="182"/>
        </w:trPr>
        <w:tc>
          <w:tcPr>
            <w:tcW w:w="7180" w:type="dxa"/>
            <w:vAlign w:val="bottom"/>
          </w:tcPr>
          <w:p>
            <w:pPr>
              <w:ind w:left="180"/>
              <w:spacing w:after="0"/>
              <w:rPr>
                <w:sz w:val="20"/>
                <w:szCs w:val="20"/>
                <w:color w:val="auto"/>
              </w:rPr>
            </w:pPr>
            <w:r>
              <w:rPr>
                <w:rFonts w:ascii="Courier New" w:cs="Courier New" w:eastAsia="Courier New" w:hAnsi="Courier New"/>
                <w:sz w:val="16"/>
                <w:szCs w:val="16"/>
                <w:color w:val="auto"/>
              </w:rPr>
              <w:t>Acquisitions of businesses: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Liabilities assumed....................................................</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13,823,000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21,495,000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10,085,000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Common stock issued....................................................</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5,665,000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4,800,000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14,522,000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Debt incurred..........................................................</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4,925,000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1340"/>
          </w:cols>
          <w:pgMar w:left="240" w:top="295" w:right="319"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6"/>
          <w:szCs w:val="16"/>
          <w:color w:val="auto"/>
        </w:rPr>
        <w:t>162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SIGNIFICANT ACCOUNTING POLICIES: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Organization -- USA Waste Services, Inc., an Oklahoma corporation (the "Company"), was incorporated in 1987. The Company is engaged in the non-hazardous solid waste management business and provides solid waste management services, consisting of collection, transfer, disposal, soil remediation and recycling services to municipal, commercial, industrial and residential customers. The Company conducts operations through subsidiaries in multiple locations nationwide.</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Principles of consolidation -- The consolidated financial statements include the accounts of USA Waste Services, Inc. and its subsidiaries after elimination of all material intercompany balances and transactions. Investments in which the Company does not exercise control, the affiliated companies operations are not consolidated and are accounted for under the equity method or cost method, as appropriate. As discussed in Note 2, the Company has restated its 1992 and 1993 financial statements to reflect the acquisition of Envirofil, Inc. ("Envirofil") consummated on May 27, 1994 and accounted for under the pooling of interests method of accounting.</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Cash and cash equivalents -- The Company's cash and cash equivalents consisted primarily of cash on deposit, certificates of deposit, money market accounts and investment grade commercial paper purchased with original maturities of three months or less.</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Concentrations of credit risk -- Financial instruments which potentially subject the Company to concentrations of credit risk consist principally of temporary cash investments and accounts receivable. Concentrations of credit risk with respect to accounts receivable are limited due to the Company's large number of customers and their dispersion across different geographic regions. The Company does not generally require collateral for its accounts receivable. The Company does not believe a material risk of loss exists with respect to its financial position due to concentrations of credit risk as of December 31, 1994.</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Property and equipment -- Property and equipment are recorded at cost. Expenditures for major additions and improvements are capitalized, while minor replacements, maintenance and repairs are charged to expense as incurred. When property is retired or otherwise disposed of, the cost and accumulated depreciation are removed from the accounts and any resulting gain or loss is reflected in current operations. Depreciation is provided over the estimated useful lives of the assets involved using the straight-line method. The estimated useful lives are twenty to thirty years for buildings and improvements, three to ten years for vehicles and machinery and equipment, three to twelve years for containers, and three to ten years for furniture and fixtures.</w:t>
      </w:r>
    </w:p>
    <w:p>
      <w:pPr>
        <w:spacing w:after="0" w:line="189"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Disposal sites are stated at cost and amortized as airspace is consumed. Disposal site costs include expenditures for acquisitions of land and related airspace, engineering and permitting costs, and direct site improvement costs, which management believes are recoverable. Interest cost is capitalized on landfill construction projects and amortized as airspace is consumed. Interest cost capitalized during 1994 was $1,011,000. Interest costs incurred during 1992, 1993 and 1994 were $4,212,000, $6,856,000 and $11,396,000, respectively. Interest costs related to prior year landfill construction projects are not significant.</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Excess of cost over net assets of acquired businesses -- The excess of cost over net assets of acquired businesses is being amortized on a straight-line basis over twenty-five years from the dates of the respective acquisitions. Accumulated amortization was $1,970,000 and $4,740,000 at December 31, 1993 and 1994, respectively. The net remaining balance of the excess of cost over net assets acquired is assessed periodically based on the estimated recoverable value related to the businesses acquired. No provision for any impairment of the excess of cost over net assets of acquired businesses has been charged to operations.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Accounting for acquisitions -- The Company assesses each acquisition to determine whether the pooling of interests or the purchase method of accounting for acquisitions is appropriate. For those acquisitions accounted for under the pooling of interests method the reported financial statements of the acquired company</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295"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6"/>
          <w:szCs w:val="16"/>
          <w:color w:val="auto"/>
        </w:rPr>
        <w:t>163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are combined with those of the Company at their historical amounts, and all periods presented are restated to the combined amounts. For those acquisitions accounted for using the purchase method of accounting, the Company allocates the cost of an acquired business to the assets acquired and the liabilities assumed based on the information available at the time of acquisition. Estimates are revised during the allocation period as necessary when information regarding contingencies becomes available to define and quantify assets acquired and liabilities assumed. The allocation period will vary for each acquisition, but generally does not exceed one year. To the extent contingencies such as preacquisition environmental matters, litigation and related legal fees, and preacquisition tax matters are resolved or settled during the allocation period, they are included in the revised allocation of the purchase price. After the allocation period, the effect of such contingencies is included in results of operations in the period the adjustment is determined.</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Other intangible assets -- Other intangible assets consist primarily of customer lists, covenants not to compete, and licenses and permits. Other intangible assets are recorded at cost and amortized on a straight-line basis over three to ten years. Accumulated amortization was $2,940,000 and $3,600,000 at December 31, 1993 and 1994, respectively.</w:t>
      </w:r>
    </w:p>
    <w:p>
      <w:pPr>
        <w:spacing w:after="0" w:line="189"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Other assets -- Other assets consist primarily of restricted closure funds and debt issue costs. Debt issue costs are amortized on a straight-line basis over the term of the related debt agreement.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Closure, post-closure and other liabilities -- The Company has material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commitments for the costs associated with its future obligations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closure and post-closure costs of landfills it operates or for which it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otherwise responsible. While the precise amount of these future costs cannot be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with absolute certainty, the Company has estimated that the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closure and post-closure costs will be approximately $25,000,000, which,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landfill will be fully accrued at the time the site stops accepting waste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is closed. As of December 31, 1993 and 1994, the Company has accrued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$10,100,000 and $13,343,000, respectively, for final closure and post-closure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of disposal facilities. The difference between the closure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post-closure costs accrued as of December 31, 1994 and the total estimated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closure and post-closure costs to be incurred will be accrued and charged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as airspace is consumed. The Company also expects to incur approximately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$40,000,000 related to capping activities expected to occur during the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lives of these disposal sites. These costs are also being expensed over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useful lives of the disposal sites as airspace is consumed.</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bases its estimates for these accruals on management's reviews performed not less than annually including input from its engineers and interpretations of current requirements and proposed regulatory changes. The closure and post-closure requirements are established under the standards of the U.S. Environmental Protection Agency's Subtitle D regulations as implemented and applied on a state-by-state basis. Closure and post-closure accruals consider estimates for the final cap and cover for the site, methane gas control, leachate management and groundwater monitoring, and other operational and maintenance costs to be incurred after the site stops accepting waste, which is generally expected to be for a period of up to thirty years after final site closure.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All of the Company's disposal sites were previously operated by others. Accordingly, the Company assessed and recorded a closure and post-closure liability at the time the Company assumed closure responsibility based upon the estimated total closure and post-closure costs and the percentage of airspace utilized as of such date. Thereafter, the difference between the closure and post-closure costs accrued and the total estimated closure and post-closure costs to be incurred are accrued and charged to expense as airspace is consumed. Also in connection with the acquisition of certain businesses, the Company has recorded a current liability of approximately $2,000,000 as of December 31, 1994, relating to minor remediation activities that exist at certain of the Company's facilities.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295"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6"/>
          <w:szCs w:val="16"/>
          <w:color w:val="auto"/>
        </w:rPr>
        <w:t>164</w:t>
      </w:r>
    </w:p>
    <w:p>
      <w:pPr>
        <w:spacing w:after="0" w:line="18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380" w:firstLine="473"/>
        <w:spacing w:after="0" w:line="262" w:lineRule="auto"/>
        <w:rPr>
          <w:sz w:val="20"/>
          <w:szCs w:val="20"/>
          <w:color w:val="auto"/>
        </w:rPr>
      </w:pPr>
      <w:r>
        <w:rPr>
          <w:rFonts w:ascii="Courier New" w:cs="Courier New" w:eastAsia="Courier New" w:hAnsi="Courier New"/>
          <w:sz w:val="15"/>
          <w:szCs w:val="15"/>
          <w:color w:val="auto"/>
        </w:rPr>
        <w:t>Income taxes -- Deferred taxes are determined based on the difference between the financial statement and tax bases of assets and liabilities. Deferred tax expense represents the change in the deferred income tax balance.</w:t>
      </w:r>
    </w:p>
    <w:p>
      <w:pPr>
        <w:spacing w:after="0" w:line="171" w:lineRule="exact"/>
        <w:rPr>
          <w:sz w:val="20"/>
          <w:szCs w:val="20"/>
          <w:color w:val="auto"/>
        </w:rPr>
      </w:pPr>
    </w:p>
    <w:p>
      <w:pPr>
        <w:jc w:val="both"/>
        <w:ind w:right="660" w:firstLine="473"/>
        <w:spacing w:after="0" w:line="238" w:lineRule="auto"/>
        <w:rPr>
          <w:sz w:val="20"/>
          <w:szCs w:val="20"/>
          <w:color w:val="auto"/>
        </w:rPr>
      </w:pPr>
      <w:r>
        <w:rPr>
          <w:rFonts w:ascii="Courier New" w:cs="Courier New" w:eastAsia="Courier New" w:hAnsi="Courier New"/>
          <w:sz w:val="16"/>
          <w:szCs w:val="16"/>
          <w:color w:val="auto"/>
        </w:rPr>
        <w:t>Revenue recognition -- The Company recognizes revenues as services are provided. Amounts billed and received prior to services being performed are included in deferred revenue.</w:t>
      </w:r>
    </w:p>
    <w:p>
      <w:pPr>
        <w:spacing w:after="0" w:line="188" w:lineRule="exact"/>
        <w:rPr>
          <w:sz w:val="20"/>
          <w:szCs w:val="20"/>
          <w:color w:val="auto"/>
        </w:rPr>
      </w:pPr>
    </w:p>
    <w:p>
      <w:pPr>
        <w:ind w:right="380" w:firstLine="473"/>
        <w:spacing w:after="0" w:line="239" w:lineRule="auto"/>
        <w:rPr>
          <w:sz w:val="20"/>
          <w:szCs w:val="20"/>
          <w:color w:val="auto"/>
        </w:rPr>
      </w:pPr>
      <w:r>
        <w:rPr>
          <w:rFonts w:ascii="Courier New" w:cs="Courier New" w:eastAsia="Courier New" w:hAnsi="Courier New"/>
          <w:sz w:val="16"/>
          <w:szCs w:val="16"/>
          <w:color w:val="auto"/>
        </w:rPr>
        <w:t>Earnings per share -- Earnings per share computations are based on the weighted average number of shares of common stock outstanding and the dilutive effect of stock options and warrants using the treasury stock method. The dilutive effect between primary and fully-dilutive earnings per share is less than 3% or is anti-dilutive for all periods presented and is therefore not disclosed in the accompanying statements of income.</w:t>
      </w:r>
    </w:p>
    <w:p>
      <w:pPr>
        <w:spacing w:after="0" w:line="190" w:lineRule="exact"/>
        <w:rPr>
          <w:sz w:val="20"/>
          <w:szCs w:val="20"/>
          <w:color w:val="auto"/>
        </w:rPr>
      </w:pPr>
    </w:p>
    <w:p>
      <w:pPr>
        <w:ind w:right="380" w:firstLine="473"/>
        <w:spacing w:after="0" w:line="267" w:lineRule="auto"/>
        <w:rPr>
          <w:sz w:val="20"/>
          <w:szCs w:val="20"/>
          <w:color w:val="auto"/>
        </w:rPr>
      </w:pPr>
      <w:r>
        <w:rPr>
          <w:rFonts w:ascii="Courier New" w:cs="Courier New" w:eastAsia="Courier New" w:hAnsi="Courier New"/>
          <w:sz w:val="15"/>
          <w:szCs w:val="15"/>
          <w:color w:val="auto"/>
        </w:rPr>
        <w:t>Reclassifications -- Certain amounts in prior year consolidated financial statements have been reclassified to conform to the 1994 presentations.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ACQUISITIONS:</w:t>
      </w:r>
    </w:p>
    <w:p>
      <w:pPr>
        <w:spacing w:after="0" w:line="186" w:lineRule="exact"/>
        <w:rPr>
          <w:sz w:val="20"/>
          <w:szCs w:val="20"/>
          <w:color w:val="auto"/>
        </w:rPr>
      </w:pPr>
    </w:p>
    <w:p>
      <w:pPr>
        <w:ind w:right="200" w:firstLine="473"/>
        <w:spacing w:after="0"/>
        <w:rPr>
          <w:sz w:val="20"/>
          <w:szCs w:val="20"/>
          <w:color w:val="auto"/>
        </w:rPr>
      </w:pPr>
      <w:r>
        <w:rPr>
          <w:rFonts w:ascii="Courier New" w:cs="Courier New" w:eastAsia="Courier New" w:hAnsi="Courier New"/>
          <w:sz w:val="16"/>
          <w:szCs w:val="16"/>
          <w:color w:val="auto"/>
        </w:rPr>
        <w:t>Since 1990, the Company has acquired several collection, transfer, recycling, disposal, and soil remediation businesses. These acquisitions were accounted for in accordance with the purchase or pooling of interests method of accounting depending on the terms of each transaction as described below. The most significant transaction has been the Company's acquisition of Envirofil consummated May 27, 1994. As a result of this acquisition accounted for under the pooling of interests method of accounting, the Company has restated its 1992 and 1993 financial statements to include Envirofil from the beginning of each period presented.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Envirofil</w:t>
      </w:r>
    </w:p>
    <w:p>
      <w:pPr>
        <w:spacing w:after="0" w:line="186" w:lineRule="exact"/>
        <w:rPr>
          <w:sz w:val="20"/>
          <w:szCs w:val="20"/>
          <w:color w:val="auto"/>
        </w:rPr>
      </w:pPr>
    </w:p>
    <w:p>
      <w:pPr>
        <w:ind w:right="300" w:firstLine="473"/>
        <w:spacing w:after="0" w:line="239" w:lineRule="auto"/>
        <w:rPr>
          <w:sz w:val="20"/>
          <w:szCs w:val="20"/>
          <w:color w:val="auto"/>
        </w:rPr>
      </w:pPr>
      <w:r>
        <w:rPr>
          <w:rFonts w:ascii="Courier New" w:cs="Courier New" w:eastAsia="Courier New" w:hAnsi="Courier New"/>
          <w:sz w:val="16"/>
          <w:szCs w:val="16"/>
          <w:color w:val="auto"/>
        </w:rPr>
        <w:t>In May 1994, approximately 9.7 million shares of Common Stock were issued in exchange for all the outstanding common stock of Envirofil. The acquisition has been accounted for as a pooling of interests, and accordingly, the accompanying financial information has been restated to include the accounts of Envirofil for all periods presented.</w:t>
      </w:r>
    </w:p>
    <w:p>
      <w:pPr>
        <w:spacing w:after="0" w:line="189" w:lineRule="exact"/>
        <w:rPr>
          <w:sz w:val="20"/>
          <w:szCs w:val="20"/>
          <w:color w:val="auto"/>
        </w:rPr>
      </w:pPr>
    </w:p>
    <w:p>
      <w:pPr>
        <w:ind w:right="480" w:firstLine="473"/>
        <w:spacing w:after="0" w:line="237" w:lineRule="auto"/>
        <w:rPr>
          <w:sz w:val="20"/>
          <w:szCs w:val="20"/>
          <w:color w:val="auto"/>
        </w:rPr>
      </w:pPr>
      <w:r>
        <w:rPr>
          <w:rFonts w:ascii="Courier New" w:cs="Courier New" w:eastAsia="Courier New" w:hAnsi="Courier New"/>
          <w:sz w:val="16"/>
          <w:szCs w:val="16"/>
          <w:color w:val="auto"/>
        </w:rPr>
        <w:t>Combined and separate results of operations of the Company and Envirofil are as follows: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USA WASTE</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ENVIROFIL</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ADJUSTMENTS</w:t>
            </w:r>
          </w:p>
        </w:tc>
      </w:tr>
      <w:tr>
        <w:trPr>
          <w:trHeight w:val="182"/>
        </w:trPr>
        <w:tc>
          <w:tcPr>
            <w:tcW w:w="2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w w:val="97"/>
              </w:rPr>
              <w:t>Three months ended March 31,</w:t>
            </w:r>
          </w:p>
        </w:tc>
        <w:tc>
          <w:tcPr>
            <w:tcW w:w="1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2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 (unaudited):</w:t>
            </w: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Operating revenues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$24,731,000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$ 13,473,000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w:t>
            </w:r>
          </w:p>
        </w:tc>
      </w:tr>
      <w:tr>
        <w:trPr>
          <w:trHeight w:val="182"/>
        </w:trPr>
        <w:tc>
          <w:tcPr>
            <w:tcW w:w="31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Net income.................</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2,264,000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439,000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w w:val="97"/>
              </w:rPr>
              <w:t>Year ended December 31,</w:t>
            </w:r>
          </w:p>
        </w:tc>
        <w:tc>
          <w:tcPr>
            <w:tcW w:w="940" w:type="dxa"/>
            <w:vAlign w:val="bottom"/>
          </w:tcPr>
          <w:p>
            <w:pPr>
              <w:ind w:left="80"/>
              <w:spacing w:after="0"/>
              <w:rPr>
                <w:sz w:val="20"/>
                <w:szCs w:val="20"/>
                <w:color w:val="auto"/>
              </w:rPr>
            </w:pPr>
            <w:r>
              <w:rPr>
                <w:rFonts w:ascii="Courier New" w:cs="Courier New" w:eastAsia="Courier New" w:hAnsi="Courier New"/>
                <w:sz w:val="16"/>
                <w:szCs w:val="16"/>
                <w:color w:val="auto"/>
              </w:rPr>
              <w:t>1993:</w:t>
            </w: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31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 revenues............</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78,137,000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15,616,000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Net income (loss).............</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9,582,000</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(4,392,000)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w w:val="97"/>
              </w:rPr>
              <w:t>Year ended December 31,</w:t>
            </w:r>
          </w:p>
        </w:tc>
        <w:tc>
          <w:tcPr>
            <w:tcW w:w="940" w:type="dxa"/>
            <w:vAlign w:val="bottom"/>
          </w:tcPr>
          <w:p>
            <w:pPr>
              <w:ind w:left="80"/>
              <w:spacing w:after="0"/>
              <w:rPr>
                <w:sz w:val="20"/>
                <w:szCs w:val="20"/>
                <w:color w:val="auto"/>
              </w:rPr>
            </w:pPr>
            <w:r>
              <w:rPr>
                <w:rFonts w:ascii="Courier New" w:cs="Courier New" w:eastAsia="Courier New" w:hAnsi="Courier New"/>
                <w:sz w:val="16"/>
                <w:szCs w:val="16"/>
                <w:color w:val="auto"/>
              </w:rPr>
              <w:t>1992</w:t>
            </w: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(Envirofil as of June</w:t>
            </w:r>
          </w:p>
        </w:tc>
        <w:tc>
          <w:tcPr>
            <w:tcW w:w="940" w:type="dxa"/>
            <w:vAlign w:val="bottom"/>
          </w:tcPr>
          <w:p>
            <w:pPr>
              <w:ind w:left="80"/>
              <w:spacing w:after="0"/>
              <w:rPr>
                <w:sz w:val="20"/>
                <w:szCs w:val="20"/>
                <w:color w:val="auto"/>
              </w:rPr>
            </w:pPr>
            <w:r>
              <w:rPr>
                <w:rFonts w:ascii="Courier New" w:cs="Courier New" w:eastAsia="Courier New" w:hAnsi="Courier New"/>
                <w:sz w:val="16"/>
                <w:szCs w:val="16"/>
                <w:color w:val="auto"/>
              </w:rPr>
              <w:t>30,</w:t>
            </w: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2180" w:type="dxa"/>
            <w:vAlign w:val="bottom"/>
          </w:tcPr>
          <w:p>
            <w:pPr>
              <w:ind w:left="460"/>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Operating revenues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52,236,000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4,813,000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w:t>
            </w: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31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continuing operations....</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7,344,000</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(10,109,000)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10,066,000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7,344,000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854,000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546"/>
        </w:trPr>
        <w:tc>
          <w:tcPr>
            <w:tcW w:w="2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F-10</w:t>
            </w: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COMBINED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0"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5"/>
          <w:szCs w:val="15"/>
          <w:color w:val="auto"/>
        </w:rPr>
        <w:t>$38,204,000</w:t>
      </w:r>
    </w:p>
    <w:p>
      <w:pPr>
        <w:spacing w:after="0" w:line="8"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6"/>
          <w:szCs w:val="16"/>
          <w:color w:val="auto"/>
        </w:rPr>
        <w:t>2,703,000</w:t>
      </w:r>
    </w:p>
    <w:p>
      <w:pPr>
        <w:spacing w:after="0" w:line="183"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6"/>
          <w:szCs w:val="16"/>
          <w:color w:val="auto"/>
        </w:rPr>
        <w:t>93,753,000</w:t>
      </w:r>
    </w:p>
    <w:p>
      <w:pPr>
        <w:spacing w:after="0" w:line="1"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6"/>
          <w:szCs w:val="16"/>
          <w:color w:val="auto"/>
        </w:rPr>
        <w:t>5,190,000</w:t>
      </w: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57,049,000</w:t>
      </w:r>
    </w:p>
    <w:p>
      <w:pPr>
        <w:spacing w:after="0" w:line="18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(2,765,000)</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10,066,000</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8,198,000</w:t>
      </w:r>
    </w:p>
    <w:p>
      <w:pPr>
        <w:sectPr>
          <w:pgSz w:w="11900" w:h="16838" w:orient="portrait"/>
          <w:cols w:equalWidth="0" w:num="2">
            <w:col w:w="7760" w:space="660"/>
            <w:col w:w="1799"/>
          </w:cols>
          <w:pgMar w:left="240" w:top="295"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6"/>
          <w:szCs w:val="16"/>
          <w:color w:val="auto"/>
        </w:rPr>
        <w:t>165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connection with the acquisition, Envirofil changed its fiscal year end from June 30 to December 31 to conform with the Company's year end. Envirofil's operating results for the six months ended June 30, 1993 were included in both the statements of income for the years ended December 31, 1992 and 1993. The following is a condensed consolidated statement of income for Envirofil for the six months ended June 30, 1993:</w:t>
      </w:r>
    </w:p>
    <w:p>
      <w:pPr>
        <w:spacing w:after="0" w:line="200" w:lineRule="exact"/>
        <w:rPr>
          <w:sz w:val="20"/>
          <w:szCs w:val="20"/>
          <w:color w:val="auto"/>
        </w:rPr>
      </w:pPr>
    </w:p>
    <w:p>
      <w:pPr>
        <w:spacing w:after="0" w:line="350"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94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revenues......................................................</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$ 3,482,000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Costs and</w:t>
            </w:r>
          </w:p>
        </w:tc>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expenses......................................................</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6,390,000</w:t>
            </w:r>
          </w:p>
        </w:tc>
      </w:tr>
      <w:tr>
        <w:trPr>
          <w:trHeight w:val="182"/>
        </w:trPr>
        <w:tc>
          <w:tcPr>
            <w:tcW w:w="9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(2,908,000)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Preferred</w:t>
            </w:r>
          </w:p>
        </w:tc>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dividends.....................................................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(152,000)</w:t>
            </w:r>
          </w:p>
        </w:tc>
      </w:tr>
      <w:tr>
        <w:trPr>
          <w:trHeight w:val="182"/>
        </w:trPr>
        <w:tc>
          <w:tcPr>
            <w:tcW w:w="9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w w:val="99"/>
              </w:rPr>
              <w:t>Adjustment to change fiscal year end....................................</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$(3,060,000)</w:t>
            </w:r>
          </w:p>
        </w:tc>
      </w:tr>
      <w:tr>
        <w:trPr>
          <w:trHeight w:val="182"/>
        </w:trPr>
        <w:tc>
          <w:tcPr>
            <w:tcW w:w="9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Company's consolidated financial statements for 1992 include Envirofil's operating results for the year ended June 30, 1993, and have not been restated for the change in fiscal year of Envirofil. Costs related to the acquisition of $3,782,000 were charged to expense in the quarter the acquisition was consummated.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Poolings of Interests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September 30, 1993, the Company acquired Soil Remediation of Philadelphia, Inc. ("SRI") in a transaction accounted for as a pooling of interests. The Company acquired all the common stock of SRI in exchange for 800,000 shares of the Company's common stock and the assumption of approximately $9,000,000 of SRI's indebtedness. SRI owns and operates a thermal remediation facility in Pennsylvania. Since SRI commenced operations in the fall of 1992, the combined results of operations for the Company for 1992 are not significantly different than previously reported. Accordingly, the Company restated its balance sheet to include SRI as of December 31, 1992, but the related statements of income and cash flows relating to prior periods have not been restated. The results of operations of SRI for the nine months prior to the combination are -- Operating revenues $5,008,000; Net income $1,110,000.</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of May 1, 1993, the Company acquired all of the outstanding common stock of Custom Disposal Services, Inc., ("Custom") in exchange for 262,231 shares of its common stock. At the time of its acquisition, Custom was controlled by affiliates of the Company. This transaction was accounted for in a manner similar to a pooling of interests. The results of the combined operations for the periods prior to the combination were not significantly different than previously reported, and accordingly, were not restated for prior periods (see Note 11). Effective September 30, 1994, the Company sold substantially all of Custom's assets.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During 1994, the Company made several acquisitions that were accounted for under the purchase method of accounting. Results of operations of companies that were acquired and subject to purchase accounting are included from the dates of acquisition. The total costs related to the acquisitions accounted for under the purchase method were $49,033,000 in 1994.</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Of the 1994 purchases, the most significant transaction occurred on February 28, 1994. The Company acquired businesses in New Jersey that provide collection and recycling services to residential and commercial customers in central New Jersey. The aggregate purchase price for the businesses acquired consisted of approximately $15,930,000 in cash and 1,738,000 shares of Envirofil common stock (347,600 shares of the Company's common stock).</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excess of the aggregate purchase price over the fair value of net assets acquired for 1994 acquisitions was approximately $23,957,000 and is being amortized over twenty-five years on a straight-line basis. The purchase price allocations are subject to adjustment during the allocation period as necessary when information becomes available to define and quantify assets acquired and liabilities assumed.</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295"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6"/>
          <w:szCs w:val="16"/>
          <w:color w:val="auto"/>
        </w:rPr>
        <w:t>166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Results of Operations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following summarized unaudited pro forma results of operations assumes 1993 and 1994 acquisitions had occurred at the beginning of 1993:</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300" w:type="dxa"/>
            <w:vAlign w:val="bottom"/>
            <w:gridSpan w:val="2"/>
          </w:tcPr>
          <w:p>
            <w:pPr>
              <w:ind w:left="3020"/>
              <w:spacing w:after="0"/>
              <w:rPr>
                <w:sz w:val="20"/>
                <w:szCs w:val="20"/>
                <w:color w:val="auto"/>
              </w:rPr>
            </w:pPr>
            <w:r>
              <w:rPr>
                <w:rFonts w:ascii="Courier New" w:cs="Courier New" w:eastAsia="Courier New" w:hAnsi="Courier New"/>
                <w:sz w:val="5"/>
                <w:szCs w:val="5"/>
                <w:color w:val="auto"/>
                <w:w w:val="72"/>
              </w:rPr>
              <w:t>------------</w:t>
            </w:r>
          </w:p>
        </w:tc>
        <w:tc>
          <w:tcPr>
            <w:tcW w:w="1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Operating revenues......................................</w:t>
            </w:r>
          </w:p>
        </w:tc>
        <w:tc>
          <w:tcPr>
            <w:tcW w:w="100" w:type="dxa"/>
            <w:vAlign w:val="bottom"/>
            <w:gridSpan w:val="2"/>
          </w:tcPr>
          <w:p>
            <w:pPr>
              <w:spacing w:after="0"/>
              <w:rPr>
                <w:sz w:val="20"/>
                <w:szCs w:val="20"/>
                <w:color w:val="auto"/>
              </w:rPr>
            </w:pPr>
            <w:r>
              <w:rPr>
                <w:rFonts w:ascii="Courier New" w:cs="Courier New" w:eastAsia="Courier New" w:hAnsi="Courier New"/>
                <w:sz w:val="16"/>
                <w:szCs w:val="16"/>
                <w:color w:val="auto"/>
                <w:w w:val="82"/>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6"/>
              </w:rPr>
              <w:t>160,568,000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$182,220,000</w:t>
            </w:r>
          </w:p>
        </w:tc>
      </w:tr>
      <w:tr>
        <w:trPr>
          <w:trHeight w:val="182"/>
        </w:trPr>
        <w:tc>
          <w:tcPr>
            <w:tcW w:w="5860" w:type="dxa"/>
            <w:vAlign w:val="bottom"/>
          </w:tcPr>
          <w:p>
            <w:pPr>
              <w:spacing w:after="0"/>
              <w:rPr>
                <w:sz w:val="15"/>
                <w:szCs w:val="15"/>
                <w:color w:val="auto"/>
              </w:rPr>
            </w:pPr>
          </w:p>
        </w:tc>
        <w:tc>
          <w:tcPr>
            <w:tcW w:w="15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Income from continuing operations.......................</w:t>
            </w:r>
          </w:p>
        </w:tc>
        <w:tc>
          <w:tcPr>
            <w:tcW w:w="100" w:type="dxa"/>
            <w:vAlign w:val="bottom"/>
            <w:gridSpan w:val="2"/>
          </w:tcPr>
          <w:p>
            <w:pPr>
              <w:spacing w:after="0"/>
              <w:rPr>
                <w:sz w:val="20"/>
                <w:szCs w:val="20"/>
                <w:color w:val="auto"/>
              </w:rPr>
            </w:pPr>
            <w:r>
              <w:rPr>
                <w:rFonts w:ascii="Courier New" w:cs="Courier New" w:eastAsia="Courier New" w:hAnsi="Courier New"/>
                <w:sz w:val="16"/>
                <w:szCs w:val="16"/>
                <w:color w:val="auto"/>
                <w:w w:val="82"/>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10,228,000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$ 13,874,000</w:t>
            </w:r>
          </w:p>
        </w:tc>
      </w:tr>
      <w:tr>
        <w:trPr>
          <w:trHeight w:val="182"/>
        </w:trPr>
        <w:tc>
          <w:tcPr>
            <w:tcW w:w="5860" w:type="dxa"/>
            <w:vAlign w:val="bottom"/>
          </w:tcPr>
          <w:p>
            <w:pPr>
              <w:spacing w:after="0"/>
              <w:rPr>
                <w:sz w:val="15"/>
                <w:szCs w:val="15"/>
                <w:color w:val="auto"/>
              </w:rPr>
            </w:pPr>
          </w:p>
        </w:tc>
        <w:tc>
          <w:tcPr>
            <w:tcW w:w="15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Earnings per common share from continuing operations....</w:t>
            </w:r>
          </w:p>
        </w:tc>
        <w:tc>
          <w:tcPr>
            <w:tcW w:w="4294964277"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2"/>
        </w:trPr>
        <w:tc>
          <w:tcPr>
            <w:tcW w:w="5860" w:type="dxa"/>
            <w:vAlign w:val="bottom"/>
          </w:tcPr>
          <w:p>
            <w:pPr>
              <w:spacing w:after="0"/>
              <w:rPr>
                <w:sz w:val="15"/>
                <w:szCs w:val="15"/>
                <w:color w:val="auto"/>
              </w:rPr>
            </w:pPr>
          </w:p>
        </w:tc>
        <w:tc>
          <w:tcPr>
            <w:tcW w:w="15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860" w:type="dxa"/>
            <w:vAlign w:val="bottom"/>
          </w:tcPr>
          <w:p>
            <w:pPr>
              <w:spacing w:after="0"/>
              <w:rPr>
                <w:sz w:val="20"/>
                <w:szCs w:val="20"/>
                <w:color w:val="auto"/>
              </w:rPr>
            </w:pPr>
            <w:r>
              <w:rPr>
                <w:rFonts w:ascii="Courier New" w:cs="Courier New" w:eastAsia="Courier New" w:hAnsi="Courier New"/>
                <w:sz w:val="16"/>
                <w:szCs w:val="16"/>
                <w:color w:val="auto"/>
              </w:rPr>
              <w:t>3. PROPERTY AND EQUIPMENT:</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Property and equipment consists of the following:</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28"/>
        </w:trPr>
        <w:tc>
          <w:tcPr>
            <w:tcW w:w="5860" w:type="dxa"/>
            <w:vAlign w:val="bottom"/>
          </w:tcPr>
          <w:p>
            <w:pPr>
              <w:spacing w:after="0"/>
              <w:rPr>
                <w:sz w:val="24"/>
                <w:szCs w:val="24"/>
                <w:color w:val="auto"/>
              </w:rPr>
            </w:pP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Disposal sites, including costs incurred for expansion</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860" w:type="dxa"/>
            <w:vAlign w:val="bottom"/>
          </w:tcPr>
          <w:p>
            <w:pPr>
              <w:ind w:left="560"/>
              <w:spacing w:after="0"/>
              <w:rPr>
                <w:sz w:val="20"/>
                <w:szCs w:val="20"/>
                <w:color w:val="auto"/>
              </w:rPr>
            </w:pPr>
            <w:r>
              <w:rPr>
                <w:rFonts w:ascii="Courier New" w:cs="Courier New" w:eastAsia="Courier New" w:hAnsi="Courier New"/>
                <w:sz w:val="16"/>
                <w:szCs w:val="16"/>
                <w:color w:val="auto"/>
                <w:w w:val="98"/>
              </w:rPr>
              <w:t>projects in process of $7,290,000 and $20,991,000.......</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73,293,000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$100,446,000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Vehicles..................................................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28,519,000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30,423,000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Machinery and equipment...................................</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17,318,000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22,150,000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Containers................................................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15,056,000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20,488,000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Buildings and improvements................................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13,595,000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14,377,000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Furniture and fixtures....................................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1,940,000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2,490,000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Land......................................................</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15,805,000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20,291,000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165,526,000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210,665,000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Less accumulated depreciation and amortization............</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16,429,000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28,250,000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149,097,000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$182,415,000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860" w:type="dxa"/>
            <w:vAlign w:val="bottom"/>
          </w:tcPr>
          <w:p>
            <w:pPr>
              <w:spacing w:after="0"/>
              <w:rPr>
                <w:sz w:val="20"/>
                <w:szCs w:val="20"/>
                <w:color w:val="auto"/>
              </w:rPr>
            </w:pPr>
            <w:r>
              <w:rPr>
                <w:rFonts w:ascii="Courier New" w:cs="Courier New" w:eastAsia="Courier New" w:hAnsi="Courier New"/>
                <w:sz w:val="16"/>
                <w:szCs w:val="16"/>
                <w:color w:val="auto"/>
              </w:rPr>
              <w:t>4. LONG-TERM DEBT:</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Long-term debt consists of the following:</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28"/>
        </w:trPr>
        <w:tc>
          <w:tcPr>
            <w:tcW w:w="5860" w:type="dxa"/>
            <w:vAlign w:val="bottom"/>
          </w:tcPr>
          <w:p>
            <w:pPr>
              <w:spacing w:after="0"/>
              <w:rPr>
                <w:sz w:val="24"/>
                <w:szCs w:val="24"/>
                <w:color w:val="auto"/>
              </w:rPr>
            </w:pP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24"/>
                <w:szCs w:val="24"/>
                <w:color w:val="auto"/>
              </w:rPr>
            </w:pPr>
          </w:p>
        </w:tc>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300" w:type="dxa"/>
            <w:vAlign w:val="bottom"/>
            <w:gridSpan w:val="2"/>
          </w:tcPr>
          <w:p>
            <w:pPr>
              <w:ind w:left="3020"/>
              <w:spacing w:after="0"/>
              <w:rPr>
                <w:sz w:val="20"/>
                <w:szCs w:val="20"/>
                <w:color w:val="auto"/>
              </w:rPr>
            </w:pPr>
            <w:r>
              <w:rPr>
                <w:rFonts w:ascii="Courier New" w:cs="Courier New" w:eastAsia="Courier New" w:hAnsi="Courier New"/>
                <w:sz w:val="5"/>
                <w:szCs w:val="5"/>
                <w:color w:val="auto"/>
                <w:w w:val="72"/>
              </w:rPr>
              <w:t>------------</w:t>
            </w:r>
          </w:p>
        </w:tc>
        <w:tc>
          <w:tcPr>
            <w:tcW w:w="1240" w:type="dxa"/>
            <w:vAlign w:val="bottom"/>
          </w:tcPr>
          <w:p>
            <w:pPr>
              <w:spacing w:after="0"/>
              <w:rPr>
                <w:sz w:val="15"/>
                <w:szCs w:val="15"/>
                <w:color w:val="auto"/>
              </w:rPr>
            </w:pP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Revolving credit facility...............................</w:t>
            </w:r>
          </w:p>
        </w:tc>
        <w:tc>
          <w:tcPr>
            <w:tcW w:w="100" w:type="dxa"/>
            <w:vAlign w:val="bottom"/>
            <w:gridSpan w:val="2"/>
          </w:tcPr>
          <w:p>
            <w:pPr>
              <w:spacing w:after="0"/>
              <w:rPr>
                <w:sz w:val="20"/>
                <w:szCs w:val="20"/>
                <w:color w:val="auto"/>
              </w:rPr>
            </w:pPr>
            <w:r>
              <w:rPr>
                <w:rFonts w:ascii="Courier New" w:cs="Courier New" w:eastAsia="Courier New" w:hAnsi="Courier New"/>
                <w:sz w:val="16"/>
                <w:szCs w:val="16"/>
                <w:color w:val="auto"/>
                <w:w w:val="82"/>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55,500,000</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$ 98,000,000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8 1/2% Convertible Subordinated Debentures..............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49,000,000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49,000,000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Other, at an average rate of 7.97% due through 2001.....</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10,674,000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8,733,000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300" w:type="dxa"/>
            <w:vAlign w:val="bottom"/>
            <w:gridSpan w:val="2"/>
          </w:tcPr>
          <w:p>
            <w:pPr>
              <w:ind w:left="3020"/>
              <w:spacing w:after="0"/>
              <w:rPr>
                <w:sz w:val="20"/>
                <w:szCs w:val="20"/>
                <w:color w:val="auto"/>
              </w:rPr>
            </w:pPr>
            <w:r>
              <w:rPr>
                <w:rFonts w:ascii="Courier New" w:cs="Courier New" w:eastAsia="Courier New" w:hAnsi="Courier New"/>
                <w:sz w:val="5"/>
                <w:szCs w:val="5"/>
                <w:color w:val="auto"/>
                <w:w w:val="72"/>
              </w:rPr>
              <w:t>------------</w:t>
            </w:r>
          </w:p>
        </w:tc>
        <w:tc>
          <w:tcPr>
            <w:tcW w:w="1240" w:type="dxa"/>
            <w:vAlign w:val="bottom"/>
          </w:tcPr>
          <w:p>
            <w:pPr>
              <w:spacing w:after="0"/>
              <w:rPr>
                <w:sz w:val="15"/>
                <w:szCs w:val="15"/>
                <w:color w:val="auto"/>
              </w:rPr>
            </w:pP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6"/>
              </w:rPr>
              <w:t>115,174,000</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155,733,000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Less current maturities.................................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3,559,000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1,830,000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300" w:type="dxa"/>
            <w:vAlign w:val="bottom"/>
            <w:gridSpan w:val="2"/>
          </w:tcPr>
          <w:p>
            <w:pPr>
              <w:ind w:left="3020"/>
              <w:spacing w:after="0"/>
              <w:rPr>
                <w:sz w:val="20"/>
                <w:szCs w:val="20"/>
                <w:color w:val="auto"/>
              </w:rPr>
            </w:pPr>
            <w:r>
              <w:rPr>
                <w:rFonts w:ascii="Courier New" w:cs="Courier New" w:eastAsia="Courier New" w:hAnsi="Courier New"/>
                <w:sz w:val="5"/>
                <w:szCs w:val="5"/>
                <w:color w:val="auto"/>
                <w:w w:val="72"/>
              </w:rPr>
              <w:t>------------</w:t>
            </w:r>
          </w:p>
        </w:tc>
        <w:tc>
          <w:tcPr>
            <w:tcW w:w="1240" w:type="dxa"/>
            <w:vAlign w:val="bottom"/>
          </w:tcPr>
          <w:p>
            <w:pPr>
              <w:spacing w:after="0"/>
              <w:rPr>
                <w:sz w:val="15"/>
                <w:szCs w:val="15"/>
                <w:color w:val="auto"/>
              </w:rPr>
            </w:pP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860" w:type="dxa"/>
            <w:vAlign w:val="bottom"/>
          </w:tcPr>
          <w:p>
            <w:pPr>
              <w:spacing w:after="0"/>
              <w:rPr>
                <w:sz w:val="15"/>
                <w:szCs w:val="15"/>
                <w:color w:val="auto"/>
              </w:rPr>
            </w:pPr>
          </w:p>
        </w:tc>
        <w:tc>
          <w:tcPr>
            <w:tcW w:w="100" w:type="dxa"/>
            <w:vAlign w:val="bottom"/>
            <w:gridSpan w:val="2"/>
          </w:tcPr>
          <w:p>
            <w:pPr>
              <w:spacing w:after="0"/>
              <w:rPr>
                <w:sz w:val="20"/>
                <w:szCs w:val="20"/>
                <w:color w:val="auto"/>
              </w:rPr>
            </w:pPr>
            <w:r>
              <w:rPr>
                <w:rFonts w:ascii="Courier New" w:cs="Courier New" w:eastAsia="Courier New" w:hAnsi="Courier New"/>
                <w:sz w:val="16"/>
                <w:szCs w:val="16"/>
                <w:color w:val="auto"/>
                <w:w w:val="82"/>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6"/>
              </w:rPr>
              <w:t>111,615,000</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$153,903,000</w:t>
            </w:r>
          </w:p>
        </w:tc>
      </w:tr>
      <w:tr>
        <w:trPr>
          <w:trHeight w:val="182"/>
        </w:trPr>
        <w:tc>
          <w:tcPr>
            <w:tcW w:w="5860" w:type="dxa"/>
            <w:vAlign w:val="bottom"/>
          </w:tcPr>
          <w:p>
            <w:pPr>
              <w:spacing w:after="0"/>
              <w:rPr>
                <w:sz w:val="15"/>
                <w:szCs w:val="15"/>
                <w:color w:val="auto"/>
              </w:rPr>
            </w:pPr>
          </w:p>
        </w:tc>
        <w:tc>
          <w:tcPr>
            <w:tcW w:w="15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546"/>
        </w:trPr>
        <w:tc>
          <w:tcPr>
            <w:tcW w:w="7380" w:type="dxa"/>
            <w:vAlign w:val="bottom"/>
            <w:gridSpan w:val="5"/>
          </w:tcPr>
          <w:p>
            <w:pPr>
              <w:ind w:left="460"/>
              <w:spacing w:after="0"/>
              <w:rPr>
                <w:sz w:val="20"/>
                <w:szCs w:val="20"/>
                <w:color w:val="auto"/>
              </w:rPr>
            </w:pPr>
            <w:r>
              <w:rPr>
                <w:rFonts w:ascii="Courier New" w:cs="Courier New" w:eastAsia="Courier New" w:hAnsi="Courier New"/>
                <w:sz w:val="16"/>
                <w:szCs w:val="16"/>
                <w:color w:val="auto"/>
                <w:w w:val="98"/>
              </w:rPr>
              <w:t>On May 26, 1994, and in connection with the acquisition of Envirofil, the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7380" w:type="dxa"/>
            <w:vAlign w:val="bottom"/>
            <w:gridSpan w:val="5"/>
          </w:tcPr>
          <w:p>
            <w:pPr>
              <w:spacing w:after="0"/>
              <w:rPr>
                <w:sz w:val="20"/>
                <w:szCs w:val="20"/>
                <w:color w:val="auto"/>
              </w:rPr>
            </w:pPr>
            <w:r>
              <w:rPr>
                <w:rFonts w:ascii="Courier New" w:cs="Courier New" w:eastAsia="Courier New" w:hAnsi="Courier New"/>
                <w:sz w:val="16"/>
                <w:szCs w:val="16"/>
                <w:color w:val="auto"/>
              </w:rPr>
              <w:t>Company entered into a new revolving credit facility with three major banks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380" w:type="dxa"/>
            <w:vAlign w:val="bottom"/>
            <w:gridSpan w:val="5"/>
          </w:tcPr>
          <w:p>
            <w:pPr>
              <w:spacing w:after="0"/>
              <w:rPr>
                <w:sz w:val="20"/>
                <w:szCs w:val="20"/>
                <w:color w:val="auto"/>
              </w:rPr>
            </w:pPr>
            <w:r>
              <w:rPr>
                <w:rFonts w:ascii="Courier New" w:cs="Courier New" w:eastAsia="Courier New" w:hAnsi="Courier New"/>
                <w:sz w:val="16"/>
                <w:szCs w:val="16"/>
                <w:color w:val="auto"/>
              </w:rPr>
              <w:t>providing for borrowings of up to $110,000,000 to replace two separate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380" w:type="dxa"/>
            <w:vAlign w:val="bottom"/>
            <w:gridSpan w:val="5"/>
          </w:tcPr>
          <w:p>
            <w:pPr>
              <w:spacing w:after="0"/>
              <w:rPr>
                <w:sz w:val="20"/>
                <w:szCs w:val="20"/>
                <w:color w:val="auto"/>
              </w:rPr>
            </w:pPr>
            <w:r>
              <w:rPr>
                <w:rFonts w:ascii="Courier New" w:cs="Courier New" w:eastAsia="Courier New" w:hAnsi="Courier New"/>
                <w:sz w:val="16"/>
                <w:szCs w:val="16"/>
                <w:color w:val="auto"/>
                <w:w w:val="98"/>
              </w:rPr>
              <w:t>facilities providing for combined borrowings of up to $65,000,000. On November</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28, 1994, the Company renegotiated the revolving credit facility to provide for borrowings of up to $150,000,000. At the Company's option, the interest rate on any loan under the revolving credit facility will be based on an adjusted prime rate or Eurodollar rate, as defined in the agreement. The facility matures on November 30, 1997. The Company's borrowing rate was 7.74% as of December 31, 1994. The revolving credit facility, among other conditions, requires the payment of a 3/8 of 1% commitment fee on the unused balance, payable in arrears, and provides for certain restrictions on the ability of the Company to incur borrowings, sell assets, or pay cash</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295" w:right="1440" w:bottom="701" w:gutter="0" w:footer="0" w:header="0"/>
        </w:sectPr>
      </w:pPr>
    </w:p>
    <w:bookmarkStart w:id="170" w:name="page171"/>
    <w:bookmarkEnd w:id="170"/>
    <w:p>
      <w:pPr>
        <w:ind w:left="283"/>
        <w:spacing w:after="0"/>
        <w:rPr>
          <w:sz w:val="20"/>
          <w:szCs w:val="20"/>
          <w:color w:val="auto"/>
        </w:rPr>
      </w:pPr>
      <w:r>
        <w:rPr>
          <w:rFonts w:ascii="Courier New" w:cs="Courier New" w:eastAsia="Courier New" w:hAnsi="Courier New"/>
          <w:sz w:val="16"/>
          <w:szCs w:val="16"/>
          <w:color w:val="auto"/>
        </w:rPr>
        <w:t>167</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dividends. The facility also requires the maintenance of certain financial ratios, including interest coverage ratios, minimum net worth requirements, and profitable operations. The facility is collateralized by all the stock of the Company's subsidiaries, whether now owned or hereafter acquired.</w:t>
      </w:r>
    </w:p>
    <w:p>
      <w:pPr>
        <w:spacing w:after="0" w:line="187"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In September 1992, the Company issued $49,000,000 of 8 1/2% Convertible Subordinated Debentures due October 15, 2002 in an underwritten public offering. Interest on the bonds is payable semi-annually. The bonds are convertible into the Company's Common Stock at any time on or before maturity, unless previously redeemed, at $13.25 per share, subject to adjustment in certain events. The bonds are redeemable at the option of the Company, in whole or in part, at any time on or after October 15, 1995, at an original redemption price of 105.67% of the principal amount, declining to par over the term of the bonds. The bonds are subordinated to all existing and future indebtedness of the Company and do not restrict the incurrence of additional senior debt. The proceeds from the issuance of the bonds were used to retire existing indebtedness of approximately $28,000,000, for acquisitions, and other general corporate purposes.</w:t>
      </w:r>
    </w:p>
    <w:p>
      <w:pPr>
        <w:spacing w:after="0" w:line="181"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Long-term debt maturities in each of the five years subsequent to December 31, 1994, are: 1995 -- $1,830,000; 1996 -- $2,110,000; 1997 -- $101,420,000; 1998 -- $860,000; and 1999 -- $420,000.</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5. PREFERRED STOCK:</w:t>
      </w:r>
    </w:p>
    <w:p>
      <w:pPr>
        <w:spacing w:after="0" w:line="186"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The Board of Directors is authorized to provide for the issuance of the preferred stock in series; and with respect to each series, to fix its designation, relative rights (including voting, dividend, conversion, sinking fund and redemption rights), preferences (including with respect to dividends and upon liquidation) and limitations. The Company currently has no issued or outstanding preferred stock.</w:t>
      </w:r>
    </w:p>
    <w:p>
      <w:pPr>
        <w:spacing w:after="0" w:line="190"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In contemplation of the transaction between the Company and Envirofil, the Envirofil preferred shareholders converted all of their preferred stock into shares of Envirofil common stock, which were subsequently exchanged for shares of the Company's common stock.</w:t>
      </w:r>
    </w:p>
    <w:p>
      <w:pPr>
        <w:spacing w:after="0" w:line="187" w:lineRule="exact"/>
        <w:rPr>
          <w:sz w:val="20"/>
          <w:szCs w:val="20"/>
          <w:color w:val="auto"/>
        </w:rPr>
      </w:pPr>
    </w:p>
    <w:p>
      <w:pPr>
        <w:ind w:left="3" w:right="6719" w:hanging="3"/>
        <w:spacing w:after="0" w:line="476" w:lineRule="auto"/>
        <w:tabs>
          <w:tab w:leader="none" w:pos="28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OPTIONS AND WARRANTS: Options</w:t>
      </w:r>
    </w:p>
    <w:p>
      <w:pPr>
        <w:spacing w:after="0" w:line="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 1990, the Company's shareholders adopted the 1990 Stock Option Plan (the "1990 Plan"). A total of 900,000 shares may be issued under the Plan. In 1993, the Company adopted the 1993 Stock Option Incentive Plan (the "1993 Plan"), which allows the Company to grant up to 1,000,000 options to officers, directors and key employees. Stock options have been granted under the 1990 and 1993 Plans at an exercise price which equals or exceeds the fair market value of the common stock on the date of grant. No options are available for future grant under the 1990 Plan.</w:t>
      </w:r>
    </w:p>
    <w:p>
      <w:pPr>
        <w:spacing w:after="0" w:line="187"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 March 1993, the stockholders of Envirofil approved the adoption of the Envirofil Employees' 1993 Stock Option Plan (the "1993 Envirofil Plan"). Under the 1993 Envirofil Plan, options may be granted to purchase up to an aggregate of 600,000 shares of Common Stock of the Company. The 1993 Envirofil Plan will terminate in January 2003. Under the terms of the 1993 Envirofil Plan, options may be granted at an exercise price per share not less than the fair market value of the Common Stock. On May 27, 1994, Envirofil had outstanding options to purchase 443,182 shares under the 1993 Envirofil Plan. No additional options will be issued under such plan.</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22"/>
          </w:cols>
          <w:pgMar w:left="237" w:top="295"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6"/>
          <w:szCs w:val="16"/>
          <w:color w:val="auto"/>
        </w:rPr>
        <w:t>168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The following table summarizes activity under the Company's stock option plans: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1992</w:t>
            </w: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92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Outstanding, beginning.............................</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487,825</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464,500</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1,130,682</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34,000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682,182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324,000</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(51,225)</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(98,700)</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Canceled...........................................</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(6,100)</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(189,100)</w:t>
            </w:r>
          </w:p>
        </w:tc>
      </w:tr>
      <w:tr>
        <w:trPr>
          <w:trHeight w:val="182"/>
        </w:trPr>
        <w:tc>
          <w:tcPr>
            <w:tcW w:w="492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Outstanding, end of year...........................</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464,500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1,130,682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1,166,882</w:t>
            </w:r>
          </w:p>
        </w:tc>
      </w:tr>
      <w:tr>
        <w:trPr>
          <w:trHeight w:val="182"/>
        </w:trPr>
        <w:tc>
          <w:tcPr>
            <w:tcW w:w="492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option prices of shares exercised during 1992, 1993 and 1994 were from $2.50 to $9.00 in 1992, $6.00 in 1993, and from $2.50 to $14.00 in 1994. As of December 31, 1994, 472,556 of the options outstanding are exercisable at prices ranging from $5.00 to $19.39 per share. The Company holds 149,285 shares of its common stock in treasury as of December 31, 1994, for future distribution upon exercise of options under the plans.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has issued 3,138,864 common stock warrants expiring through</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2002 in connection with private placements of debt and equity securities, acquisitions of businesses, bank borrowings, reorganizations, and certain employment agreements. Transactions involving common stock warrants during each of the two years ended December 31, 1994, are summarized as follows: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EXERCISE</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WARRANTS</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PRICE</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Outstanding at December 31, 1992..........................</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1,822,232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17.50</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Issued..................................................</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406,632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$ 1.25-$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10.00</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Outstanding at December 31, 1993..........................</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2,228,864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17.50</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Issued..................................................</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910,000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12.88</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Exercised...............................................</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(443,399)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8.80</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Outstanding at December 31, 1994..........................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2,695,465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$ 1.25-$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17.50</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Compensation Expense</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1992 and 1993, Envirofil granted certain options and warrants with exercise prices that were less than the fair market value of Envirofil's common stock at the date of the grant of the options or warrants or the renegotiation of the exercise price of warrants previously granted. Stock compensation expense has been recorded to the extent that the exercise prices of the vested options or warrants were less than the fair market value of Envirofil's common stock at the date of the renegotiation of the exercise price reduction or the granting of the options or warrants. As a result, charges of $5,249,000 and $923,000 were recorded as stock compensation expense in the consolidated statement of operations for the years ended December 31, 1992 and 1993, respectively. The offset to these charges was an increase in additional paid-in capital.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INCOME TAXES: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provision for income taxes consists of the following:</w:t>
      </w:r>
    </w:p>
    <w:p>
      <w:pPr>
        <w:spacing w:after="0" w:line="200" w:lineRule="exact"/>
        <w:rPr>
          <w:sz w:val="20"/>
          <w:szCs w:val="20"/>
          <w:color w:val="auto"/>
        </w:rPr>
      </w:pPr>
    </w:p>
    <w:p>
      <w:pPr>
        <w:spacing w:after="0" w:line="34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54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1992</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5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4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$3,012,000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$4,418,000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$7,560,000</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943,000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995,000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r>
      <w:tr>
        <w:trPr>
          <w:trHeight w:val="182"/>
        </w:trPr>
        <w:tc>
          <w:tcPr>
            <w:tcW w:w="45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$3,955,000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$5,413,000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$7,760,000</w:t>
            </w:r>
          </w:p>
        </w:tc>
      </w:tr>
      <w:tr>
        <w:trPr>
          <w:trHeight w:val="182"/>
        </w:trPr>
        <w:tc>
          <w:tcPr>
            <w:tcW w:w="45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5" w:right="1440" w:bottom="356" w:gutter="0" w:footer="0" w:header="0"/>
        </w:sectPr>
      </w:pPr>
    </w:p>
    <w:p>
      <w:pPr>
        <w:spacing w:after="0" w:line="1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19"/>
          </w:cols>
          <w:pgMar w:left="240" w:top="295" w:right="1440" w:bottom="356" w:gutter="0" w:footer="0" w:header="0"/>
          <w:type w:val="continuous"/>
        </w:sectPr>
      </w:pPr>
    </w:p>
    <w:bookmarkStart w:id="172" w:name="page173"/>
    <w:bookmarkEnd w:id="172"/>
    <w:p>
      <w:pPr>
        <w:ind w:left="280"/>
        <w:spacing w:after="0"/>
        <w:rPr>
          <w:sz w:val="20"/>
          <w:szCs w:val="20"/>
          <w:color w:val="auto"/>
        </w:rPr>
      </w:pPr>
      <w:r>
        <w:rPr>
          <w:rFonts w:ascii="Courier New" w:cs="Courier New" w:eastAsia="Courier New" w:hAnsi="Courier New"/>
          <w:sz w:val="16"/>
          <w:szCs w:val="16"/>
          <w:color w:val="auto"/>
        </w:rPr>
        <w:t>169</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Deferred income taxes are primarily attributable to the temporary differences in reporting depreciation and amortization for financial and tax purposes. The difference in the federal income tax rate and the effective income tax rate for the years presented above is as follows: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1993</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9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Statutory federal income tax rate.............................</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34.0%</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Losses for which no tax benefit was provided..................</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288.8</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13.9</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State and local taxes.........................................</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59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Effective income tax rate.....................................</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332.4%</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35.9%</w:t>
            </w:r>
          </w:p>
        </w:tc>
      </w:tr>
      <w:tr>
        <w:trPr>
          <w:trHeight w:val="182"/>
        </w:trPr>
        <w:tc>
          <w:tcPr>
            <w:tcW w:w="59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In 1993, the current provision for income taxes includes a distribution to the former sole shareholder of SRI to fund the tax provision for the period prior to SRI's acquisition by the Company.</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of December 31, 1994, the Company has approximately $8,200,000 of net operating loss carryforwards that may be offset against future taxable income. These carryforwards will begin to expire in 1998. The utilization of these net operating loss carryforwards are subject to annual limitations due to ownership changes upon the Company's acquisition of certain entities.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components of the net deferred tax liability are as follows:</w:t>
      </w:r>
    </w:p>
    <w:p>
      <w:pPr>
        <w:spacing w:after="0" w:line="200" w:lineRule="exact"/>
        <w:rPr>
          <w:sz w:val="20"/>
          <w:szCs w:val="20"/>
          <w:color w:val="auto"/>
        </w:rPr>
      </w:pPr>
    </w:p>
    <w:p>
      <w:pPr>
        <w:spacing w:after="0" w:line="34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1993</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Property and equipment, net...........................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$11,136,000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$ 9,352,000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Excess of cost over net assets of acquired businesses,</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and other intangibles..........................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4,725,000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8,540,000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1,191,000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3,954,000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deferred tax liabilities................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17,052,000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21,846,000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operating loss carryforwards......................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4,048,000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3,125,000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Closure, post-closure and other liabilities...........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2,641,000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5,107,000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1,032,000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458,000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deferred tax assets.....................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7,721,000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8,690,000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Valuation allowance...................................</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(2,511,000)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(2,636,000)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deferred tax assets.......................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5,210,000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6,054,000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deferred tax liability..............................</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$11,842,000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$15,792,000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BUSINESS SEGMENT INFORMATION:</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Company operates in one business segment providing waste collection, transfer, disposal, soil remediation and recycling services to municipal, commercial, industrial, and residential customers.</w:t>
      </w:r>
    </w:p>
    <w:p>
      <w:pPr>
        <w:spacing w:after="0" w:line="188"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During 1992, 1993 and 1994, there were no individual customers that accounted for more than 10% of operating revenues.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FAIR VALUE OF FINANCIAL INSTRUMENTS:</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following disclosures of the fair value of financial instruments are presented in accordance with the requirements of Statement of Financial Accounting Standards No. 107, "Disclosures About Fair Value of</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295"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6"/>
          <w:szCs w:val="16"/>
          <w:color w:val="auto"/>
        </w:rPr>
        <w:t>170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Financial Instruments." The estimated fair value amounts have been determined by the Company using available market data and valuation methodologies.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of December 31, 1994, the estimated fair value of the 8 1/2% Convertible Subordinated Debentures due 2002 of $48,265,000 is based on a quoted market price. The book values of the revolving credit facility and other notes payable approximate their fair value.</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book values of cash, trade accounts receivable, trade accounts payable and financial instruments included in notes and other receivables and other assets approximate their fair values principally because of the short-term maturities of these instruments.</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normal course of business, the Company has letters of credit, performance bonds, and other guarantees that are not reflected in the accompanying consolidated balance sheets. In the past, no significant claims have been made against these financial instruments. Management believes that the likelihood of performance under these financial instruments is minimal and expects no material losses to occur in connection with these financial instruments.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ENVIROFIL REORGANIZATION AND DISCONTINUED OPERATIONS:</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In December 1992, Envirofil completed a financial and management reorganization that effectively recapitalized Envirofil and provided it with a new management team. The reorganization included the following items:</w:t>
      </w:r>
    </w:p>
    <w:p>
      <w:pPr>
        <w:spacing w:after="0" w:line="188" w:lineRule="exact"/>
        <w:rPr>
          <w:sz w:val="20"/>
          <w:szCs w:val="20"/>
          <w:color w:val="auto"/>
        </w:rPr>
      </w:pPr>
    </w:p>
    <w:p>
      <w:pPr>
        <w:ind w:left="660" w:right="2839" w:hanging="190"/>
        <w:spacing w:after="0" w:line="238"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Envirofil completed a private placement of its common stock raising net proceeds of $3,388,000 from the sale of 16,000,000 shares of Envirofil common stock.</w:t>
      </w:r>
    </w:p>
    <w:p>
      <w:pPr>
        <w:spacing w:after="0" w:line="184"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Envirofil converted $10,000,000 of Convertible Subordinated Notes and</w:t>
      </w:r>
    </w:p>
    <w:p>
      <w:pPr>
        <w:spacing w:after="0" w:line="4" w:lineRule="exact"/>
        <w:rPr>
          <w:rFonts w:ascii="Courier New" w:cs="Courier New" w:eastAsia="Courier New" w:hAnsi="Courier New"/>
          <w:sz w:val="16"/>
          <w:szCs w:val="16"/>
          <w:color w:val="auto"/>
        </w:rPr>
      </w:pPr>
    </w:p>
    <w:p>
      <w:pPr>
        <w:ind w:left="660"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$750,000 of Convertible Subordinated Bridge Notes together with accrued interest into 7,188,956 shares of common stock of Envirofil at a conversion rate of $1.60 per share. In addition, 521,644 shares of Convertible Preferred Stock, Series B were converted into 332,638 shares of common stock of the Company at a conversion rate of $1.60 per share. The difference between the face value of these obligations and the fair market value of the common stock issued, net of applicable deferred financing costs, plus the debt forgiven by certain of Envirofil's vendors, was recorded as extraordinary income in 1992 in the amount of $10,066,000.</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Effective June 30, 1991, Envirofil formally discontinued operations in all non-landfill related businesses. As part of the December 1992 reorganization, Envirofil sold the stock of its home medical equipment operations holding company, Med-Care Corp., and its related subsidiaries for $10 to the former Chairman, President and majority shareholder of Envirofil. Although sold for a nominal amount, due to its net liability position on the date of sale, Envirofil recorded a net gain of $897,000 on this sale. The disposition of these companies completed Envirofil's plan to liquidate all non-landfill related businesses and to concentrate on the acquisition, development and operation of non-hazardous sanitary landfills. The Company believes that Envirofil has settled or satisfied all claims and liabilities with respect to such discontinued operations, however, there can be no assurance that claims and liabilities arising out of or related to the home medical equipment business will not be made against Envirofil and will not be significant.</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part of the December 1992 reorganization, Envirofil had restructuring charges of $1,507,000. The restructuring costs primarily related to the granting of warrants with exercise prices less than the fair market value of Envirofil common stock at the date of the grant or the renegotiation of the exercise price of warrants previously granted. See Note 6.</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295"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6"/>
          <w:szCs w:val="16"/>
          <w:color w:val="auto"/>
        </w:rPr>
        <w:t>171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RELATED PARTY TRANSACTIONS:</w:t>
      </w:r>
    </w:p>
    <w:p>
      <w:pPr>
        <w:spacing w:after="0" w:line="186" w:lineRule="exact"/>
        <w:rPr>
          <w:sz w:val="20"/>
          <w:szCs w:val="20"/>
          <w:color w:val="auto"/>
        </w:rPr>
      </w:pPr>
    </w:p>
    <w:p>
      <w:pPr>
        <w:jc w:val="both"/>
        <w:ind w:right="2659" w:firstLine="473"/>
        <w:spacing w:after="0" w:line="259" w:lineRule="auto"/>
        <w:rPr>
          <w:sz w:val="20"/>
          <w:szCs w:val="20"/>
          <w:color w:val="auto"/>
        </w:rPr>
      </w:pPr>
      <w:r>
        <w:rPr>
          <w:rFonts w:ascii="Courier New" w:cs="Courier New" w:eastAsia="Courier New" w:hAnsi="Courier New"/>
          <w:sz w:val="15"/>
          <w:szCs w:val="15"/>
          <w:color w:val="auto"/>
        </w:rPr>
        <w:t>The Company has invested $400,000 in EDM Corporation ("EDM"), in return for a 15% equity interest and agreed to provide a line of credit of up to $5,600,000 to EDM at an interest rate equal to the greater of 8 1/2% or the prime rate plus two percent. The Company has a right of first refusal to acquire any landfills, collection, or other operations that EDM wishes to sell.</w:t>
      </w:r>
    </w:p>
    <w:p>
      <w:pPr>
        <w:spacing w:after="0" w:line="17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February 1993, the Company purchased a 19% equity interest in WPP, Inc., an Ohio corporation ("WPP"), for $190,000. WPP was engaged in the development of landfill projects and provided consulting, engineering, and permit acquisition services in connection with the development of landfills. On March 30, 1994, the Company purchased the remaining 81% of the outstanding capital stock of WPP from an unrelated party for $810,000. Following its acquisition of WPP, the Company sold WPP's landfill development projects to third parties.</w:t>
      </w:r>
    </w:p>
    <w:p>
      <w:pPr>
        <w:spacing w:after="0" w:line="17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June 1993, Donald F. Moorehead, Jr., Chairman of the Board of the Company, acquired approximately a 5% ownership interest in EMCO Metals &amp; Recycling Corporation ("EMCO"), a company engaged in scrap metal recycling in Phoenix. In October 1993, the Company acquired certain trucks from EMCO for $191,000 and entered into a three-year service agreement to transport scrap metal for EMCO. Contemporaneously, the Company acquired certain trucks, trailers, and roll-off containers used in the collection and transportation of scrap metal from an unaffiliated entity for $998,000. In connection with its decision to leave the Phoenix market in October 1994, the Company sold the foregoing vehicles and containers to EMCO for $100,000 in cash and a note for $895,000 bearing interest at a rate of 9% per annum and payable in eleven monthly installments of principal and interest of $18,567 and a balloon payment of $765,083.</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connection with the acquisition of Envirofil in May 1994, Sanders Morris Mundy Inc., ("SMMI"), in its capacity as financial advisor to Envirofil received a fee of $850,000. Prior to joining the Company, John E. Drury, Chief Executive Officer of the Company, was a Managing Director and shareholder of SMMI and remains a director. George L. Ball, a director of the Company, is Chairman of the Board and a director of SMMI. In 1992, the Company sold $46,000,000 of its 8 1/2% Convertible Subordinated Debentures due 2002 in a public offering underwritten by Dillon Read &amp; Co., Inc. and SMMI. In connection with such offering, the Company paid the underwriters commissions aggregating $1,995,000.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COMMITMENTS AND CONTINGENCIES: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has obtained environmental impairment liability insurance covering certain of its disposal sites and transfer stations. The Company is in the process of securing coverage for those operations not yet insured. However, if the Company should decide to operate without insurance, or should be unable to obtain adequate insurance in the future, a partially or completely uninsured claim against the Company, if successful and of sufficient magnitude, could have a material adverse effect on the Company's business or its financial condition and results of operations.</w:t>
      </w:r>
    </w:p>
    <w:p>
      <w:pPr>
        <w:spacing w:after="0" w:line="187"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Company has entered into employment agreements with certain of its executives and officers. These employment agreements include provisions governing compensation and benefits to be paid upon termination of employment with the Company or certain changes in control of the Company. Under certain conditions, the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295"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6"/>
          <w:szCs w:val="16"/>
          <w:color w:val="auto"/>
        </w:rPr>
        <w:t>172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agreements can be terminated by the Company or the employee. Upon termination of the agreement, the employee's compensation would continue at approximately 75% of the employee's prior compensation for periods ranging from three to five years. During the three to five year period the employee would be available to the Company on a part-time basis for consulting and also would not be permitted to engage in any activities in direct competition with the Company. If these executives were to be terminated without cause during 1995 or if certain executives elected to terminate their agreements, the annual compensation on a part-time basis would be approximately $1,000,000. If a change in control were to occur in 1995 and the executives elected to take the change in control payments, they would receive approximately $4,000,000. As of December 31, 1994, the Company has not recorded any accruals in the financial statements related to these employment agreements.</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Company has entered into certain agreements with EDM and certain other parties in which the Company has committed to advance or invest up to approximately $20,000,000 for purchase commitments, investment obligations and loans. Certain of these commitments are dependent upon the fulfillment of certain conditions by the other party prior to the Company's outlay of funds. These commitments, if ultimately fulfilled, are expected to occur over a period of one to five years. The total amount invested and advanced under these agreements amounted to $3,400,000 as of December 31, 1994.</w:t>
      </w:r>
    </w:p>
    <w:p>
      <w:pPr>
        <w:spacing w:after="0" w:line="187"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The Company is a party to litigation (other than discussed in Note 13) arising in the normal course of business. In addition, contingencies of an environmental nature currently exist at certain of its disposal sites. Management believes that the ultimate outcome of these matters will not have a material effect on the Company's financial position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MERGER WITH CHAMBERS DEVELOPMENT COMPANY, INC.:</w:t>
      </w:r>
    </w:p>
    <w:p>
      <w:pPr>
        <w:spacing w:after="0" w:line="186" w:lineRule="exact"/>
        <w:rPr>
          <w:sz w:val="20"/>
          <w:szCs w:val="20"/>
          <w:color w:val="auto"/>
        </w:rPr>
      </w:pPr>
    </w:p>
    <w:p>
      <w:pPr>
        <w:jc w:val="both"/>
        <w:ind w:right="2839" w:firstLine="473"/>
        <w:spacing w:after="0" w:line="256" w:lineRule="auto"/>
        <w:rPr>
          <w:sz w:val="20"/>
          <w:szCs w:val="20"/>
          <w:color w:val="auto"/>
        </w:rPr>
      </w:pPr>
      <w:r>
        <w:rPr>
          <w:rFonts w:ascii="Courier New" w:cs="Courier New" w:eastAsia="Courier New" w:hAnsi="Courier New"/>
          <w:sz w:val="15"/>
          <w:szCs w:val="15"/>
          <w:color w:val="auto"/>
        </w:rPr>
        <w:t>In December 1994, the Company entered an agreement to merge with Chambers Development Company, Inc., ("Chambers"). The merger is subject to, among other conditions, approval of both companies' boards of directors and shareholders.</w:t>
      </w:r>
    </w:p>
    <w:p>
      <w:pPr>
        <w:spacing w:after="0" w:line="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Completion of the merger is expected by June 1995 and will be accounted for as a pooling of interests. The agreement provides that on the effective date of the merger the Company will issue 0.41667 of a share for each share of Chambers common stock outstanding. The Company currently has 22,678,822 shares outstanding and, after the merger, expects to have approximately 50,525,000 common shares outstanding. Following the merger, the Board of Directors will include nominees of both the Company and Chambers. Subsequent to the merger, John E. Drury will serve as Chairman of the Board and Chief Executive Officer. Donald F. Moorehead, Jr. and John G. Rangos, Sr. will become Vice Chairmen and Alexander W. Rangos will become Executive Vice President for Landfill Development. David Sutherland-Yoest will continue as President and Chief Operating Officer and Earl E. DeFrates will continue as Executive Vice President and Chief Financial Officer.</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connection with the merger, the Company and Chambers have entered into a financing agreement to provide for the financing of certain Chambers' obligations. Under this financing agreement, the Company has agreed to accelerate debt payments and acquire certain assets of Chambers for $35,100,000 in 1995 and $45,000,000 in 1996 in the event that the merger is not consummated and Chamber is not successful in refinancing its obligations. Subsequent to December 31, 1994, and in accordance with the financing agreement, the Company has made payments to Chambers in the amount of $6,800,000.</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Between November 30, 1994 and January 13, 1995, three lawsuits were filed as class actions on behalf of all security holders of Chambers. The lawsuits arise out of a proposed merger of a wholly-owned subsidiary of the Company with and into Chambers whereby Chambers will become a wholly-owned subsidiary of the Company. Named as defendants are the Company and its wholly-owned subsidiary, Envirofil, Chambers and certain officers and directors of Chambers. The lawsuits allege that the execution of the merger agreement constituted a breach of fiduciary duties by the Chambers officers and directors and that the Company and Envirofil aided and abetted those breaches. The lawsuits seek an order to enjoin the defendants from</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295" w:right="1440" w:bottom="1440" w:gutter="0" w:footer="0" w:header="0"/>
        </w:sectPr>
      </w:pPr>
    </w:p>
    <w:bookmarkStart w:id="176" w:name="page177"/>
    <w:bookmarkEnd w:id="176"/>
    <w:p>
      <w:pPr>
        <w:ind w:left="283"/>
        <w:spacing w:after="0"/>
        <w:rPr>
          <w:sz w:val="20"/>
          <w:szCs w:val="20"/>
          <w:color w:val="auto"/>
        </w:rPr>
      </w:pPr>
      <w:r>
        <w:rPr>
          <w:rFonts w:ascii="Courier New" w:cs="Courier New" w:eastAsia="Courier New" w:hAnsi="Courier New"/>
          <w:sz w:val="16"/>
          <w:szCs w:val="16"/>
          <w:color w:val="auto"/>
        </w:rPr>
        <w:t>173</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proceeding with the merger agreement as well as compensatory damages. 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189" w:lineRule="exact"/>
        <w:rPr>
          <w:sz w:val="20"/>
          <w:szCs w:val="20"/>
          <w:color w:val="auto"/>
        </w:rPr>
      </w:pPr>
    </w:p>
    <w:p>
      <w:pPr>
        <w:ind w:left="3" w:right="2659" w:hanging="3"/>
        <w:spacing w:after="0" w:line="237" w:lineRule="auto"/>
        <w:tabs>
          <w:tab w:leader="none" w:pos="3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QUARTERLY FINANCIAL DATA, UNAUDITED (IN THOUSANDS, EXCEPT PER 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FIRST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SECOND</w:t>
            </w:r>
          </w:p>
        </w:tc>
        <w:tc>
          <w:tcPr>
            <w:tcW w:w="28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THIRD</w:t>
            </w:r>
          </w:p>
        </w:tc>
        <w:tc>
          <w:tcPr>
            <w:tcW w:w="9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FOURTH</w:t>
            </w:r>
          </w:p>
        </w:tc>
      </w:tr>
      <w:tr>
        <w:trPr>
          <w:trHeight w:val="182"/>
        </w:trPr>
        <w:tc>
          <w:tcPr>
            <w:tcW w:w="50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QUARTER</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QUARTER</w:t>
            </w:r>
          </w:p>
        </w:tc>
        <w:tc>
          <w:tcPr>
            <w:tcW w:w="1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QUARTER</w:t>
            </w:r>
          </w:p>
        </w:tc>
        <w:tc>
          <w:tcPr>
            <w:tcW w:w="9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QUARTER</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$10,708</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$14,146</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$15,001</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$17,194</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$16,448</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$21,131</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$23,173</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$33,001</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$38,205</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$44,870</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$47,134</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$46,026</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Income (loss) before provision for income taxes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$ 1,685</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$(3,679)</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$ 2,193</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991</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$ 2,673</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$ 1,754</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$ 3,065</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$ 3,111</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$ 4,340</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$ 1,515</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$ 7,236</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$ 8,500</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Income (loss) before extraordinary item</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862</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$(3,780)</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$ 1,142</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$ 1,405</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328</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$ 2,033</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$ 1,424</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$ 2,704</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$ 1,021</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$ 4,616</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$ 5,490</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Extraordinary income from forgiveness of debt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$10,066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862</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$ 6,286</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$ 1,142</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$ 1,405</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328</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$ 2,033</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$ 1,424</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$ 2,704</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$ 1,021</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$ 4,616</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$ 5,490</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Earnings (loss) per common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.09</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.06</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.04</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Amounts presented for all 1992 and 1993 quarters and the first quarter of 1994 are as restated for the pooling of interests discussed in Note 2, and are different from amounts originally reported due to the business combination with Envirofil.</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22"/>
          </w:cols>
          <w:pgMar w:left="237" w:top="295"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6"/>
          <w:szCs w:val="16"/>
          <w:color w:val="auto"/>
        </w:rPr>
        <w:t>174</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ASSETS</w:t>
            </w: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728"/>
        </w:trPr>
        <w:tc>
          <w:tcPr>
            <w:tcW w:w="6240" w:type="dxa"/>
            <w:vAlign w:val="bottom"/>
          </w:tcPr>
          <w:p>
            <w:pPr>
              <w:spacing w:after="0"/>
              <w:rPr>
                <w:sz w:val="24"/>
                <w:szCs w:val="24"/>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DECEMBER 31,</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and cash equivalents......................................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6,613,000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7,620,000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 net.......................................</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19,992,000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20,481,000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Notes and other receivables....................................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8,072,000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11,794,000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Prepaid expenses and other.....................................</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2,361,000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2,869,000</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37,038,000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42,764,000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Notes and other receivables......................................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2,462,000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2,522,000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Property and equipment, net......................................</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182,415,000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181,707,000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Excess of cost over net assets of acquired businesses, net.......</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73,305,000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74,363,000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intangible assets, net.....................................</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14,375,000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13,798,000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assets.....................................................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13,572,000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23,070,000</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assets...........................................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$323,167,000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$338,224,000</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$ 12,023,000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$ 11,249,000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Accrued liabilities............................................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12,783,000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8,730,000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revenues..............................................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1,783,000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2,008,000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Current maturities of long-term debt...........................</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1,830,000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1,735,000</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28,419,000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23,722,000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Revolving credit facility........................................</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98,000,000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115,000,000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Convertible subordinated debentures..............................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49,000,000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49,000,000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long-term debt.............................................</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6,903,000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3,715,000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Closure, post-closure and other liabilities......................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17,067,000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17,149,000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Deferred income taxes............................................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15,792,000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16,292,000</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liabilities......................................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215,181,000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224,878,000</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Commitments and contingencies....................................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2"/>
        </w:trPr>
        <w:tc>
          <w:tcPr>
            <w:tcW w:w="624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Common stock, $.01 par value; 50,000,000 shares</w:t>
            </w: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authorized; 22,728,548 and 22,828,159 shares issued.........</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227,000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228,000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Additional paid-in capital.....................................</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95,758,000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96,329,000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Retained earnings..............................................</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13,962,000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18,750,000</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Less treasury stock, 149,285 shares, at cost...................</w:t>
            </w:r>
          </w:p>
        </w:tc>
        <w:tc>
          <w:tcPr>
            <w:tcW w:w="1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(1,961,000)</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(1,961,000)</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stockholders' equity.............................</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107,986,000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113,346,000</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$323,167,000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$338,224,000</w:t>
            </w:r>
          </w:p>
        </w:tc>
      </w:tr>
      <w:tr>
        <w:trPr>
          <w:trHeight w:val="182"/>
        </w:trPr>
        <w:tc>
          <w:tcPr>
            <w:tcW w:w="6240" w:type="dxa"/>
            <w:vAlign w:val="bottom"/>
          </w:tcPr>
          <w:p>
            <w:pPr>
              <w:spacing w:after="0"/>
              <w:rPr>
                <w:sz w:val="15"/>
                <w:szCs w:val="15"/>
                <w:color w:val="auto"/>
              </w:rPr>
            </w:pP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295"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6"/>
          <w:szCs w:val="16"/>
          <w:color w:val="auto"/>
        </w:rPr>
        <w:t>175</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FOR THE THREE MONTHS</w:t>
            </w:r>
          </w:p>
        </w:tc>
      </w:tr>
      <w:tr>
        <w:trPr>
          <w:trHeight w:val="182"/>
        </w:trPr>
        <w:tc>
          <w:tcPr>
            <w:tcW w:w="6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ENDED MARCH 31,</w:t>
            </w:r>
          </w:p>
        </w:tc>
      </w:tr>
      <w:tr>
        <w:trPr>
          <w:trHeight w:val="182"/>
        </w:trPr>
        <w:tc>
          <w:tcPr>
            <w:tcW w:w="6520" w:type="dxa"/>
            <w:vAlign w:val="bottom"/>
          </w:tcPr>
          <w:p>
            <w:pPr>
              <w:spacing w:after="0"/>
              <w:rPr>
                <w:sz w:val="15"/>
                <w:szCs w:val="15"/>
                <w:color w:val="auto"/>
              </w:rPr>
            </w:pPr>
          </w:p>
        </w:tc>
        <w:tc>
          <w:tcPr>
            <w:tcW w:w="25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$38,205,000</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$46,508,000</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21,915,000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25,496,000</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5,321,000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6,087,000</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4,393,000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5,408,000</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31,629,000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36,991,000</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from operations..............................................</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6,576,000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9,517,000</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expense, net of capitalized interest.....................</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(2,457,000)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(3,152,000)</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221,000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1,235,000</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(2,236,000)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(1,917,000)</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before provision for income taxes............................</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4,340,000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7,600,000</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Provision for income taxes..........................................</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1,636,000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2,812,000</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income..........................................................</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2,704,000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4,788,000</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Preferred dividends.................................................</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380,000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available to common shareholders.............................</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$ 2,324,000</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$ 4,788,000</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Earnings per share..................................................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0.21</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common equivalent shares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outstanding.......................................................</w:t>
            </w: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19,408,000</w:t>
            </w:r>
          </w:p>
        </w:tc>
        <w:tc>
          <w:tcPr>
            <w:tcW w:w="2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23,259,000</w:t>
            </w:r>
          </w:p>
        </w:tc>
      </w:tr>
      <w:tr>
        <w:trPr>
          <w:trHeight w:val="182"/>
        </w:trPr>
        <w:tc>
          <w:tcPr>
            <w:tcW w:w="652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19"/>
          </w:cols>
          <w:pgMar w:left="240" w:top="295"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6"/>
          <w:szCs w:val="16"/>
          <w:color w:val="auto"/>
        </w:rPr>
        <w:t>176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CONSOLIDATED STATEMENT OF STOCKHOLDERS' EQUITY</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ADDITIONAL</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COMMON</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PAID-IN</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RETAINED</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TREASURY</w:t>
            </w:r>
          </w:p>
        </w:tc>
      </w:tr>
      <w:tr>
        <w:trPr>
          <w:trHeight w:val="182"/>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STOCK</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CAPITAL</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EARNINGS</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4160" w:type="dxa"/>
            <w:vAlign w:val="bottom"/>
          </w:tcPr>
          <w:p>
            <w:pPr>
              <w:spacing w:after="0"/>
              <w:rPr>
                <w:sz w:val="15"/>
                <w:szCs w:val="15"/>
                <w:color w:val="auto"/>
              </w:rPr>
            </w:pP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Balance, December 31, 1994.................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227,000</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$95,758,000</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$13,962,000</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w w:val="97"/>
              </w:rPr>
              <w:t>$(1,961,000)</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 of stock warrants...............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516,000</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Issuance of common stock to directors....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25,000</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 of stock options................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30,000</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4,788,000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spacing w:after="0"/>
              <w:rPr>
                <w:sz w:val="15"/>
                <w:szCs w:val="15"/>
                <w:color w:val="auto"/>
              </w:rPr>
            </w:pP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Balance, March 31, 1995....................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228,000</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$96,329,000</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$18,750,000</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w w:val="97"/>
              </w:rPr>
              <w:t>$(1,961,000)</w:t>
            </w:r>
          </w:p>
        </w:tc>
      </w:tr>
      <w:tr>
        <w:trPr>
          <w:trHeight w:val="182"/>
        </w:trPr>
        <w:tc>
          <w:tcPr>
            <w:tcW w:w="4160" w:type="dxa"/>
            <w:vAlign w:val="bottom"/>
          </w:tcPr>
          <w:p>
            <w:pPr>
              <w:spacing w:after="0"/>
              <w:rPr>
                <w:sz w:val="15"/>
                <w:szCs w:val="15"/>
                <w:color w:val="auto"/>
              </w:rPr>
            </w:pP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19"/>
          </w:cols>
          <w:pgMar w:left="240" w:top="295"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6"/>
          <w:szCs w:val="16"/>
          <w:color w:val="auto"/>
        </w:rPr>
        <w:t>177</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27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FOR THE THREE MONTHS</w:t>
            </w:r>
          </w:p>
        </w:tc>
      </w:tr>
      <w:tr>
        <w:trPr>
          <w:trHeight w:val="182"/>
        </w:trPr>
        <w:tc>
          <w:tcPr>
            <w:tcW w:w="6340" w:type="dxa"/>
            <w:vAlign w:val="bottom"/>
          </w:tcPr>
          <w:p>
            <w:pPr>
              <w:spacing w:after="0"/>
              <w:rPr>
                <w:sz w:val="15"/>
                <w:szCs w:val="15"/>
                <w:color w:val="auto"/>
              </w:rPr>
            </w:pPr>
          </w:p>
        </w:tc>
        <w:tc>
          <w:tcPr>
            <w:tcW w:w="274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ENDED MARCH 31,</w:t>
            </w:r>
          </w:p>
        </w:tc>
      </w:tr>
      <w:tr>
        <w:trPr>
          <w:trHeight w:val="182"/>
        </w:trPr>
        <w:tc>
          <w:tcPr>
            <w:tcW w:w="6340" w:type="dxa"/>
            <w:vAlign w:val="bottom"/>
          </w:tcPr>
          <w:p>
            <w:pPr>
              <w:spacing w:after="0"/>
              <w:rPr>
                <w:sz w:val="15"/>
                <w:szCs w:val="15"/>
                <w:color w:val="auto"/>
              </w:rPr>
            </w:pPr>
          </w:p>
        </w:tc>
        <w:tc>
          <w:tcPr>
            <w:tcW w:w="27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$ 2,704,000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$ 4,788,000</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 cash provided by</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ind w:left="460"/>
              <w:spacing w:after="0"/>
              <w:rPr>
                <w:sz w:val="20"/>
                <w:szCs w:val="20"/>
                <w:color w:val="auto"/>
              </w:rPr>
            </w:pPr>
            <w:r>
              <w:rPr>
                <w:rFonts w:ascii="Courier New" w:cs="Courier New" w:eastAsia="Courier New" w:hAnsi="Courier New"/>
                <w:sz w:val="16"/>
                <w:szCs w:val="16"/>
                <w:color w:val="auto"/>
              </w:rPr>
              <w:t>operating activities:</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4,450,000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5,408,000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income taxes........................................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gain on disposal of assets...............................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(514,000)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non-cash adjustments...................................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40,000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ind w:left="460"/>
              <w:spacing w:after="0"/>
              <w:rPr>
                <w:sz w:val="20"/>
                <w:szCs w:val="20"/>
                <w:color w:val="auto"/>
              </w:rPr>
            </w:pPr>
            <w:r>
              <w:rPr>
                <w:rFonts w:ascii="Courier New" w:cs="Courier New" w:eastAsia="Courier New" w:hAnsi="Courier New"/>
                <w:sz w:val="16"/>
                <w:szCs w:val="16"/>
                <w:color w:val="auto"/>
              </w:rPr>
              <w:t>Change in assets and liabilities, net of effects of business</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jc w:val="right"/>
              <w:ind w:right="4461"/>
              <w:spacing w:after="0"/>
              <w:rPr>
                <w:sz w:val="20"/>
                <w:szCs w:val="20"/>
                <w:color w:val="auto"/>
              </w:rPr>
            </w:pPr>
            <w:r>
              <w:rPr>
                <w:rFonts w:ascii="Courier New" w:cs="Courier New" w:eastAsia="Courier New" w:hAnsi="Courier New"/>
                <w:sz w:val="16"/>
                <w:szCs w:val="16"/>
                <w:color w:val="auto"/>
              </w:rPr>
              <w:t>acquisitions:</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Increase in accounts receivables...........................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(2,153,000)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(490,000)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Increase in prepaid expenses and other.....................</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(520,000)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(508,000)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Increase in notes and other receivables....................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(868,000)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Increase in other assets...................................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(2,778,000)</w:t>
            </w:r>
          </w:p>
        </w:tc>
      </w:tr>
      <w:tr>
        <w:trPr>
          <w:trHeight w:val="182"/>
        </w:trPr>
        <w:tc>
          <w:tcPr>
            <w:tcW w:w="6340" w:type="dxa"/>
            <w:vAlign w:val="bottom"/>
          </w:tcPr>
          <w:p>
            <w:pPr>
              <w:ind w:left="660"/>
              <w:spacing w:after="0"/>
              <w:rPr>
                <w:sz w:val="20"/>
                <w:szCs w:val="20"/>
                <w:color w:val="auto"/>
              </w:rPr>
            </w:pPr>
            <w:r>
              <w:rPr>
                <w:rFonts w:ascii="Courier New" w:cs="Courier New" w:eastAsia="Courier New" w:hAnsi="Courier New"/>
                <w:sz w:val="16"/>
                <w:szCs w:val="16"/>
                <w:color w:val="auto"/>
              </w:rPr>
              <w:t>Increase (decrease) in accounts payable and accrued</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liabilities...............................................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3,533,000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(5,489,000)</w:t>
            </w:r>
          </w:p>
        </w:tc>
      </w:tr>
      <w:tr>
        <w:trPr>
          <w:trHeight w:val="182"/>
        </w:trPr>
        <w:tc>
          <w:tcPr>
            <w:tcW w:w="6340" w:type="dxa"/>
            <w:vAlign w:val="bottom"/>
          </w:tcPr>
          <w:p>
            <w:pPr>
              <w:ind w:left="660"/>
              <w:spacing w:after="0"/>
              <w:rPr>
                <w:sz w:val="20"/>
                <w:szCs w:val="20"/>
                <w:color w:val="auto"/>
              </w:rPr>
            </w:pPr>
            <w:r>
              <w:rPr>
                <w:rFonts w:ascii="Courier New" w:cs="Courier New" w:eastAsia="Courier New" w:hAnsi="Courier New"/>
                <w:sz w:val="16"/>
                <w:szCs w:val="16"/>
                <w:color w:val="auto"/>
              </w:rPr>
              <w:t>(Decrease) increase in deferred revenues and other</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liabilities...............................................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(1,395,000)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308,000</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provided by operating activities.........................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6,939,000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357,000</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(16,204,000)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Capital expenditures............................................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(8,972,000)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(7,948,000)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Loans and advances to others....................................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(9,726,000)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Collection of loans to others...................................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Proceeds from sale of assets....................................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3,969,000</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used in investing activities.............................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(25,075,000)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(13,614,000)</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Proceeds from issuance of long-term debt........................</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21,121,000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17,000,000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Principal payments on long-term debt............................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(1,172,000)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(3,283,000)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Proceeds from exercise of stock options.........................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300,000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Proceeds from exercise of warrants..............................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517,000</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provided by financing activities.........................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20,249,000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14,264,000</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Increase in cash and cash equivalents.............................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2,113,000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1,007,000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Cash and cash equivalents at beginning of period..................</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3,235,000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6,613,000</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Cash and cash equivalents at end of period........................</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$ 5,348,000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$ 7,620,000</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Cash paid during the period for:</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919,000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$ 2,513,000</w:t>
            </w:r>
          </w:p>
        </w:tc>
      </w:tr>
      <w:tr>
        <w:trPr>
          <w:trHeight w:val="182"/>
        </w:trPr>
        <w:tc>
          <w:tcPr>
            <w:tcW w:w="6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Income taxes.................................................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1,191,000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4,200,000</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295"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6"/>
          <w:szCs w:val="16"/>
          <w:color w:val="auto"/>
        </w:rPr>
        <w:t>178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NOTES TO INTERIM CONSOLIDATED FINANCIAL STATEMENTS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consolidated balance sheets as of March 31, 1995 and December 31, 1994, and the related consolidated statements of income for the three months ended March 31, 1995 and 1994, stockholders' equity for the three months ended March 31, 1995, and cash flows for the three months ended March 31, 1995 and 1994 are unaudited; in the opinion of management, such financial statements reflect all adjustments, consisting only of normal recurring adjustments, necessary to a fair statement of the results of the interim periods presented. The Company has restated the previously issued financial statements for the three months ended March 31, 1994 to reflect the acquisition of Envirofil, Inc. ("Envirofil") consummated May 27, 1994, and accounted for using the pooling of interests method of accounting.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CHAMBERS ACQUISITION:</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December 1994, the Company entered into a Plan and Agreement of Reorganization to acquire Chambers through a merger transaction. The merger is subject to, among other conditions, approval of both companies' boards of directors and shareholders. It is anticipated that the merger will be completed in June 1995 and that it will be accounted for as a pooling of interests. The Agreement provides that on the effective date of the merger the Company will issue one share of its Common Stock for every 2.4 shares of Chambers common stock outstanding. The Company currently has approximately 22,967,000 common shares outstanding and, after the merger, expects to have approximately 50,800,000 common shares outstanding. Following the merger, the Board of Directors will include nominees of both the Company and Chambers. John E. Drury will serve as Chairman and Chief Executive Officer. Donald F. Moorehead, Jr. will serve as Vice Chairman of the Board of Directors and Chief Development Officer. John G. Rangos, Sr. will serve as non-executive Vice-Chairman of the Board of Directors. David Sutherland-Yoest will continue to serve as President and Chief Operating Officer and Earl E. DeFrates will continue as Chief Financial Officer.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LONG-TERM DEBT:</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380" w:type="dxa"/>
            <w:vAlign w:val="bottom"/>
          </w:tcPr>
          <w:p>
            <w:pPr>
              <w:ind w:left="80"/>
              <w:spacing w:after="0"/>
              <w:rPr>
                <w:sz w:val="20"/>
                <w:szCs w:val="20"/>
                <w:color w:val="auto"/>
              </w:rPr>
            </w:pPr>
            <w:r>
              <w:rPr>
                <w:rFonts w:ascii="Courier New" w:cs="Courier New" w:eastAsia="Courier New" w:hAnsi="Courier New"/>
                <w:sz w:val="16"/>
                <w:szCs w:val="16"/>
                <w:color w:val="auto"/>
              </w:rPr>
              <w:t>Long-term debt consists of the following as of:</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909"/>
        </w:trPr>
        <w:tc>
          <w:tcPr>
            <w:tcW w:w="5380" w:type="dxa"/>
            <w:vAlign w:val="bottom"/>
          </w:tcPr>
          <w:p>
            <w:pPr>
              <w:spacing w:after="0"/>
              <w:rPr>
                <w:sz w:val="24"/>
                <w:szCs w:val="24"/>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DECEMBER 31,</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5380" w:type="dxa"/>
            <w:vAlign w:val="bottom"/>
          </w:tcPr>
          <w:p>
            <w:pPr>
              <w:spacing w:after="0"/>
              <w:rPr>
                <w:sz w:val="15"/>
                <w:szCs w:val="15"/>
                <w:color w:val="auto"/>
              </w:rPr>
            </w:pP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53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380" w:type="dxa"/>
            <w:vAlign w:val="bottom"/>
          </w:tcPr>
          <w:p>
            <w:pPr>
              <w:spacing w:after="0"/>
              <w:rPr>
                <w:sz w:val="20"/>
                <w:szCs w:val="20"/>
                <w:color w:val="auto"/>
              </w:rPr>
            </w:pPr>
            <w:r>
              <w:rPr>
                <w:rFonts w:ascii="Courier New" w:cs="Courier New" w:eastAsia="Courier New" w:hAnsi="Courier New"/>
                <w:sz w:val="16"/>
                <w:szCs w:val="16"/>
                <w:color w:val="auto"/>
                <w:w w:val="99"/>
              </w:rPr>
              <w:t>Revolving credit facility...............................</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$98,000,000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$115,000,000</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w w:val="99"/>
              </w:rPr>
              <w:t>8 1/2% Convertible Subordinated Debentures..............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49,000,000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49,000,000</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8,733,000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5,450,000</w:t>
            </w:r>
          </w:p>
        </w:tc>
      </w:tr>
      <w:tr>
        <w:trPr>
          <w:trHeight w:val="182"/>
        </w:trPr>
        <w:tc>
          <w:tcPr>
            <w:tcW w:w="53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155,733,000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169,450,000</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w w:val="99"/>
              </w:rPr>
              <w:t>Less current maturities.................................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1,830,000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1,735,000</w:t>
            </w:r>
          </w:p>
        </w:tc>
      </w:tr>
      <w:tr>
        <w:trPr>
          <w:trHeight w:val="182"/>
        </w:trPr>
        <w:tc>
          <w:tcPr>
            <w:tcW w:w="53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$153,903,000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$167,715,000</w:t>
            </w:r>
          </w:p>
        </w:tc>
      </w:tr>
      <w:tr>
        <w:trPr>
          <w:trHeight w:val="182"/>
        </w:trPr>
        <w:tc>
          <w:tcPr>
            <w:tcW w:w="53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November 28, 1994, the Company entered into a new revolving credit facility providing for borrowings of up to $150,000,000. At the Company's option, the interest rate on any loan under the revolving credit facility will be based on an adjusted prime rate or Eurodollar rate, as defined in the agreement. The facility matures on November 30, 1997. The revolving credit facility, among other conditions, requires the payment of a 3/8 of 1% commitment fee on the unused balance, payable in arrears, and provides for certain restrictions on the ability of the Company, subject to certain limitations, to incur borrowings, sell assets, or pay cash dividends. The facility also requires the maintenance of certain financial ratios, minimum net worth requirements and profitable operations. The facility is collateralized by all the stock of the Company's subsidiaries, whether now owned or hereafter acquired.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CHANGE IN ACCOUNTING ESTIMATE:</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of January 1, 1995, the Company changed the useful life of the excess of cost over net assets of acquired businesses from 25 years to 40 years to more appropriately reflect the estimated periods during which the benefit of the assets will be realized. This change in accounting estimate had the effect of reducing amortization expense by approximately $360,000 for the three months ended March 31, 1995.</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295" w:right="1440" w:bottom="883"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6"/>
          <w:szCs w:val="16"/>
          <w:color w:val="auto"/>
        </w:rPr>
        <w:t>179</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REPORT OF INDEPENDENT AUDITORS</w:t>
      </w:r>
    </w:p>
    <w:p>
      <w:pPr>
        <w:spacing w:after="0" w:line="186"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TO THE BOARD OF DIRECTORS AND STOCKHOLDERS OF CHAMBERS DEVELOPMENT COMPANY, INC.:</w:t>
      </w:r>
    </w:p>
    <w:p>
      <w:pPr>
        <w:spacing w:after="0" w:line="37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We have audited the accompanying consolidated balance sheets of Chambers Development Company, Inc. ("Chambers") and subsidiaries as of December 31, 1994 and 1993, and the related consolidated statements of operations, stockholders' equity and cash flows for each of the three years in the period ended December 31, 1994. These financial statements are the responsibility of Chambers' management. Our responsibility is to express an opinion on these financial statements based on our audits.</w:t>
      </w:r>
    </w:p>
    <w:p>
      <w:pPr>
        <w:spacing w:after="0" w:line="373"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Chambers Development Company, Inc. and subsidiaries as of December 31, 1994 and 1993, and the results of their operations and their cash flows for each of the three years in the period ended December 31, 1994 in conformity with generally accepted accounting principles.</w:t>
      </w:r>
    </w:p>
    <w:p>
      <w:pPr>
        <w:spacing w:after="0" w:line="174"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As discussed in Note B, Chambers changed its method of accounting for contributions effective January 1, 1994.</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1995</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295"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6"/>
          <w:szCs w:val="16"/>
          <w:color w:val="auto"/>
        </w:rPr>
        <w:t>180</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15"/>
                <w:szCs w:val="15"/>
                <w:color w:val="auto"/>
              </w:rPr>
            </w:pPr>
          </w:p>
        </w:tc>
        <w:tc>
          <w:tcPr>
            <w:tcW w:w="7180" w:type="dxa"/>
            <w:vAlign w:val="bottom"/>
            <w:gridSpan w:val="2"/>
          </w:tcPr>
          <w:p>
            <w:pPr>
              <w:jc w:val="right"/>
              <w:ind w:right="2581"/>
              <w:spacing w:after="0"/>
              <w:rPr>
                <w:sz w:val="20"/>
                <w:szCs w:val="20"/>
                <w:color w:val="auto"/>
              </w:rPr>
            </w:pPr>
            <w:r>
              <w:rPr>
                <w:rFonts w:ascii="Courier New" w:cs="Courier New" w:eastAsia="Courier New" w:hAnsi="Courier New"/>
                <w:sz w:val="16"/>
                <w:szCs w:val="16"/>
                <w:color w:val="auto"/>
                <w:w w:val="97"/>
              </w:rPr>
              <w:t>(DOLLARS IN THOUSANDS, EXCEPT PER SHARE AMOUNTS)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28"/>
        </w:trPr>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3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30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40" w:type="dxa"/>
            <w:vAlign w:val="bottom"/>
          </w:tcPr>
          <w:p>
            <w:pPr>
              <w:jc w:val="right"/>
              <w:ind w:right="2861"/>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44,553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23,548</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Accounts receivable</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Trade, less allowances of $1,062 and $1,383, respectively..............................</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28,573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28,961</w:t>
            </w:r>
          </w:p>
        </w:tc>
      </w:tr>
      <w:tr>
        <w:trPr>
          <w:trHeight w:val="182"/>
        </w:trPr>
        <w:tc>
          <w:tcPr>
            <w:tcW w:w="2460" w:type="dxa"/>
            <w:vAlign w:val="bottom"/>
            <w:gridSpan w:val="2"/>
          </w:tcPr>
          <w:p>
            <w:pPr>
              <w:ind w:left="380"/>
              <w:spacing w:after="0"/>
              <w:rPr>
                <w:sz w:val="20"/>
                <w:szCs w:val="20"/>
                <w:color w:val="auto"/>
              </w:rPr>
            </w:pPr>
            <w:r>
              <w:rPr>
                <w:rFonts w:ascii="Courier New" w:cs="Courier New" w:eastAsia="Courier New" w:hAnsi="Courier New"/>
                <w:sz w:val="5"/>
                <w:szCs w:val="5"/>
                <w:color w:val="auto"/>
                <w:w w:val="78"/>
              </w:rPr>
              <w:t>Other..................................................................................</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2,977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13,673</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Inventories and prepaid expenses.........................................................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4,751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5,281</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Divestiture proceeds and other funds held in escrow......................................</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11,287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2,210</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Net assets held for sale</w:t>
            </w:r>
          </w:p>
        </w:tc>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11,030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9,298</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Other current assets.....................................................................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5,334</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1,795</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Total current assets.......................................................................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108,505</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84,766</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Property and Equipment</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Land, primarily landfill sites...........................................................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312,886</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345,900</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Vehicles and equipment...................................................................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107,183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108,133</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0"/>
              </w:rPr>
              <w:t>Other....................................................................................</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23,290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24,759</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Construction in progress</w:t>
            </w:r>
          </w:p>
        </w:tc>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42,382</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34,391</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485,741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513,183</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128,730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158,755</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Property and equipment -- net..............................................................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357,011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354,428</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Funds held for escrow requirements and construction......................................</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31,954</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23,506</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Intangible assets........................................................................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21,995</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15,811</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0"/>
              </w:rPr>
              <w:t>Other....................................................................................</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14,157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9,987</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Total other assets.........................................................................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68,106</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49,304</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$ 533,622</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$ 488,498</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4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LIABILITIES AND STOCKHOLDERS' EQUITY</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Current maturities of long-term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29,748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46,465</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Trade accounts payable...................................................................</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9,344</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10,889</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Accrued liabilities......................................................................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30,709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34,751</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Deferred revenues........................................................................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8,637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4,881</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Total current liabilities..................................................................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78,438</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96,986</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Long-term Obligations, Less Current Maturities.............................................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261,803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211,016</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Accrued Shareholder Litigation Settlement..................................................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75,300</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Other Noncurrent Liabilities...............................................................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39,208</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41,264</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Commitments and Contingencies..............................................................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Preferred Stock -- authorized 10,000,000 shares; no par value; no shares issued..........</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Class A Common Stock --</w:t>
            </w:r>
          </w:p>
        </w:tc>
        <w:tc>
          <w:tcPr>
            <w:tcW w:w="6240" w:type="dxa"/>
            <w:vAlign w:val="bottom"/>
          </w:tcPr>
          <w:p>
            <w:pPr>
              <w:spacing w:after="0"/>
              <w:rPr>
                <w:sz w:val="20"/>
                <w:szCs w:val="20"/>
                <w:color w:val="auto"/>
              </w:rPr>
            </w:pPr>
            <w:r>
              <w:rPr>
                <w:rFonts w:ascii="Courier New" w:cs="Courier New" w:eastAsia="Courier New" w:hAnsi="Courier New"/>
                <w:sz w:val="16"/>
                <w:szCs w:val="16"/>
                <w:color w:val="auto"/>
              </w:rPr>
              <w:t>authorized 100,000,000 shares; par value $.50 per share; issued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50,742,377 and 50,829,559 shares, respectively.........................................</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25,371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25,415</w:t>
            </w:r>
          </w:p>
        </w:tc>
      </w:tr>
      <w:tr>
        <w:trPr>
          <w:trHeight w:val="182"/>
        </w:trPr>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w w:val="91"/>
              </w:rPr>
              <w:t>Common Stock --</w:t>
            </w:r>
          </w:p>
        </w:tc>
        <w:tc>
          <w:tcPr>
            <w:tcW w:w="71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authorized 50,000,000 shares; par value $.50 per share; convertible into</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Class A Common Stock; issued 16,415,750 and 16,329,168 shares, respectively............</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8,208</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8,165</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Additional paid-in capital...............................................................</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395,119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395,121</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Accumulated deficit......................................................................</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(270,375)</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(360,619)</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158,323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68,082</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Treasury stock, at cost</w:t>
            </w:r>
          </w:p>
        </w:tc>
        <w:tc>
          <w:tcPr>
            <w:tcW w:w="6240" w:type="dxa"/>
            <w:vAlign w:val="bottom"/>
          </w:tcPr>
          <w:p>
            <w:pPr>
              <w:spacing w:after="0"/>
              <w:rPr>
                <w:sz w:val="20"/>
                <w:szCs w:val="20"/>
                <w:color w:val="auto"/>
              </w:rPr>
            </w:pPr>
            <w:r>
              <w:rPr>
                <w:rFonts w:ascii="Courier New" w:cs="Courier New" w:eastAsia="Courier New" w:hAnsi="Courier New"/>
                <w:sz w:val="16"/>
                <w:szCs w:val="16"/>
                <w:color w:val="auto"/>
              </w:rPr>
              <w:t>-- Class A Common Stock, 400 shares; Common Stock, 369,200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2460" w:type="dxa"/>
            <w:vAlign w:val="bottom"/>
            <w:gridSpan w:val="2"/>
          </w:tcPr>
          <w:p>
            <w:pPr>
              <w:ind w:left="380"/>
              <w:spacing w:after="0"/>
              <w:rPr>
                <w:sz w:val="20"/>
                <w:szCs w:val="20"/>
                <w:color w:val="auto"/>
              </w:rPr>
            </w:pPr>
            <w:r>
              <w:rPr>
                <w:rFonts w:ascii="Courier New" w:cs="Courier New" w:eastAsia="Courier New" w:hAnsi="Courier New"/>
                <w:sz w:val="5"/>
                <w:szCs w:val="5"/>
                <w:color w:val="auto"/>
                <w:w w:val="78"/>
              </w:rPr>
              <w:t>shares.................................................................................</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(4,150)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(4,150)</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w w:val="97"/>
              </w:rPr>
              <w:t>Total stockholders' equity</w:t>
            </w:r>
          </w:p>
        </w:tc>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154,173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63,932</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$ 533,622</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$ 488,498</w:t>
            </w:r>
          </w:p>
        </w:tc>
      </w:tr>
      <w:tr>
        <w:trPr>
          <w:trHeight w:val="182"/>
        </w:trPr>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1060"/>
          </w:cols>
          <w:pgMar w:left="240" w:top="295" w:right="599" w:bottom="883"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6"/>
          <w:szCs w:val="16"/>
          <w:color w:val="auto"/>
        </w:rPr>
        <w:t>181</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(DOLLARS IN THOUSANDS, EXCEPT PER SHARE AMOUNTS)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5"/>
          </w:tcPr>
          <w:p>
            <w:pPr>
              <w:jc w:val="right"/>
              <w:ind w:right="50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2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2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Revenues.....................................................</w:t>
            </w: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$294,310</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$288,481</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$257,989</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8"/>
              </w:rPr>
              <w:t>206,761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194,355</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179,542</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37,853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23,210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24,796</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38,363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41,764</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37,568</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44,291</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(11,851)</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8,863</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(32,958)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41,003</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7,220</w:t>
            </w:r>
          </w:p>
        </w:tc>
      </w:tr>
      <w:tr>
        <w:trPr>
          <w:trHeight w:val="182"/>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406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7"/>
              </w:rPr>
              <w:t>shareholder litigation settlement and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litigation related costs..........................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(10,853)</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(5,500)</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(79,400)</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income, primarily interest...........................</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6,509</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3,563</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1,848</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(31,628)</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(29,163)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(23,843)</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Before Income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Taxes......................................................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(68,930)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9,903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(94,175)</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Tax Provision (Benefit)...............................</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1,325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1,600</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(3,931)</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(70,255)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8,303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(90,244)</w:t>
            </w:r>
          </w:p>
        </w:tc>
      </w:tr>
      <w:tr>
        <w:trPr>
          <w:trHeight w:val="182"/>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Discontinued Operations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Loss from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Gain on sale of assets.....................................</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939</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Net Income (Loss)............................................</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$(70,723)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8,303</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$(90,244)</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Per Common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Discontinued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w w:val="98"/>
              </w:rPr>
              <w:t>Net Income (Loss)</w:t>
            </w:r>
          </w:p>
        </w:tc>
        <w:tc>
          <w:tcPr>
            <w:tcW w:w="40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295"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6"/>
          <w:szCs w:val="16"/>
          <w:color w:val="auto"/>
        </w:rPr>
        <w:t>182</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rPr>
              <w:t>THREE</w:t>
            </w:r>
          </w:p>
        </w:tc>
        <w:tc>
          <w:tcPr>
            <w:tcW w:w="2940" w:type="dxa"/>
            <w:vAlign w:val="bottom"/>
            <w:gridSpan w:val="3"/>
          </w:tcPr>
          <w:p>
            <w:pPr>
              <w:spacing w:after="0"/>
              <w:rPr>
                <w:sz w:val="20"/>
                <w:szCs w:val="20"/>
                <w:color w:val="auto"/>
              </w:rPr>
            </w:pPr>
            <w:r>
              <w:rPr>
                <w:rFonts w:ascii="Courier New" w:cs="Courier New" w:eastAsia="Courier New" w:hAnsi="Courier New"/>
                <w:sz w:val="16"/>
                <w:szCs w:val="16"/>
                <w:color w:val="auto"/>
              </w:rPr>
              <w:t>YEARS ENDED DECEMBER 31, 1994</w:t>
            </w:r>
          </w:p>
        </w:tc>
        <w:tc>
          <w:tcPr>
            <w:tcW w:w="1040" w:type="dxa"/>
            <w:vAlign w:val="bottom"/>
          </w:tcPr>
          <w:p>
            <w:pPr>
              <w:spacing w:after="0"/>
              <w:rPr>
                <w:sz w:val="15"/>
                <w:szCs w:val="15"/>
                <w:color w:val="auto"/>
              </w:rPr>
            </w:pP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8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CLASS A</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ADDITIONAL</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COMMON</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COMMON</w:t>
            </w:r>
          </w:p>
        </w:tc>
        <w:tc>
          <w:tcPr>
            <w:tcW w:w="24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PAID-IN</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ACCUMULATED</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TREASURY</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STOCK</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24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CAPITAL</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DEFICIT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Balance at</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January 1, 1992................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$25,358</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$8,217</w:t>
            </w:r>
          </w:p>
        </w:tc>
        <w:tc>
          <w:tcPr>
            <w:tcW w:w="240" w:type="dxa"/>
            <w:vAlign w:val="bottom"/>
          </w:tcPr>
          <w:p>
            <w:pPr>
              <w:spacing w:after="0"/>
              <w:rPr>
                <w:sz w:val="24"/>
                <w:szCs w:val="24"/>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$ 394,986</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$(207,955)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(4,150)</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Exchange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Common Stock................</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stock options...............</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(70,723)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Balance at</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December 31, 1992..............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25,366</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8,213</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395,119</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(278,678)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(4,150)</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Exchange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Common Stock................</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8,303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Balance at</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December 31, 1993..............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25,371</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8,208</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395,119</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(270,375)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(4,150)</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Exchange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Common Stock................</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stock options...............</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(90,244)</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Balance at</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December 31, 1994..............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$25,415</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$8,165</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$ 395,121</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$(360,619)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(4,150)</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295"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6"/>
          <w:szCs w:val="16"/>
          <w:color w:val="auto"/>
        </w:rPr>
        <w:t>183</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(DOLLARS IN THOUSANDS)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28"/>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5580" w:type="dxa"/>
            <w:vAlign w:val="bottom"/>
          </w:tcPr>
          <w:p>
            <w:pPr>
              <w:spacing w:after="0"/>
              <w:rPr>
                <w:sz w:val="15"/>
                <w:szCs w:val="15"/>
                <w:color w:val="auto"/>
              </w:rPr>
            </w:pPr>
          </w:p>
        </w:tc>
        <w:tc>
          <w:tcPr>
            <w:tcW w:w="35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1992</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1993</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(70,255)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8,303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$(90,244)</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Adjustments to reconcile to net cash provided by</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ind w:left="180"/>
              <w:spacing w:after="0"/>
              <w:rPr>
                <w:sz w:val="20"/>
                <w:szCs w:val="20"/>
                <w:color w:val="auto"/>
              </w:rPr>
            </w:pPr>
            <w:r>
              <w:rPr>
                <w:rFonts w:ascii="Courier New" w:cs="Courier New" w:eastAsia="Courier New" w:hAnsi="Courier New"/>
                <w:sz w:val="16"/>
                <w:szCs w:val="16"/>
                <w:color w:val="auto"/>
              </w:rPr>
              <w:t>continuing operations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38,363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41,764</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37,568</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42,112</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(7,618)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88,580</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income taxes...................................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12,000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Provision for doubtful accounts.........................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1,447</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earned on escrowed funds.......................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(2,844)</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(878)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(415)</w:t>
            </w:r>
          </w:p>
        </w:tc>
      </w:tr>
      <w:tr>
        <w:trPr>
          <w:trHeight w:val="182"/>
        </w:trPr>
        <w:tc>
          <w:tcPr>
            <w:tcW w:w="5580" w:type="dxa"/>
            <w:vAlign w:val="bottom"/>
          </w:tcPr>
          <w:p>
            <w:pPr>
              <w:ind w:left="180"/>
              <w:spacing w:after="0"/>
              <w:rPr>
                <w:sz w:val="20"/>
                <w:szCs w:val="20"/>
                <w:color w:val="auto"/>
              </w:rPr>
            </w:pPr>
            <w:r>
              <w:rPr>
                <w:rFonts w:ascii="Courier New" w:cs="Courier New" w:eastAsia="Courier New" w:hAnsi="Courier New"/>
                <w:sz w:val="16"/>
                <w:szCs w:val="16"/>
                <w:color w:val="auto"/>
              </w:rPr>
              <w:t>Change in assets and liabilities, net of effects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3901"/>
              <w:spacing w:after="0"/>
              <w:rPr>
                <w:sz w:val="20"/>
                <w:szCs w:val="20"/>
                <w:color w:val="auto"/>
              </w:rPr>
            </w:pPr>
            <w:r>
              <w:rPr>
                <w:rFonts w:ascii="Courier New" w:cs="Courier New" w:eastAsia="Courier New" w:hAnsi="Courier New"/>
                <w:sz w:val="16"/>
                <w:szCs w:val="16"/>
                <w:color w:val="auto"/>
              </w:rPr>
              <w:t>divestitures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749</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(3,085)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(11,629)</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Refundable taxes.....................................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12,495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16,049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(659)</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 and accrued liabilities.............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(13,608)</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(20,330)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1,622</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revenue.....................................</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(9,018)</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(7,169)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(3,756)</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assets and liabilities.........................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4,008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9,476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8,285</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3,578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1,349</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provided by continuing operations................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18,034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38,017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32,148</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Net cash used in operating activities of discontinued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(5,885)</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(2,148)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provided by operating activities.................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12,149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35,869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32,148</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Capital expenditures......................................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(111,869)</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(38,085)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(39,802)</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Acquisition of businesses.................................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(20,916)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Proceeds from disposition of assets.......................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12,575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48,595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3,249</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Purchases of marketable securities........................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(18,491)</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Maturities and sales of marketable securities.............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68,840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Decrease (increase) in funds held in escrow...............</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32,933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(404)</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17,940</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1,150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1,399</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Proceeds from sale of discontinued operations.............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22,930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4,500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Other net investing activities of discontinued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(used in) provided by investing activities.......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(16,106)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14,003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(17,214)</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Short-term note payments..................................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Principal payments on long-term obligations...............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(55,388)</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(60,669)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(35,312)</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Proceeds from issuance of long-term obligations...........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21,100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Funds (used for) provided by replacement of letters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credit..................................................</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(10,243)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10,243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(1,626)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(627)</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financing activities of discontinued operations.......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used in financing activities.....................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(56,663)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(51,218)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(35,939)</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decrease in cash and cash equivalents.................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(60,620)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(1,346)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(21,005)</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Cash and cash equivalents at beginning of year............</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106,519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45,899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44,553</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45,899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$ 44,553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$ 23,548</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295"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6"/>
          <w:szCs w:val="16"/>
          <w:color w:val="auto"/>
        </w:rPr>
        <w:t>184</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SUMMARY OF SIGNIFICANT ACCOUNTING POLICIES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Principles of Consolidation</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consolidated financial statements include the accounts of Chambers Development Company, Inc. and its subsidiaries ("Chambers"), after appropriate elimination of intercompany accounts and transactions.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Chambers recognizes revenues as services are provided.</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and Cash Equivalents</w:t>
      </w:r>
    </w:p>
    <w:p>
      <w:pPr>
        <w:spacing w:after="0" w:line="186" w:lineRule="exact"/>
        <w:rPr>
          <w:sz w:val="20"/>
          <w:szCs w:val="20"/>
          <w:color w:val="auto"/>
        </w:rPr>
      </w:pPr>
    </w:p>
    <w:p>
      <w:pPr>
        <w:jc w:val="both"/>
        <w:ind w:right="2939" w:firstLine="473"/>
        <w:spacing w:after="0" w:line="238" w:lineRule="auto"/>
        <w:rPr>
          <w:sz w:val="20"/>
          <w:szCs w:val="20"/>
          <w:color w:val="auto"/>
        </w:rPr>
      </w:pPr>
      <w:r>
        <w:rPr>
          <w:rFonts w:ascii="Courier New" w:cs="Courier New" w:eastAsia="Courier New" w:hAnsi="Courier New"/>
          <w:sz w:val="16"/>
          <w:szCs w:val="16"/>
          <w:color w:val="auto"/>
        </w:rPr>
        <w:t>Cash and cash equivalents include cash on hand and on deposit and highly liquid debt instruments purchased with original maturities of three months or less.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Swap Agreements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Chambers has used interest rate swap agreements, the last of which expired in November 1993, to minimize the impact of rate fluctuations on floating interest rate long-term borrowings. The differential paid or received on interest rate swap agreements is recognized as an adjustment to interest expense.</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Funds Held for Escrow Requirements and Construction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Funds held for escrow requirements and construction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Chambers considers its landfill closure, post-closure and construction escrow investments to be held to maturity. The aggregate fair value of these investments approximates their amortized cost. Substantially all of these investments mature within one year. Chambers' insurance escrow funds are invested in pooled investment accounts that hold debt and equity securities and are considered to be available for sale. The aggregate cost and market value of those pooled accounts was approximately $11,043,000 and $11,076,000, respectively, at December 31, 1994.</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Inventories</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Inventories, consisting of parts and supplies, are stated at the lower of first-in, first-out cost or market.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and Equipment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Landfill sites, including land and related landfill preparation and improvement costs, are stated at cost. Such costs, which include construction, engineering, permitting, interest and other costs, are amortized as airspace is consumed. Also included in the cost of landfill sites are acquisition, engineering and other costs related to the permitting and development of planned landfills and proposed expansions of existing landfills, which costs management of Chambers believes are recoverable.</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Other items of property and equipment are stated at cost. Depreciation of such property and equipment is provided over the estimated useful lives of the assets, on the straight-line method, as follows: buildings -- 7 to 25 years; vehicles and equipment -- 3 to 20 years; and office furniture and fixtures -- 5 years.</w:t>
      </w:r>
    </w:p>
    <w:p>
      <w:pPr>
        <w:spacing w:after="0" w:line="189"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Depreciation and amortization of property and equipment was $32,088,000, $35,639,000 and $32,261,000 for the years ended December 31, 1992, 1993 and 1994, respectively.</w:t>
      </w:r>
    </w:p>
    <w:p>
      <w:pPr>
        <w:spacing w:after="0" w:line="188"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Items of an ordinary maintenance or repair nature are charged directly to operations, whereas betterments and major expenditures that extend the life of the asset are capitalized.</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295"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6"/>
          <w:szCs w:val="16"/>
          <w:color w:val="auto"/>
        </w:rPr>
        <w:t>185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Intangible Assets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Intangible assets consist principally of the excess of cost over fair value of the net assets of acquired businesses, which is being amortized on a straight-line basis over 20 years, and covenants not to compete and customer contracts and routes of acquired businesses, which are being amortized on a straight-line basis over periods of up to 10 years. Accumulated amortization of intangible assets was $15,631,000 and $18,490,000 at December 31, 1993 and 1994, respectively, excluding $1,279,000 related to assets held for sale at December 31, 1993. Chambers assesses whether its goodwill and other intangible assets are impaired based on the ability of the operation to which they relate to generate cash flows in amounts adequate to cover the amortization of such assets. If an impairment is determined, the amount of such impairment is calculated based on the estimated fair value of the asset.</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Environmental Costs and Liabilities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Environmental costs and liabilities primarily include accruals for closure and post-closure monitoring and site maintenance costs associated with Chambers' landfills. The accruals for these costs are recorded as airspace at the respective landfill site is consumed. Chambers' engineers estimate landfill site closure and post-closure costs and such estimates are reviewed on a periodic basis; accordingly, the related accrual rates are subject to periodic revision and adjustment.</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Capitalized Interest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During the years ended December 31, 1992, 1993 and 1994, the interest costs of continuing operations were $38,349,000, $32,613,000 and $26,809,000, respectively, of which $6,721,000, $3,450,000 and $2,966,000 were capitalized with respect to landfills and facilities under construction.</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Deferred income taxes are recorded based upon temporary differences between the financial statement and tax bases of assets and liabilities and net operating loss carryforwards available for income tax purposes.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Effective January 1, 1993, Chambers adopted Statement of Financial Accounting Standards No. 109, "Accounting for Income Taxes," using an asset and liability approach. If it is more likely than not that some portion or all of a deferred tax asset will not be realized, a valuation allowance is recognized. There was no effect on Chambers' 1993 financial statements upon adoption of the new standard using the cumulative effect method.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(Loss) per Common Share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Income (loss) per common share is computed using the weighted average number of shares outstanding during the year. Common stock equivalents, which consist of stock options outstanding, had an antidilutive effect on income (loss) per common share for each of the years presented and, accordingly, have not been included in the computation. The weighted average number of common shares outstanding was 66,788,000 for each of the years ended December 31, 1992 and 1993 and 66,789,000 for the year ended December 31, 1994.</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Reclassifications</w:t>
      </w:r>
    </w:p>
    <w:p>
      <w:pPr>
        <w:spacing w:after="0" w:line="186" w:lineRule="exact"/>
        <w:rPr>
          <w:sz w:val="20"/>
          <w:szCs w:val="20"/>
          <w:color w:val="auto"/>
        </w:rPr>
      </w:pPr>
    </w:p>
    <w:p>
      <w:pPr>
        <w:ind w:right="3499" w:firstLine="473"/>
        <w:spacing w:after="0" w:line="237" w:lineRule="auto"/>
        <w:rPr>
          <w:sz w:val="20"/>
          <w:szCs w:val="20"/>
          <w:color w:val="auto"/>
        </w:rPr>
      </w:pPr>
      <w:r>
        <w:rPr>
          <w:rFonts w:ascii="Courier New" w:cs="Courier New" w:eastAsia="Courier New" w:hAnsi="Courier New"/>
          <w:sz w:val="16"/>
          <w:szCs w:val="16"/>
          <w:color w:val="auto"/>
        </w:rPr>
        <w:t>Certain reclassifications have been made to prior years' financial statements to conform to 1994 classifications.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295"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6"/>
          <w:szCs w:val="16"/>
          <w:color w:val="auto"/>
        </w:rPr>
        <w:t>186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CHANGE IN ACCOUNTING PRINCIPLE</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the fourth quarter of 1994, Chambers elected early adoption of Statement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Financial Accounting Standards No. 116, "Accounting for Contributions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and Contributions Made." The new standard requires, among other things,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recognition of the fair value of contributions made, including unconditional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promises to give, in the period in which the contribution is made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unconditional promise is given. Prior to adoption, Chambers had recognized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contributions made or unconditional promises to give in the period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 was paid. On December 29, 1994, Chambers made unconditional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promises to contribute $3,000,000 to certain charitable organizations, payable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annual installments of $500,000 over the next six years; accordingly,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has recorded a charge to general and administrative expense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$2,269,000, representing the present value of these obligations. There was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 effect as of January 1, 1994 of adopting the new standard.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PROPOSED MERGER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has entered into an Amended and Restated Agreement and Plan of Merger dated as of November 28, 1994 (the "Merger Agreement"), pursuant to which Chambers would become a wholly-owned subsidiary of USA Waste Services, Inc. ("USA Waste") through the merger of an existing wholly-owned subsidiary of USA Waste with and into Chambers (the "Merger"). The Merger Agreement provides, among other things, for each outstanding share of Chambers' Common Stock and Class A Common Stock to be converted into .41667 of a share of USA Waste's Common Stock. Based upon the 15,699,768 shares of Chambers' Common Stock and the 51,089,359 shares of Class A Common Stock outstanding as of March 1, 1995, Chambers' stockholders will collectively be issued approximately 27,829,000 shares of USA Waste's Common Stock, representing approximately 55.2% of the expected total issued and outstanding shares of USA Waste's Common Stock after the Merger.</w:t>
      </w:r>
    </w:p>
    <w:p>
      <w:pPr>
        <w:spacing w:after="0" w:line="190"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The Merger is subject to a number of conditions, including obtaining the approval of the stockholders of Chambers and of USA Waste, final settlement of the shareholder litigation discussed in Note D and certain other proceedings involving Chambers, and obtaining any necessary regulatory waivers and approvals. It is anticipated that the Merger will be completed by June 30,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SETTLEMENT OF SHAREHOLDER LITIGATION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former auditors, and the underwriters of its securities (the "Federal Class Action"). The significant part of these actions, as amended and consolidated on November 4, 1992, under the caption In Re: Chambers Development Company,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 of a change in accounting method relating to capitalization of certain costs and expenses through its October 20, 1992 announcement of a $362,000,000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 92-1081, also asserts derivative claims on behalf of Chambers (which is named as a nominal defendant) for breach of fiduciary duty against certain of its officers and directors and negligence against its former auditors (the "Federal Derivative Action"). Derivative claims were also filed in state courts on behalf of Chambers (which was named as a nominal defendant) for breach of fiduciary duty against certain of its officers and directors and for negligence against its former auditors (the "Related Actions").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295"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6"/>
          <w:szCs w:val="16"/>
          <w:color w:val="auto"/>
        </w:rPr>
        <w:t>187</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 described above. Implementation of the Settlement Agreements is conditioned upon the dismissal, with prejudice, of the Related Actions referred to above. On March 22, 1995, the court granted preliminary approval of the settlements and distribution of notices to Chambers' stockholders and the plaintiff class members regarding the settlements. The hearing upon the fairness, reasonableness and adequacy of the proposed settlements has been scheduled for May 19, 1995.</w:t>
      </w:r>
    </w:p>
    <w:p>
      <w:pPr>
        <w:spacing w:after="0" w:line="19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Settlement Agreements provide that the sum of $10,000,000 will be paid by Chambers' directors and officers liability insurance carrier and the sum of $70,000,000 will be paid by Chambers in two installments following final court approval of the settlements. The first installment of $25,000,000 is to be paid within thirty days after the settlement effective date (the date upon which the court has finally approved the settlements of the class actions and derivative actions described above, and all times for appeal have expired or all appeals have been finally rejected) and the second installment of $45,000,000 (the "Second Installment") is to be paid one year after the settlement effective date subject to possible earlier payments based on the Merger and subsequent refinancing. If the Merger or a comparable transaction is consummated, the total settlement payment will be adjusted by a base increase of $5,000,000, which will be adjusted upward or downward by an amount consisting of $16,000 for each penny above or below $4.50 of merger consideration received in the transaction by Chambers' stockholders per share of Chambers' Common Stock and Class A Common Stock, together with interest from the settlement effective date to the payment date (the base increase, together with any adjustment thereto, collectively referred to as the "Adjustment"). Based on the market value of USA Waste Common Stock on March 27, 1995, the Adjustment would be $5,800,000. Any amount by which the sum of the Second Installment and the Adjustment exceeds $50,600,000 will be paid by John G. Rangos, Sr., Chairman and Chief Executive Officer of Chambers. John G. Rangos, Sr. has also agreed to guarantee Chambers' obligations to make certain payments in the Class Action Settlement in an amount not to exceed $15,000,000.</w:t>
      </w:r>
    </w:p>
    <w:p>
      <w:pPr>
        <w:spacing w:after="0" w:line="36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Synergy Associates has agreed, under the Derivative Action Settlement Agreement, to contribute to Chambers the headquarters property presently leased by Chambers from Synergy Associates, subject to assumption or discharge by Chambers of an existing mortgage.</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Settlement Agreements will be subject to certain conditions, including court approval, and to the refinancing of Chambers' principal borrowings. The current lending agreements of Chambers restrict Chambers from making the settlement payments without the consent of the lending groups. The terms of the Class Action Settlement Agreement also include a right to terminate the settlements based on appeals or opt-outs with respect to the Federal Class Action.</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After Chambers entered into the Settlement Agreements, the class and derivative plaintiffs entered into settlements with Chambers' former independent auditors. Chambers then entered into an agreement with the class plaintiffs to settle their claims against a group of underwriters of certain of Chambers' securities offerings. Chambers agreed to pay $300,000 to the class plaintiffs to resolve these claims for which the underwriters sought indemnity from Chambers.</w:t>
      </w:r>
    </w:p>
    <w:p>
      <w:pPr>
        <w:spacing w:after="0" w:line="17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a result of the foregoing, Chambers accrued $85,300,000 for the cost of the settlements and $4,100,000 for other litigation related costs in 1994. Of that total, $79,400,000 was recorded as a charge to unusual items as a component of other income (expense) and $10,000,000 to be paid from the proceeds of Chambers' directors and officers liability insurance policy was recorded as a current asset and is included in accounts receivable-other at December 31, 1994. At December 31, 1994, $75,300,000 of the amount accrued</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10219"/>
          </w:cols>
          <w:pgMar w:left="240" w:top="295"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6"/>
          <w:szCs w:val="16"/>
          <w:color w:val="auto"/>
        </w:rPr>
        <w:t>188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for settlement payments has been classified as a noncurrent liability based on the expectation that such amount would be funded by long-term financing in connection with the Merger. The $10,000,000 of settlement payments to be funded by the proceeds of Chambers' directors and officers liability insurance policy and the $4,100,000 of other litigation related costs are included in current liabilities at December 31, 1994.</w:t>
      </w:r>
    </w:p>
    <w:p>
      <w:pPr>
        <w:spacing w:after="0" w:line="19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While Chambers believes the above-mentioned accruals and charges are adequate to provide for the settlement and related costs, certain of these amounts are estimates, and actual amounts will depend on the outcome of future events. If such estimated amounts are not adequate, additional charges against income would be made when such determinations are made.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DIVESTITURES AND DISCONTINUED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DIVESTITURES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late 1992, Chambers initiated a program to divest certain businesses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did not meet strategic and performance objectives and, in 1993 and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completed a series of asset sales to various parties. During 1993 Chambers sold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landfill, one transfer station and six collection and hauling businesses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proceeds of $39,535,000, consisting of $35,479,000 in cash and $4,056,000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notes and other receivables. These sales resulted in net gains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$21,799,000. Chambers also sold land in Georgia for $1,284,000 in cash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$996,000 with respect to a development project in California,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resulted in losses of $964,000 and $134,000, respectively.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Additionally, on December 31, 1993, Chambers sold its two transfer stations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Morris County, New Jersey, to the Morris County Municipal Utilities Authority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("MCMUA") for $9,500,000 in cash, which resulted in a deferred gain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$3,950,000. Simultaneous with entering into the agreement for the sale of these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stations, Chambers and the MCMUA amended the agreement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Chambers operates the transfer stations and provides waste disposal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reducing the rates charged for such services in 1994. As a result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interrelationship of the sale of the transfer stations and the operating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disposal service agreement, the gain on sale was deferred and recognized in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services were provided. As part of the agreement of sale, Chambers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 to operate the transfer stations and provide waste disposal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until the county's long-term solid waste system is in operation or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if later.</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During 1994 Chambers sold a recycling operation, a building and a parcel of land for a total of $2,089,000 in cash. The losses incurred as a result of these sales have been charged to the previously established allowance for divestiture losses.</w:t>
      </w:r>
    </w:p>
    <w:p>
      <w:pPr>
        <w:spacing w:after="0" w:line="187"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Approximately $24,999,000 and $7,623,000 of the net proceeds from these divestitures were applied to reduce long-term obligations of Chambers in 1993 and 1994, respectively.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are summarized operating results of the businesses that were sold during 1993 and 1994 which are included in the results of continuing operations. These results exclude the two transfer stations in Morris County, New Jersey, that Chambers will continue to operate, and the net gain from divestitures of $20,701,000 included in unusual items -- operations for the year ended December 31, 1993 (in thousands):</w:t>
      </w:r>
    </w:p>
    <w:p>
      <w:pPr>
        <w:spacing w:after="0" w:line="200" w:lineRule="exact"/>
        <w:rPr>
          <w:sz w:val="20"/>
          <w:szCs w:val="20"/>
          <w:color w:val="auto"/>
        </w:rPr>
      </w:pPr>
    </w:p>
    <w:p>
      <w:pPr>
        <w:spacing w:after="0" w:line="350"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YEAR ENDED DECEMBER 31,</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040"/>
        <w:spacing w:after="0"/>
        <w:tabs>
          <w:tab w:leader="none" w:pos="7160" w:val="left"/>
          <w:tab w:leader="none" w:pos="8120" w:val="left"/>
        </w:tabs>
        <w:rPr>
          <w:sz w:val="20"/>
          <w:szCs w:val="20"/>
          <w:color w:val="auto"/>
        </w:rPr>
      </w:pPr>
      <w:r>
        <w:rPr>
          <w:rFonts w:ascii="Courier New" w:cs="Courier New" w:eastAsia="Courier New" w:hAnsi="Courier New"/>
          <w:sz w:val="16"/>
          <w:szCs w:val="16"/>
          <w:color w:val="auto"/>
        </w:rPr>
        <w:t>1992</w:t>
      </w:r>
      <w:r>
        <w:rPr>
          <w:sz w:val="20"/>
          <w:szCs w:val="20"/>
          <w:color w:val="auto"/>
        </w:rPr>
        <w:tab/>
      </w:r>
      <w:r>
        <w:rPr>
          <w:rFonts w:ascii="Courier New" w:cs="Courier New" w:eastAsia="Courier New" w:hAnsi="Courier New"/>
          <w:sz w:val="16"/>
          <w:szCs w:val="16"/>
          <w:color w:val="auto"/>
        </w:rPr>
        <w:t>1993</w:t>
      </w:r>
      <w:r>
        <w:rPr>
          <w:sz w:val="20"/>
          <w:szCs w:val="20"/>
          <w:color w:val="auto"/>
        </w:rPr>
        <w:tab/>
      </w:r>
      <w:r>
        <w:rPr>
          <w:rFonts w:ascii="Courier New" w:cs="Courier New" w:eastAsia="Courier New" w:hAnsi="Courier New"/>
          <w:sz w:val="15"/>
          <w:szCs w:val="15"/>
          <w:color w:val="auto"/>
        </w:rPr>
        <w:t>1994</w:t>
      </w:r>
    </w:p>
    <w:p>
      <w:pPr>
        <w:spacing w:after="0" w:line="1" w:lineRule="exact"/>
        <w:rPr>
          <w:sz w:val="20"/>
          <w:szCs w:val="20"/>
          <w:color w:val="auto"/>
        </w:rPr>
      </w:pPr>
    </w:p>
    <w:p>
      <w:pPr>
        <w:ind w:left="5960"/>
        <w:spacing w:after="0"/>
        <w:tabs>
          <w:tab w:leader="none" w:pos="6980" w:val="left"/>
          <w:tab w:leader="none" w:pos="8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Revenues.................................................</w:t>
      </w:r>
    </w:p>
    <w:p>
      <w:pPr>
        <w:spacing w:after="0" w:line="1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Income (loss) from operations............................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hanging="94"/>
        <w:spacing w:after="0" w:line="237" w:lineRule="auto"/>
        <w:rPr>
          <w:sz w:val="20"/>
          <w:szCs w:val="20"/>
          <w:color w:val="auto"/>
        </w:rPr>
      </w:pPr>
      <w:r>
        <w:rPr>
          <w:rFonts w:ascii="Courier New" w:cs="Courier New" w:eastAsia="Courier New" w:hAnsi="Courier New"/>
          <w:sz w:val="16"/>
          <w:szCs w:val="16"/>
          <w:color w:val="auto"/>
        </w:rPr>
        <w:t>$31,870 (5,426)</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spacing w:after="0" w:line="267" w:lineRule="auto"/>
        <w:rPr>
          <w:sz w:val="20"/>
          <w:szCs w:val="20"/>
          <w:color w:val="auto"/>
        </w:rPr>
      </w:pPr>
      <w:r>
        <w:rPr>
          <w:rFonts w:ascii="Courier New" w:cs="Courier New" w:eastAsia="Courier New" w:hAnsi="Courier New"/>
          <w:sz w:val="15"/>
          <w:szCs w:val="15"/>
          <w:color w:val="auto"/>
        </w:rPr>
        <w:t>$ 15,921 377</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$1,323</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(22)</w:t>
      </w:r>
    </w:p>
    <w:p>
      <w:pPr>
        <w:spacing w:after="0" w:line="226" w:lineRule="exact"/>
        <w:rPr>
          <w:sz w:val="20"/>
          <w:szCs w:val="20"/>
          <w:color w:val="auto"/>
        </w:rPr>
      </w:pPr>
    </w:p>
    <w:p>
      <w:pPr>
        <w:sectPr>
          <w:pgSz w:w="11900" w:h="16838" w:orient="portrait"/>
          <w:cols w:equalWidth="0" w:num="4">
            <w:col w:w="5760" w:space="280"/>
            <w:col w:w="680" w:space="280"/>
            <w:col w:w="760" w:space="280"/>
            <w:col w:w="2179"/>
          </w:cols>
          <w:pgMar w:left="240" w:top="295" w:right="1440" w:bottom="1440" w:gutter="0" w:footer="0" w:header="0"/>
          <w:type w:val="continuous"/>
        </w:sectPr>
      </w:pPr>
    </w:p>
    <w:p>
      <w:pPr>
        <w:spacing w:after="0" w:line="14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a result of changes in Chambers' assessment of the marketability of one of its operations intended for divestiture, in the second quarter of 1994 Chambers reclassified $1,309,000 of assets of that operation, net of a related contract loss reserve, from assets held for sale to their respective balance sheet classifications.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295" w:right="1440" w:bottom="1440" w:gutter="0" w:footer="0" w:header="0"/>
          <w:type w:val="continuous"/>
        </w:sectPr>
      </w:pPr>
    </w:p>
    <w:bookmarkStart w:id="192" w:name="page193"/>
    <w:bookmarkEnd w:id="192"/>
    <w:p>
      <w:pPr>
        <w:ind w:left="280"/>
        <w:spacing w:after="0"/>
        <w:rPr>
          <w:sz w:val="20"/>
          <w:szCs w:val="20"/>
          <w:color w:val="auto"/>
        </w:rPr>
      </w:pPr>
      <w:r>
        <w:rPr>
          <w:rFonts w:ascii="Courier New" w:cs="Courier New" w:eastAsia="Courier New" w:hAnsi="Courier New"/>
          <w:sz w:val="16"/>
          <w:szCs w:val="16"/>
          <w:color w:val="auto"/>
        </w:rPr>
        <w:t>189</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Additionally, in the fourth quarter of 1994, assets of $1,226,000, related to undeveloped land that is permitted for use as a transfer station, were reclassified to assets held for sale. The remaining assets held for sale at December 31, 1994, include an undeveloped permitted landfill site and certain assets of a hauling and transfer station operation discussed below.</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During March 1995, Chambers entered into an asset purchase agreement related to its hauling, recycling and transfer station operations in Atlantic City, New Jersey, with Mid-Jersey Disposal, Inc. ("Mid-Jersey"), a wholly-owned subsidiary of USA Waste, whereby Mid-Jersey agreed to purchase certain assets of this operation. Terms of the purchase agreement provide for the sale of selected assets, principally vehicles, equipment and containers, for $727,000, which approximates their net book value. The asset purchase agreement is subject to final approval from the New Jersey Department of Environmental Protection ("NJDEP"). In conjunction with the asset purchase agreement, Chambers also entered into a separate management agreement, effective April 1, 1995, whereby Chambers will discontinue operating the facility and Mid-Jersey will manage, operate and service all facets of the business until the sale takes place, which will occur after approval is received from the NJDEP. As a result of the foregoing, in 1994 Chambers wrote off certain assets against previously recorded divestiture loss reserves and recorded an additional divestiture loss provision of $1,114,000 for the remaining assets of the Atlantic City operation, which Chambers is attempting to sell or lease.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Included in the results of continuing operations are revenues for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hauling, recycling and transfer operation of $6,551,000, $6,259,000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$4,222,000 for the years ended December 31, 1992, 1993 and 1994,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losses for this operation of $690,000, $857,000 and $874,000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 years have been incurred and charged to the previously established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reserve for divestiture losses.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Chambers had recorded a provision of $10,466,000 in 1992 for estimated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losses on the disposition of certain of its businesses (see Note 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reflected the expected loss from the disposition of net 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anticipated operating losses from the measurement date through the expected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dates of disposal and estimated disposal costs. An aggregate of $2,299,000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losses incurred by these businesses during 1993 and 1994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$1,484,000 of losses on divestitures incurred in 1993 and 1994 have been charged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 the loss reserve. Approximately $3,689,000 was charged to the loss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reserve in 1993 and 1994 as a result of writing down assets to their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realizable value. Accruals of $7,689,000, consisting principally of provisions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recorded for expected losses on the disposition of the businesses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subsequently retained, have been reversed and are included in unusual items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 and 1994 (see Note 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1993, Chambers also recorded a provision of $3,194,000 for estimated losses on the disposition of additional businesses classified as assets held for sale and in 1993 and 1994 recorded provisions of $2,321,000 and $1,114,000, respectively, for changes to estimates for losses related to the remaining assets held for sale.</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Net assets held for sale consist of the following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240" w:type="dxa"/>
            <w:vAlign w:val="bottom"/>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1993</w:t>
            </w:r>
          </w:p>
        </w:tc>
        <w:tc>
          <w:tcPr>
            <w:tcW w:w="320" w:type="dxa"/>
            <w:vAlign w:val="bottom"/>
          </w:tcPr>
          <w:p>
            <w:pPr>
              <w:spacing w:after="0"/>
              <w:rPr>
                <w:sz w:val="15"/>
                <w:szCs w:val="15"/>
                <w:color w:val="auto"/>
              </w:rPr>
            </w:pPr>
          </w:p>
        </w:tc>
        <w:tc>
          <w:tcPr>
            <w:tcW w:w="6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Inventories and prepaid expenses.................................</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Property and equipment, net......................................</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16,260</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11,222</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Intangibles and other noncurrent assets..........................</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743</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17,727</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11,318</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Less allowance for losses........................................</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6,697</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2,020</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Net assets held for sale.........................................</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11,030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9,298</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5" w:right="1440" w:bottom="1440" w:gutter="0" w:footer="0" w:header="0"/>
        </w:sectPr>
      </w:pPr>
    </w:p>
    <w:p>
      <w:pPr>
        <w:spacing w:after="0" w:line="1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10219"/>
          </w:cols>
          <w:pgMar w:left="240" w:top="295" w:right="1440" w:bottom="1440" w:gutter="0" w:footer="0" w:header="0"/>
          <w:type w:val="continuous"/>
        </w:sectPr>
      </w:pPr>
    </w:p>
    <w:bookmarkStart w:id="193" w:name="page194"/>
    <w:bookmarkEnd w:id="193"/>
    <w:p>
      <w:pPr>
        <w:ind w:left="280"/>
        <w:spacing w:after="0"/>
        <w:rPr>
          <w:sz w:val="20"/>
          <w:szCs w:val="20"/>
          <w:color w:val="auto"/>
        </w:rPr>
      </w:pPr>
      <w:r>
        <w:rPr>
          <w:rFonts w:ascii="Courier New" w:cs="Courier New" w:eastAsia="Courier New" w:hAnsi="Courier New"/>
          <w:sz w:val="16"/>
          <w:szCs w:val="16"/>
          <w:color w:val="auto"/>
        </w:rPr>
        <w:t>190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 December 11, 1992, Chambers sold substantially all of the assets of its security services business to Baker Industries, Inc./BPS Guard Services, Inc. for approximately $27,430,000, of which $22,930,000 was received at closing with the balance received in 1993.</w:t>
      </w:r>
    </w:p>
    <w:p>
      <w:pPr>
        <w:spacing w:after="0" w:line="187"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Operating results of the security services business for the nine months ended September 30, 1992, which have been classified in the consolidated statements of operations as discontinued operations, include revenues of $68,079,000 and a loss from operations of $1,407,000.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BUSINESS COMBINATIONS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1991, Chambers acquired a medical, special and municipal waste incineration facility. Included in the original purchase price was a promissory note of $1,550,000 payable in May 1993 and a $4,000,000 contingent payment, net of related discounts. At December 31, 1993, such obligations were included in current maturities of long-term obligations and other noncurrent liabilities, respectively.</w:t>
      </w:r>
    </w:p>
    <w:p>
      <w:pPr>
        <w:spacing w:after="0" w:line="190"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 1994, Chambers settled these obligations by the payment of $2,180,000 to the sellers. The $3,370,000 excess of the recorded liability over the settlement has been applied to reduce the net book value of the assets acquired, primarily property and equipment.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G -- CURRENT ACCRUED LIABILITIES</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5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8"/>
              </w:rPr>
              <w:t>Current accrued liabilities consist of the following (in thousands):</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28"/>
        </w:trPr>
        <w:tc>
          <w:tcPr>
            <w:tcW w:w="6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24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Shareholder litigation settlement................................</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$ 10,000</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Insurance........................................................</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7,308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4,098</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Legal fees and other litigation related costs....................</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4,239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3,441</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Taxes, other than income.........................................</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3,979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2,983</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15,183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14,229</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30,709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$ 34,751</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6240" w:type="dxa"/>
            <w:vAlign w:val="bottom"/>
          </w:tcPr>
          <w:p>
            <w:pPr>
              <w:ind w:left="3220"/>
              <w:spacing w:after="0"/>
              <w:rPr>
                <w:sz w:val="20"/>
                <w:szCs w:val="20"/>
                <w:color w:val="auto"/>
              </w:rPr>
            </w:pPr>
            <w:r>
              <w:rPr>
                <w:rFonts w:ascii="Courier New" w:cs="Courier New" w:eastAsia="Courier New" w:hAnsi="Courier New"/>
                <w:sz w:val="16"/>
                <w:szCs w:val="16"/>
                <w:color w:val="auto"/>
              </w:rPr>
              <w:t>F-36</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6"/>
          <w:szCs w:val="16"/>
          <w:color w:val="auto"/>
        </w:rPr>
        <w:t>191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H -- LONG-TERM OBLIGATIONS</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Long-term obligations consist of the following (in thousands):</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28"/>
        </w:trPr>
        <w:tc>
          <w:tcPr>
            <w:tcW w:w="6040" w:type="dxa"/>
            <w:vAlign w:val="bottom"/>
          </w:tcPr>
          <w:p>
            <w:pPr>
              <w:spacing w:after="0"/>
              <w:rPr>
                <w:sz w:val="24"/>
                <w:szCs w:val="24"/>
                <w:color w:val="auto"/>
              </w:rPr>
            </w:pPr>
          </w:p>
        </w:tc>
        <w:tc>
          <w:tcPr>
            <w:tcW w:w="20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04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Senior notes, interest at 11.45%, principal payable in periodic</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installments, maturing in 1996...............................</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$152,843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$133,501</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Senior notes, interest at 11.95%, principal payable in periodic</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installments, maturing in 1996...............................</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20,525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17,929</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Industrial revenue bonds, variable interest rates (5.8% to 6.0%</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at December 31, 1994), principal payable in annual</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installments, maturing in 2001-2007, collateralized by</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letters of credit............................................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95,200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88,800</w:t>
            </w:r>
          </w:p>
        </w:tc>
      </w:tr>
      <w:tr>
        <w:trPr>
          <w:trHeight w:val="182"/>
        </w:trPr>
        <w:tc>
          <w:tcPr>
            <w:tcW w:w="604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7"/>
              </w:rPr>
              <w:t>Noninterest-bearing notes, principal payable in annual</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installments, maturing in 2002, less unamortized discount of</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$4,464 and $3,630, respectively, based on imputed interest</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rate of 12%..................................................</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7,686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7,170</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Other notes payable and equipment loans, various interest rates</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(6.0% to 11.5% at December 31, 1994), maturities through</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2000, collateralized by vehicles, equipment and other</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assets.......................................................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12,979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7,885</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Capital lease obligation on building (see Note I)..............</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2,318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2,196</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291,551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257,481</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Less current maturities........................................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29,748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46,465</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$261,803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$211,016</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aggregate estimated payments, including scheduled minimum maturities, of long-term obligations for the five years ending December 31, 1995 through 1999 are: 1995-$46,465,000; 1996-$202,150,000; 1997-$3,480,000; 1998-$1,968,000; and 1999-$1,534,000.</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July 1993, Chambers executed comprehensive amendments to its bank credit facility (the "Credit Facility") and note purchase agreements under which Chambers issued senior notes (the "Senior Notes"). The amendments to the Credit Facility and Senior Note agreements (collectively, as amended, the "Amended Agreements") included revisions to the terms and conditions of the original agreements and provided for additional terms and conditions with respect to future periods. Chambers' lenders and bonding company were granted security interests in substantially all of the assets of Chambers and an intercreditor agreement was executed among the Credit Facility banks, the Senior Note holders and the bonding company with respect to priority of interests in collateral and access to assets. In November 1994, Chambers executed additional amendments (the "Amendments") to its Credit Facility and Senior Note agreements which included waivers (with respect to noncompliance of consolidated working capital and consolidated tangible net worth covenants attributable to the proposed settlement of the shareholder litigation and financial statement delivery covenants) and revisions to the terms and conditions of the Amended Agreements, principally with respect to payment terms and compliance covenants.</w:t>
      </w:r>
    </w:p>
    <w:p>
      <w:pPr>
        <w:spacing w:after="0" w:line="17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Amendments provide that 90% of the $74,421,000 scheduled payments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due on July 1, 1995 may be deferred until July 1, 1996, with further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deferral to December 31, 1996, at Chambers' option, of up to 75%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$95,512,000 scheduled payments previously due on October 31, 1995 and December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1995 and all of the $95,512,000 scheduled payments due on October 31,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December 30, 1996. Certain of such scheduled payments due in 1995 and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be reduced by pro rata payments made prior to the scheduled payment dates.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non-deferred portion of these scheduled payments will be applied to reduce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Note obligations, industrial revenue bond obligations and letters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issued under the Credit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F-37</w:t>
      </w:r>
    </w:p>
    <w:p>
      <w:pPr>
        <w:sectPr>
          <w:pgSz w:w="11900" w:h="16838" w:orient="portrait"/>
          <w:cols w:equalWidth="0" w:num="1">
            <w:col w:w="10219"/>
          </w:cols>
          <w:pgMar w:left="240" w:top="295"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6"/>
          <w:szCs w:val="16"/>
          <w:color w:val="auto"/>
        </w:rPr>
        <w:t>192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Facility. The Amendments also provide that the remaining originally scheduled principal payments on the Senior Notes due after 1996 become due on December 31, 1996.</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Amendments require, however, that Chambers reduce Senior Note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Facility obligations by a total of $60,000,000, primarily through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the non-deferred portions of the scheduled payments discussed above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other scheduled payments, between August 31, 1994 and December 31, 1995,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$20,000,000 was required to be paid by January 31, 1995.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$60,000,000, $23,671,000 has been paid to date, with the January 1995 payment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requirement having been satisfied. Portions of the remaining required payments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expected to be satisfied by currently available funds and operating cash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flow; however, in the absence of the Merger and related refinancing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 and Credit Facility obligations discussed below, Chambers will need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refinance the Senior Note and Credit Facility obligations on a stand-alone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or complete significant divestitures to satisfy any remaining payments.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Amendments, Chambers is also required to pay to the holders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Notes and the Credit Facility banks, the amount by which its daily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average unrestricted cash balance exceeds $40,000,000 for any calendar month,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 minimum of 50% of the net proceeds from specified divestitures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permitted by the Amendments, which proceeds will be applied to the $60,000,000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discussed above.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Amendments also provide for the issuance to the Senior Note holders and Credit Facility banks, at nominal consideration, of shares of Chambers' Class A Common Stock in the event Chambers has not refinanced the Senior Note and Credit Facility obligations prior to October 1, 1995. On that date, additional shares equal to 4% of Chambers' then issued and outstanding common stock would become issuable. Additional shares equal to 4% of Chambers' then issued and outstanding common stock would also become issuable if Chambers has not refinanced prior to April 1, 1996.</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Amendments contain financial covenants which require Chambers to maintain minimum levels of tangible net worth, working capital and quarterly cash flows from operations. The Amendments also prohibit the incurrence of additional indebtedness and the payment of cash dividends, and limit annual cash capital expenditures.</w:t>
      </w:r>
    </w:p>
    <w:p>
      <w:pPr>
        <w:spacing w:after="0" w:line="189" w:lineRule="exact"/>
        <w:rPr>
          <w:sz w:val="20"/>
          <w:szCs w:val="20"/>
          <w:color w:val="auto"/>
        </w:rPr>
      </w:pPr>
    </w:p>
    <w:p>
      <w:pPr>
        <w:jc w:val="both"/>
        <w:ind w:right="2659" w:firstLine="473"/>
        <w:spacing w:after="0" w:line="256" w:lineRule="auto"/>
        <w:rPr>
          <w:sz w:val="20"/>
          <w:szCs w:val="20"/>
          <w:color w:val="auto"/>
        </w:rPr>
      </w:pPr>
      <w:r>
        <w:rPr>
          <w:rFonts w:ascii="Courier New" w:cs="Courier New" w:eastAsia="Courier New" w:hAnsi="Courier New"/>
          <w:sz w:val="15"/>
          <w:szCs w:val="15"/>
          <w:color w:val="auto"/>
        </w:rPr>
        <w:t>Chambers anticipates that the combined company will refinance substantially all of the indebtedness of Chambers and USA Waste, including the Senior Note and Credit Facility obligations of Chambers, before or at the time of the Merger.</w:t>
      </w:r>
    </w:p>
    <w:p>
      <w:pPr>
        <w:spacing w:after="0" w:line="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Upon any refinancing of the Senior Note and Credit Facility obligations, Chambers expects to pay an early redemption premium to the Senior Note holders (the "Premium") based on the difference between the interest rates on the Senior Notes and an adjusted rate for U.S. Treasury securities having a similar maturity. Based on interest rates on U.S. Treasury securities at December 31, 1994, if the refinancing were to occur on June 30, 1995, management's estimate of the approximate date of the Merger, the Premium would be approximately $6,962,000.</w:t>
      </w:r>
    </w:p>
    <w:p>
      <w:pPr>
        <w:spacing w:after="0" w:line="187"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Amendments also require payment of escalating extension fees by Chambers to the Senior Note holders and Credit Facility banks, based upon the principal amounts outstanding as of the beginning of each calendar quarter, until such time as the existing debt under these agreements has been retired. Such extension fees are expected to aggregate approximately $652,000 through June 30, 1995.</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amounts shown above for the extension fees and the Premium are estimates, and the final amounts will depend on the date of the refinancing and the actual principal amounts outstanding under the Senior Notes during that period. The estimated extension fees and the Premium are being charged to interest expense through the period ending June 30, 1995. At December 31, 1994, Chambers had accrued a total of $1,245,000 related to the Premium. Such accrual is included in other noncurrent liabilities as the payment of the obligation is expected to be funded by long-term financing by the combined company as discussed above. In addition, a fee of approximately $673,000 paid upon execution of the Amendments was charged to interest expense in 1994.</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295"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6"/>
          <w:szCs w:val="16"/>
          <w:color w:val="auto"/>
        </w:rPr>
        <w:t>193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Credit Facility at December 31, 1994, provided for letters of credit supporting Industrial Revenue Bonds (the "IRBs"), performance of landfill closure and post-closure requirements, insurance and other contracts. Letters of credit outstanding at December 31, 1994, aggregated $113,080,000, the maximum amount then issuable under the Credit Facility. Chambers pays an annual commission of 2% on the amount of letters of credit outstanding.</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IRBs outstanding at December 31, 1994, were collateralized by letters of credit totalling $90,550,000. The terms of the IRBs provide that Chambers may convert them to fixed interest rate obligations prior to the expiration of the applicable letters of credit, at prevailing market interest rates. The holders of such IRBs, upon giving notice, may tender them for redemption to the designated agent who will either remarket the obligations or use the letters of credit to fund their retirement. In the latter situation, Chambers would be indebted to the Credit Facility banks for the amounts advanced, and the banks could request cash collateral in the amount thereof.</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event the Merger is not consummated, Chambers intends to seek refinancing for its Senior Note and Credit Facility obligations. It is anticipated that such refinancing could be completed by September 30, 1995; however, management of Chambers believes that such refinancing would not be available to Chambers on a stand-alone basis without significant dilution to the stockholders of Chambers. If a refinancing were to occur on September 30, 1995, the Premium amount would be approximately $5,500,000. In addition, $895,000 in additional extension fees would be incurred.</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event that the Merger is not consummated, Chambers would necessarily undertake a series of actions to provide for liquidity and funding of the Settlement Agreements. Chambers has the ability to abandon the Settlement Agreements in the absence of funding sufficient to comply with the payment obligations. However, it is the intention of Chambers, should the Merger not be consummated, to seek a refinancing and to delay the funding of the Settlement Agreements rather than abandon such agreements.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believes that a refinancing cannot be obtained in the absence of a settlement of the shareholder litigation. While Chambers has, under certain circumstances, alternate available financing through a funding agreement with USA Waste in an amount sufficient to satisfy Chambers' obligations under the Settlement Agreements, actual payments under such funding agreement remain subject to the consent of Chambers' current lending group. In the alternative, Chambers could delay the implementation of the shareholder litigation settlement until refinancing has been obtained.</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absence of a settlement of the shareholder litigation and a refinancing of the Senior Note and Credit Facility obligations, Chambers would be compelled to implement an action plan to ensure continuing liquidity. The steps that would be necessary with respect to liquidity would include a reduction in discretionary capital expenditures with respect to current transfer station and methane recovery projects. Capital expenditures for vehicle and heavy equipment purchases would be reduced to a maintenance level, or otherwise deferred, and Chambers would employ lease financing programs, to the extent available, for certain equipment, in substitution for capital expenditure programs currently planned. Chambers would also resume and accelerate its divestiture program with respect to non-core assets and operations. As an additional step, Chambers would endeavor to accelerate remaining tax refunds and to substitute surety bond programs where permitted, with respect to closure and post-closure bond requirements, for cash collateral programs presently in place in certain jurisdictions.</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Should the Merger not be consummated, management of Chambers believes that the foregoing plan of action would be adequate to maintain compliance with the covenants and payment obligations under its Senior Note and Credit Facility obligations through December 31, 1995 and would provide a sufficient period of time to achieve a refinancing, which, in turn would permit the implementation of the settlement of the shareholder litigation. As indicated above, the Amendments provide that deferred payments previously due on July 1, 1995 may be deferred until July 1, 1996, with other deferred payments becoming due in December 1996, and with</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F-39</w:t>
      </w:r>
    </w:p>
    <w:p>
      <w:pPr>
        <w:sectPr>
          <w:pgSz w:w="11900" w:h="16838" w:orient="portrait"/>
          <w:cols w:equalWidth="0" w:num="1">
            <w:col w:w="10219"/>
          </w:cols>
          <w:pgMar w:left="240" w:top="295"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6"/>
          <w:szCs w:val="16"/>
          <w:color w:val="auto"/>
        </w:rPr>
        <w:t>194</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remaining originally scheduled payments due after 1996 becoming due on December 31, 1996. With the bulk of Chambers' long-term obligations becoming due in the second half of 1996 under the Amendments, the liquidity of Chambers would be adversely affected if the Merger were not consummated or a refinancing or modification of the current lending agreements were not achieved in a timely fashion.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I -- COMMITMENTS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Capital Lease on Building</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Chambers' headquarters facility is presently leased from the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of Chambers under a lease with an initial term expiring in October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2006 and which has a ten-year renewal option. The agreement provides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lease payments of $1,012,000 during 1995, payable monthly, and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rental increases based on increases in taxes and other costs. The rent may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adjusted upward for increases in certain costs of the lessor on an annual basis.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 1994, future minimum payments for the initial term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 based on the aforementioned annual lease obligation were $11,140,000,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$918,000 representing interest and $8,026,000 representing executory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Chambers has guaranteed the demand note borrowing by the lessor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 the building, which is collateral for such note. The outstanding balance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note was $1,945,000 at December 31, 1994. In 1988, Chambers prepaid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$752,000 on the lease payments due in the final year of the original lease term;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prepayment has been deducted in arriving at the above-mentioned future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minimum payments.</w:t>
      </w:r>
    </w:p>
    <w:p>
      <w:pPr>
        <w:spacing w:after="0" w:line="186"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As discussed in Note D, pursuant to the terms of the Derivative Action Settlement Agreement, Chambers' headquarters facility will be contributed to Chambers, subject to assumption or discharge by Chambers of the demand note borrowing of the lessor.</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Leases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Chambers has entered into a number of noncancelable operating leases for vehicles, equipment, offices and other facilities which expire through 2012. Lease expense aggregated $12,027,000, $11,020,000 and $7,632,000 during 1992, 1993 and 1994, respectively. The following is a summary of the future minimum lease payments under operating leases in effect at December 31, 1994 (in thousands):</w:t>
      </w: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YEAR ENDING DECEMBER 31,</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$ 4,032</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2,419</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1,269</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Thereafter...............................................................</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1,380</w:t>
            </w:r>
          </w:p>
        </w:tc>
      </w:tr>
      <w:tr>
        <w:trPr>
          <w:trHeight w:val="182"/>
        </w:trPr>
        <w:tc>
          <w:tcPr>
            <w:tcW w:w="6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$ 9,641</w:t>
            </w:r>
          </w:p>
        </w:tc>
      </w:tr>
      <w:tr>
        <w:trPr>
          <w:trHeight w:val="182"/>
        </w:trPr>
        <w:tc>
          <w:tcPr>
            <w:tcW w:w="6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620" w:type="dxa"/>
            <w:vAlign w:val="bottom"/>
          </w:tcPr>
          <w:p>
            <w:pPr>
              <w:spacing w:after="0"/>
              <w:rPr>
                <w:sz w:val="20"/>
                <w:szCs w:val="20"/>
                <w:color w:val="auto"/>
              </w:rPr>
            </w:pPr>
            <w:r>
              <w:rPr>
                <w:rFonts w:ascii="Courier New" w:cs="Courier New" w:eastAsia="Courier New" w:hAnsi="Courier New"/>
                <w:sz w:val="16"/>
                <w:szCs w:val="16"/>
                <w:color w:val="auto"/>
              </w:rPr>
              <w:t>NOTE J</w:t>
            </w: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rPr>
              <w:t>-- ENVIRONMENTAL COSTS AND LIABILITIES</w:t>
            </w:r>
          </w:p>
        </w:tc>
        <w:tc>
          <w:tcPr>
            <w:tcW w:w="760" w:type="dxa"/>
            <w:vAlign w:val="bottom"/>
          </w:tcPr>
          <w:p>
            <w:pPr>
              <w:spacing w:after="0"/>
              <w:rPr>
                <w:sz w:val="24"/>
                <w:szCs w:val="24"/>
                <w:color w:val="auto"/>
              </w:rPr>
            </w:pPr>
          </w:p>
        </w:tc>
      </w:tr>
    </w:tbl>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Chambers' operation within the environmental services industry subjects it to future financial obligations with regard to closure and post-closure monitoring and site maintenance costs associated with the solid waste landfills it operates. Chambers' engineers estimate such costs based on the technical requirements of the U.S. Environmental Protection Agency's Subtitle D regulations and the proposed air emissions standards under the Clean Air Act, as they are being applied on a state-by-state basis.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Final closure and post-closure monitoring and site maintenance costs represent the costs related to cash expenditures to be incurred after a landfill ceases to accept waste and closes. Such costs include final capping of the site and site inspections, groundwater monitoring, leachate management, methane gas control and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F-40</w:t>
      </w:r>
    </w:p>
    <w:p>
      <w:pPr>
        <w:sectPr>
          <w:pgSz w:w="11900" w:h="16838" w:orient="portrait"/>
          <w:cols w:equalWidth="0" w:num="1">
            <w:col w:w="10219"/>
          </w:cols>
          <w:pgMar w:left="240" w:top="295"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6"/>
          <w:szCs w:val="16"/>
          <w:color w:val="auto"/>
        </w:rPr>
        <w:t>195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maintenance costs to be incurred for up to 30 years after the facility closes. Final closure and post-closure monitoring and site maintenance costs are estimated to be approximately $140,000,000 at the time all Chambers landfills have reached their respective capacity. The accrual for these costs is recorded as airspace at the respective landfill site is consumed.</w:t>
      </w:r>
    </w:p>
    <w:p>
      <w:pPr>
        <w:spacing w:after="0" w:line="189"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In addition, Chambers expects to incur other closure costs, principally related to capping and methane gas control activities, during the operating lives of the landfill sites. The accrual for these costs is also recorded as airspace at the respective landfill site is consumed.</w:t>
      </w:r>
    </w:p>
    <w:p>
      <w:pPr>
        <w:spacing w:after="0" w:line="187"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Accrued liabilities for all closure and post-closure monitoring and maintenance costs are as follows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24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Current portion, included in accrued liabilities.................</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1,858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1,534</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Noncurrent portion, included in other noncurrent liabilities.....</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18,114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24,113</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19,972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$ 25,647</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Chambers periodically reviews and updates the underlying assumptions used to determine such estimates and, accordingly, the estimate of total projected costs is subject to periodic revision and adjustment.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K -- CAPITAL STOCK</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Class A Common Stock is entitled to a noncumulative quarterly dividend preference of $.003125 per share before any dividend may be paid on the Common Stock. Additional dividends declared on the Class A Common Stock and the Common Stock are shared equally on a per share basis. Holders of Class A Common Stock are entitled to one vote per share, whereas holders of Common Stock have ten votes per share. Common Stock is convertible into Class A Common Stock at the option of the holder on a one-for-one basis.</w:t>
      </w:r>
    </w:p>
    <w:p>
      <w:pPr>
        <w:spacing w:after="0" w:line="192"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At December 31, 1994, approximately 19,158,000 shares of Class A Common Stock were reserved for issuance under Chambers' stock option plans and for the conversion of Common Stock.</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During the years ended December 31, 1992, 1993 and 1994, 8,700, 10,150 and 86,582 shares, respectively, of Chambers' Common Stock were exchanged for an equal number of shares of Class A Common Stock. In addition, during 1992 and 1994, 8,366 and 600 shares, respectively, of Class A Common Stock were issued upon the exercise of stock options.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L -- STOCK OPTION PLANS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Chambers has two plans under which stock options for the purchase of Class A Common Stock currently may be granted: the 1993 Stock Incentive Plan (the "1993 Plan") and the 1991 Stock Option Plan for Non-Employee Directors (the "Directors' Plan"). The 1990 Stock Option Plan for Consultants and Advisors was terminated on March 16, 1994.</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maximum number of shares of Class A Common stock available for grant under the 1993 Plan in each calendar year is equal to one percent of the total number of outstanding shares of Class A Common Stock as of the beginning of the year, plus any shares then reserved but not subject to grant under Chambers' terminated 1988 Stock Option Plan. Any unused shares available for grant in any calendar year are carried forward and available for award in succeeding calendar years.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1993 Plan permits the granting to key officers and employees, including directors who are employees, the following types of awards: (i) stock options including incentive stock options, (ii) stock appreciation rights, (iii) restricted stock, (iv) deferred stock, (v) performance awards, (vi) dividend equivalents and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F-41</w:t>
      </w:r>
    </w:p>
    <w:p>
      <w:pPr>
        <w:sectPr>
          <w:pgSz w:w="11900" w:h="16838" w:orient="portrait"/>
          <w:cols w:equalWidth="0" w:num="1">
            <w:col w:w="10219"/>
          </w:cols>
          <w:pgMar w:left="240" w:top="295" w:right="1440" w:bottom="1440" w:gutter="0" w:footer="0" w:header="0"/>
        </w:sectPr>
      </w:pPr>
    </w:p>
    <w:bookmarkStart w:id="199" w:name="page200"/>
    <w:bookmarkEnd w:id="199"/>
    <w:p>
      <w:pPr>
        <w:ind w:left="283"/>
        <w:spacing w:after="0"/>
        <w:rPr>
          <w:sz w:val="20"/>
          <w:szCs w:val="20"/>
          <w:color w:val="auto"/>
        </w:rPr>
      </w:pPr>
      <w:r>
        <w:rPr>
          <w:rFonts w:ascii="Courier New" w:cs="Courier New" w:eastAsia="Courier New" w:hAnsi="Courier New"/>
          <w:sz w:val="16"/>
          <w:szCs w:val="16"/>
          <w:color w:val="auto"/>
        </w:rPr>
        <w:t>196</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left="3" w:right="2659" w:hanging="3"/>
        <w:spacing w:after="0" w:line="262" w:lineRule="auto"/>
        <w:tabs>
          <w:tab w:leader="none" w:pos="57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stock-based awards. The type and number of awards to be granted, as well as the terms, conditions and other provisions applicable to each award, are determined by the Human Resource Committee of the Board of Directors.</w:t>
      </w:r>
    </w:p>
    <w:p>
      <w:pPr>
        <w:spacing w:after="0" w:line="171" w:lineRule="exact"/>
        <w:rPr>
          <w:sz w:val="20"/>
          <w:szCs w:val="20"/>
          <w:color w:val="auto"/>
        </w:rPr>
      </w:pPr>
    </w:p>
    <w:p>
      <w:pPr>
        <w:ind w:left="3" w:right="2839" w:firstLine="473"/>
        <w:spacing w:after="0" w:line="258" w:lineRule="auto"/>
        <w:rPr>
          <w:sz w:val="20"/>
          <w:szCs w:val="20"/>
          <w:color w:val="auto"/>
        </w:rPr>
      </w:pPr>
      <w:r>
        <w:rPr>
          <w:rFonts w:ascii="Courier New" w:cs="Courier New" w:eastAsia="Courier New" w:hAnsi="Courier New"/>
          <w:sz w:val="15"/>
          <w:szCs w:val="15"/>
          <w:color w:val="auto"/>
        </w:rPr>
        <w:t>Under the 1993 Plan, the exercise price of stock options granted may be more or less than the fair market value of the stock on the date of grant, but in no event may it be less than the par value of the stock. Stock appreciation rights may be granted, either alone or in tandem with stock options. These rights entitle the optionee to receive the excess of the fair market value of the stock on the date of exercise over the grant price which generally may not be less than the fair market value of the stock on the date of grant.</w:t>
      </w:r>
    </w:p>
    <w:p>
      <w:pPr>
        <w:spacing w:after="0" w:line="17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Directors' Plan provides for the granting of options for the purchase of a maximum of 150,000 shares of Class A Common Stock. Under the Directors' Plan, each person serving as a director and who is not employed by Chambers will automatically be granted options for the purchase of 2,000 shares of stock on the third business day following each annual stockholders' meeting. In addition, each nonemployee director at the effective date of the plan was granted options to purchase 2,000 shares of stock for each year previously served on Chambers' Board of Directors. Options granted under the Directors' Plan become fully exercisable one year after the date of grant.</w:t>
      </w:r>
    </w:p>
    <w:p>
      <w:pPr>
        <w:spacing w:after="0" w:line="188" w:lineRule="exact"/>
        <w:rPr>
          <w:sz w:val="20"/>
          <w:szCs w:val="20"/>
          <w:color w:val="auto"/>
        </w:rPr>
      </w:pPr>
    </w:p>
    <w:p>
      <w:pPr>
        <w:ind w:left="3" w:right="2839" w:firstLine="473"/>
        <w:spacing w:after="0" w:line="256" w:lineRule="auto"/>
        <w:rPr>
          <w:sz w:val="20"/>
          <w:szCs w:val="20"/>
          <w:color w:val="auto"/>
        </w:rPr>
      </w:pPr>
      <w:r>
        <w:rPr>
          <w:rFonts w:ascii="Courier New" w:cs="Courier New" w:eastAsia="Courier New" w:hAnsi="Courier New"/>
          <w:sz w:val="15"/>
          <w:szCs w:val="15"/>
          <w:color w:val="auto"/>
        </w:rPr>
        <w:t>Provisions of the 1988 Plan continue with respect to stock options previously granted. Options outstanding under the 1988 Plan become exercisable</w:t>
      </w:r>
    </w:p>
    <w:p>
      <w:pPr>
        <w:spacing w:after="0" w:line="1" w:lineRule="exact"/>
        <w:rPr>
          <w:sz w:val="20"/>
          <w:szCs w:val="20"/>
          <w:color w:val="auto"/>
        </w:rPr>
      </w:pPr>
    </w:p>
    <w:p>
      <w:pPr>
        <w:ind w:left="3" w:right="2659" w:hanging="3"/>
        <w:spacing w:after="0" w:line="238" w:lineRule="auto"/>
        <w:tabs>
          <w:tab w:leader="none" w:pos="3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cumulative annual increments of 25 percent each year, commencing one year after the date of grant, or (ii) in cumulative annual increments of 50 percent each year, commencing three years after the date of grant.</w:t>
      </w:r>
    </w:p>
    <w:p>
      <w:pPr>
        <w:spacing w:after="0" w:line="188" w:lineRule="exact"/>
        <w:rPr>
          <w:sz w:val="20"/>
          <w:szCs w:val="20"/>
          <w:color w:val="auto"/>
        </w:rPr>
      </w:pPr>
    </w:p>
    <w:p>
      <w:pPr>
        <w:jc w:val="both"/>
        <w:ind w:left="3" w:right="2759" w:firstLine="473"/>
        <w:spacing w:after="0" w:line="237" w:lineRule="auto"/>
        <w:rPr>
          <w:sz w:val="20"/>
          <w:szCs w:val="20"/>
          <w:color w:val="auto"/>
        </w:rPr>
      </w:pPr>
      <w:r>
        <w:rPr>
          <w:rFonts w:ascii="Courier New" w:cs="Courier New" w:eastAsia="Courier New" w:hAnsi="Courier New"/>
          <w:sz w:val="16"/>
          <w:szCs w:val="16"/>
          <w:color w:val="auto"/>
        </w:rPr>
        <w:t>Information related to stock options under all plans is as follows (shares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1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340" w:type="dxa"/>
            <w:vAlign w:val="bottom"/>
            <w:gridSpan w:val="5"/>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1992</w:t>
            </w:r>
          </w:p>
        </w:tc>
        <w:tc>
          <w:tcPr>
            <w:tcW w:w="300" w:type="dxa"/>
            <w:vAlign w:val="bottom"/>
          </w:tcPr>
          <w:p>
            <w:pPr>
              <w:spacing w:after="0"/>
              <w:rPr>
                <w:sz w:val="15"/>
                <w:szCs w:val="15"/>
                <w:color w:val="auto"/>
              </w:rPr>
            </w:pPr>
          </w:p>
        </w:tc>
        <w:tc>
          <w:tcPr>
            <w:tcW w:w="14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1993</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Outstanding at beginning of year...........</w:t>
            </w:r>
          </w:p>
        </w:tc>
        <w:tc>
          <w:tcPr>
            <w:tcW w:w="180" w:type="dxa"/>
            <w:vAlign w:val="bottom"/>
          </w:tcPr>
          <w:p>
            <w:pPr>
              <w:spacing w:after="0"/>
              <w:rPr>
                <w:sz w:val="24"/>
                <w:szCs w:val="24"/>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876</w:t>
            </w:r>
          </w:p>
        </w:tc>
        <w:tc>
          <w:tcPr>
            <w:tcW w:w="300" w:type="dxa"/>
            <w:vAlign w:val="bottom"/>
          </w:tcPr>
          <w:p>
            <w:pPr>
              <w:spacing w:after="0"/>
              <w:rPr>
                <w:sz w:val="24"/>
                <w:szCs w:val="24"/>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1,451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1,622</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Granted....................................</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751</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585</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Cancelled..................................</w:t>
            </w:r>
          </w:p>
        </w:tc>
        <w:tc>
          <w:tcPr>
            <w:tcW w:w="18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(168)</w:t>
            </w:r>
          </w:p>
        </w:tc>
        <w:tc>
          <w:tcPr>
            <w:tcW w:w="30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(269)</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Exercised..................................</w:t>
            </w:r>
          </w:p>
        </w:tc>
        <w:tc>
          <w:tcPr>
            <w:tcW w:w="18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Outstanding at end of year.................</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1,451</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1,622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1,937</w:t>
            </w: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Exercisable at end of year.................</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372</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779</w:t>
            </w:r>
          </w:p>
        </w:tc>
      </w:tr>
      <w:tr>
        <w:trPr>
          <w:trHeight w:val="182"/>
        </w:trPr>
        <w:tc>
          <w:tcPr>
            <w:tcW w:w="454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Available for future grants at end of</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year.....................................</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662</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934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892</w:t>
            </w:r>
          </w:p>
        </w:tc>
      </w:tr>
      <w:tr>
        <w:trPr>
          <w:trHeight w:val="182"/>
        </w:trPr>
        <w:tc>
          <w:tcPr>
            <w:tcW w:w="18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Price range:</w:t>
            </w:r>
          </w:p>
        </w:tc>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Granted..................................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$2.25- 3.88</w:t>
            </w: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Cancelled................................</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4.38-21.19</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4.38-17.44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2.25-17.44</w:t>
            </w: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Exercised................................</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12.22-17.44</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4.38</w:t>
            </w: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Outstanding at end of year...............</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4.38-24.63</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4.03-24.63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2.25-24.63</w:t>
            </w:r>
          </w:p>
        </w:tc>
      </w:tr>
      <w:tr>
        <w:trPr>
          <w:trHeight w:val="546"/>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NOTE M</w:t>
            </w:r>
          </w:p>
        </w:tc>
        <w:tc>
          <w:tcPr>
            <w:tcW w:w="3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REVENUES FROM MAJOR CUSTOMERS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7760" w:type="dxa"/>
            <w:vAlign w:val="bottom"/>
            <w:gridSpan w:val="7"/>
          </w:tcPr>
          <w:p>
            <w:pPr>
              <w:jc w:val="right"/>
              <w:ind w:right="501"/>
              <w:spacing w:after="0"/>
              <w:rPr>
                <w:sz w:val="20"/>
                <w:szCs w:val="20"/>
                <w:color w:val="auto"/>
              </w:rPr>
            </w:pPr>
            <w:r>
              <w:rPr>
                <w:rFonts w:ascii="Courier New" w:cs="Courier New" w:eastAsia="Courier New" w:hAnsi="Courier New"/>
                <w:sz w:val="16"/>
                <w:szCs w:val="16"/>
                <w:color w:val="auto"/>
              </w:rPr>
              <w:t>Chambers operates in one industry segment, integrated waste management.</w:t>
            </w:r>
          </w:p>
        </w:tc>
        <w:tc>
          <w:tcPr>
            <w:tcW w:w="1120" w:type="dxa"/>
            <w:vAlign w:val="bottom"/>
          </w:tcPr>
          <w:p>
            <w:pPr>
              <w:spacing w:after="0"/>
              <w:rPr>
                <w:sz w:val="24"/>
                <w:szCs w:val="24"/>
                <w:color w:val="auto"/>
              </w:rPr>
            </w:pPr>
          </w:p>
        </w:tc>
      </w:tr>
      <w:tr>
        <w:trPr>
          <w:trHeight w:val="182"/>
        </w:trPr>
        <w:tc>
          <w:tcPr>
            <w:tcW w:w="7760" w:type="dxa"/>
            <w:vAlign w:val="bottom"/>
            <w:gridSpan w:val="7"/>
          </w:tcPr>
          <w:p>
            <w:pPr>
              <w:spacing w:after="0"/>
              <w:rPr>
                <w:sz w:val="20"/>
                <w:szCs w:val="20"/>
                <w:color w:val="auto"/>
              </w:rPr>
            </w:pPr>
            <w:r>
              <w:rPr>
                <w:rFonts w:ascii="Courier New" w:cs="Courier New" w:eastAsia="Courier New" w:hAnsi="Courier New"/>
                <w:sz w:val="16"/>
                <w:szCs w:val="16"/>
                <w:color w:val="auto"/>
              </w:rPr>
              <w:t>Revenues from the Bergen County Utilities Authority totaled $33,476,000 and</w:t>
            </w:r>
          </w:p>
        </w:tc>
        <w:tc>
          <w:tcPr>
            <w:tcW w:w="1120" w:type="dxa"/>
            <w:vAlign w:val="bottom"/>
          </w:tcPr>
          <w:p>
            <w:pPr>
              <w:spacing w:after="0"/>
              <w:rPr>
                <w:sz w:val="15"/>
                <w:szCs w:val="15"/>
                <w:color w:val="auto"/>
              </w:rPr>
            </w:pPr>
          </w:p>
        </w:tc>
      </w:tr>
      <w:tr>
        <w:trPr>
          <w:trHeight w:val="182"/>
        </w:trPr>
        <w:tc>
          <w:tcPr>
            <w:tcW w:w="7760" w:type="dxa"/>
            <w:vAlign w:val="bottom"/>
            <w:gridSpan w:val="7"/>
          </w:tcPr>
          <w:p>
            <w:pPr>
              <w:spacing w:after="0"/>
              <w:rPr>
                <w:sz w:val="20"/>
                <w:szCs w:val="20"/>
                <w:color w:val="auto"/>
              </w:rPr>
            </w:pPr>
            <w:r>
              <w:rPr>
                <w:rFonts w:ascii="Courier New" w:cs="Courier New" w:eastAsia="Courier New" w:hAnsi="Courier New"/>
                <w:sz w:val="16"/>
                <w:szCs w:val="16"/>
                <w:color w:val="auto"/>
              </w:rPr>
              <w:t>$33,870,000, or 11.4% and 11.7% of revenues from continuing operations, for the</w:t>
            </w:r>
          </w:p>
        </w:tc>
        <w:tc>
          <w:tcPr>
            <w:tcW w:w="1120" w:type="dxa"/>
            <w:vAlign w:val="bottom"/>
          </w:tcPr>
          <w:p>
            <w:pPr>
              <w:spacing w:after="0"/>
              <w:rPr>
                <w:sz w:val="15"/>
                <w:szCs w:val="15"/>
                <w:color w:val="auto"/>
              </w:rPr>
            </w:pPr>
          </w:p>
        </w:tc>
      </w:tr>
      <w:tr>
        <w:trPr>
          <w:trHeight w:val="182"/>
        </w:trPr>
        <w:tc>
          <w:tcPr>
            <w:tcW w:w="6040" w:type="dxa"/>
            <w:vAlign w:val="bottom"/>
            <w:gridSpan w:val="5"/>
          </w:tcPr>
          <w:p>
            <w:pPr>
              <w:spacing w:after="0"/>
              <w:rPr>
                <w:sz w:val="20"/>
                <w:szCs w:val="20"/>
                <w:color w:val="auto"/>
              </w:rPr>
            </w:pPr>
            <w:r>
              <w:rPr>
                <w:rFonts w:ascii="Courier New" w:cs="Courier New" w:eastAsia="Courier New" w:hAnsi="Courier New"/>
                <w:sz w:val="16"/>
                <w:szCs w:val="16"/>
                <w:color w:val="auto"/>
              </w:rPr>
              <w:t>years ended December 31, 1992 and 1993, respectively.</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4"/>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NOTE N</w:t>
            </w:r>
          </w:p>
        </w:tc>
        <w:tc>
          <w:tcPr>
            <w:tcW w:w="3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UNUSUAL ITEMS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18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2740" w:type="dxa"/>
            <w:vAlign w:val="bottom"/>
          </w:tcPr>
          <w:p>
            <w:pPr>
              <w:jc w:val="right"/>
              <w:ind w:right="1721"/>
              <w:spacing w:after="0"/>
              <w:rPr>
                <w:sz w:val="20"/>
                <w:szCs w:val="20"/>
                <w:color w:val="auto"/>
              </w:rPr>
            </w:pPr>
            <w:r>
              <w:rPr>
                <w:rFonts w:ascii="Courier New" w:cs="Courier New" w:eastAsia="Courier New" w:hAnsi="Courier New"/>
                <w:sz w:val="16"/>
                <w:szCs w:val="16"/>
                <w:color w:val="auto"/>
                <w:w w:val="95"/>
              </w:rPr>
              <w:t>Operations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86" w:lineRule="exact"/>
        <w:rPr>
          <w:sz w:val="20"/>
          <w:szCs w:val="20"/>
          <w:color w:val="auto"/>
        </w:rPr>
      </w:pPr>
    </w:p>
    <w:p>
      <w:pPr>
        <w:jc w:val="both"/>
        <w:ind w:left="3" w:right="2759" w:firstLine="473"/>
        <w:spacing w:after="0" w:line="260" w:lineRule="auto"/>
        <w:rPr>
          <w:sz w:val="20"/>
          <w:szCs w:val="20"/>
          <w:color w:val="auto"/>
        </w:rPr>
      </w:pPr>
      <w:r>
        <w:rPr>
          <w:rFonts w:ascii="Courier New" w:cs="Courier New" w:eastAsia="Courier New" w:hAnsi="Courier New"/>
          <w:sz w:val="15"/>
          <w:szCs w:val="15"/>
          <w:color w:val="auto"/>
        </w:rPr>
        <w:t>In 1992, Chambers became a defendant in shareholder litigation arising out of financial statement revisions (see Note D) and, as a result of noncompliance with certain covenants of its various long-term borrowing agreements, commenced restructuring of its principal credit facilities and surety arrangements.</w:t>
      </w:r>
    </w:p>
    <w:p>
      <w:pPr>
        <w:spacing w:after="0" w:line="169"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F-42</w:t>
      </w:r>
    </w:p>
    <w:p>
      <w:pPr>
        <w:sectPr>
          <w:pgSz w:w="11900" w:h="16838" w:orient="portrait"/>
          <w:cols w:equalWidth="0" w:num="1">
            <w:col w:w="10222"/>
          </w:cols>
          <w:pgMar w:left="237" w:top="295"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6"/>
          <w:szCs w:val="16"/>
          <w:color w:val="auto"/>
        </w:rPr>
        <w:t>197</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Chambers also initiated a major restructuring of its operations which included a program to divest certain businesses that no longer met strategic and performance objectives, the abandonment of various development activities and the reorganization of its corporate and regional operations. In 1992, 1993 and 1994, Chambers has incurred substantial expenses related to these matters.</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1992, Chambers recorded a charge of $10,525,000 for anticipated losses on planned asset divestitures and contractual commitments and recorded a charge of $12,425,000 for asset impairments and abandoned projects. There was no cash flow effect for these unusual charges.</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Chambers recorded charges of $10,388,000 in 1992 for financing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professional fees primarily related to the restructuring of its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facilities and surety arrangements. Chambers also recorded a charge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$7,134,000 for special directors and officers insurance premiums as a result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shareholder litigation and charges of $3,819,000 related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reorganization of its corporate and regional operations. The latter charges were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employee severance, relocation and related transition costs, costs to close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facilities and other related costs.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1993, Chambers sold certain businesses as part of its divestiture program, which resulted in a net gain of $20,701,000. Chambers also recorded charges of $8,687,000 for losses on asset divestitures and contractual commitments including (i) $3,172,000 related to the municipal contract discussed below, (ii) $3,194,000 related to the recycling operation and real estate sold in 1994 and (iii) $2,140,000 related to a hauling, recycling and transfer station held for sale. In addition, Chambers reversed prior year provisions of $6,636,000 for losses on divestitures for businesses that were subsequently retained.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1993, Chambers also recorded charges of $4,929,000, consisting of $2,028,000 for impaired assets and $2,901,000 for abandoned projects. Additionally, there were charges in 1993 of $1,555,000 for special directors and officers insurance premiums and $315,000 for severance benefits paid to employees terminated in connection with the corporate and regional restructuring.</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1994, Chambers recorded charges of $3,400,000 for losses on asset divestitures including $1,114,000 to adjust a prior year estimate of the loss on divestiture of a hauling, recycling and transfer station operation, and $2,300,000 related to the estimated future loss on a municipal contract. Effective March 1, 1994, Chambers was awarded a three-year contract for the transportation and disposal of municipal solid waste with, at the customer's option, two one-year extension periods beyond February 28, 1997. The costs of operating the contract have been greater than originally estimated and, since inception, the contract has been generating an operating loss. Operational changes and improvements implemented during 1994 did not sufficiently reduce operating costs. As a result, Chambers has estimated it will incur operating losses of approximately $2,300,000 through the remaining two-year term of the contract, and the two one-year extension periods, in order to satisfy the service requirements of the contract and accordingly has accrued such amount. In 1994, Chambers also reversed prior year provisions for losses on divestitures and contractual commitments of $3,565,000, including $2,000,000 previously recorded for expected losses to be incurred on a municipal contract with respect to which Chambers was able to negotiate an early termination and $1,053,000 of excess reserve related to the sale in 1994 of a recycling operation and certain real estate.</w:t>
      </w:r>
    </w:p>
    <w:p>
      <w:pPr>
        <w:spacing w:after="0" w:line="19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in 1994 Chambers recorded net charges of $8,237,000 for asset impairments and abandoned projects. That amount included a fourth quarter charge of $6,978,000 to reduce the carrying value, as of December 31, 1994, of Chambers' medical, special and municipal waste incinerator facility to its estimated net realizable value. The amount of the charge was measured as the difference between the carrying value of long-term assets, principally property, plant and equipment and intangible assets, and the estimated fair value of the assets based on the present value of future cash flows discounted at 12%. The adjustment was based on a review conducted in the fourth quarter which determined there had been a permanent decline in the value of the facility based on the conclusion that Chambers could not recover its investment through future operations, given current and forecasted pricing, waste mix and capacity trends as well as recently proposed regulations</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F-43</w:t>
      </w:r>
    </w:p>
    <w:p>
      <w:pPr>
        <w:sectPr>
          <w:pgSz w:w="11900" w:h="16838" w:orient="portrait"/>
          <w:cols w:equalWidth="0" w:num="1">
            <w:col w:w="10219"/>
          </w:cols>
          <w:pgMar w:left="240" w:top="295"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6"/>
          <w:szCs w:val="16"/>
          <w:color w:val="auto"/>
        </w:rPr>
        <w:t>198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with respect to medical waste incinerator facilities and general declines in the value of waste incinerator businesses. During 1994, Chambers also reached a favorable settlement of previously reported litigation related to certain contracts entered into with respect to the purchase by Chambers of a landfill and the prior purchase of a waste collection and hauling company. The settlement amount is included as a credit to unusual items and includes receipt by Chambers of $1,200,000 in cash and the forgiveness of all remaining non-compete payments totalling $525,000 that were to have been paid by Chambers to various individuals in 1994, 1995 and 1996. The remaining charge of $2,984,000 represents changes in prior year estimates for certain asset impairments and abandoned projects. In addition, Chambers recorded a charge of $825,000 primarily relating to severance benefits paid to employees terminated as part of Chambers' continued reorganization. With the exception of the $1,200,000 litigation settlement received by Chambers and the $825,000 payment of severance benefits, there was no cash flow effect to these unusual charges.</w:t>
      </w:r>
    </w:p>
    <w:p>
      <w:pPr>
        <w:spacing w:after="0" w:line="191"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UNUSUAL ITEMS -- SHAREHOLDER LITIGATION SETTLEMENT AND OTHER LITIGATION RELATED COSTS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income (expense) includes charges of $10,853,000, $5,500,000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$79,400,000 for the years ended December 31, 1992, 1993 and 1994,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charge in 1994 consists of $75,300,000 for the shareholder litigation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and $4,100,000 for legal and other related costs (see Note 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charges in 1992 and 1993 are for legal and other costs related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litigation.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summary of unusual items is as follows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4"/>
          </w:tcPr>
          <w:p>
            <w:pPr>
              <w:jc w:val="right"/>
              <w:ind w:right="40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02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1992</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560" w:type="dxa"/>
            <w:vAlign w:val="bottom"/>
          </w:tcPr>
          <w:p>
            <w:pPr>
              <w:spacing w:after="0"/>
              <w:rPr>
                <w:sz w:val="20"/>
                <w:szCs w:val="20"/>
                <w:color w:val="auto"/>
              </w:rPr>
            </w:pPr>
            <w:r>
              <w:rPr>
                <w:rFonts w:ascii="Courier New" w:cs="Courier New" w:eastAsia="Courier New" w:hAnsi="Courier New"/>
                <w:sz w:val="16"/>
                <w:szCs w:val="16"/>
                <w:color w:val="auto"/>
              </w:rPr>
              <w:t>Unusual items --</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Net gains on asset divestitures......................</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$(20,701)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Provision for loss on asset divestitures and</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3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contractual commitments...........................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10,525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8,687</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3,366</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Reversal of prior provisions for loss and costs on</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3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asset divestitures and contractual commitments....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(6,636)</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(3,565)</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Asset impairments and abandoned projects.............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12,425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4,929</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8,237</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Financing and professional fees......................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10,388</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Directors and officers insurance.....................</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7,134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1,555</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Corporate and regional restructuring.................</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3,819</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315</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825</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44,291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(11,851)</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8,863</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Unusual items --</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shareholder litigation settlement and</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other litigation related costs.......................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10,853</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5,500</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79,400</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55,144</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(6,351)</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$88,263</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1560" w:type="dxa"/>
            <w:vAlign w:val="bottom"/>
          </w:tcPr>
          <w:p>
            <w:pPr>
              <w:spacing w:after="0"/>
              <w:rPr>
                <w:sz w:val="24"/>
                <w:szCs w:val="24"/>
                <w:color w:val="auto"/>
              </w:rPr>
            </w:pPr>
          </w:p>
        </w:tc>
        <w:tc>
          <w:tcPr>
            <w:tcW w:w="3740" w:type="dxa"/>
            <w:vAlign w:val="bottom"/>
          </w:tcPr>
          <w:p>
            <w:pPr>
              <w:ind w:left="1660"/>
              <w:spacing w:after="0"/>
              <w:rPr>
                <w:sz w:val="20"/>
                <w:szCs w:val="20"/>
                <w:color w:val="auto"/>
              </w:rPr>
            </w:pPr>
            <w:r>
              <w:rPr>
                <w:rFonts w:ascii="Courier New" w:cs="Courier New" w:eastAsia="Courier New" w:hAnsi="Courier New"/>
                <w:sz w:val="16"/>
                <w:szCs w:val="16"/>
                <w:color w:val="auto"/>
              </w:rPr>
              <w:t>F-44</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6"/>
          <w:szCs w:val="16"/>
          <w:color w:val="auto"/>
        </w:rPr>
        <w:t>199</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NOTE O</w:t>
            </w:r>
          </w:p>
        </w:tc>
        <w:tc>
          <w:tcPr>
            <w:tcW w:w="5020" w:type="dxa"/>
            <w:vAlign w:val="bottom"/>
          </w:tcPr>
          <w:p>
            <w:pPr>
              <w:ind w:left="100"/>
              <w:spacing w:after="0"/>
              <w:rPr>
                <w:sz w:val="20"/>
                <w:szCs w:val="20"/>
                <w:color w:val="auto"/>
              </w:rPr>
            </w:pPr>
            <w:r>
              <w:rPr>
                <w:rFonts w:ascii="Courier New" w:cs="Courier New" w:eastAsia="Courier New" w:hAnsi="Courier New"/>
                <w:sz w:val="16"/>
                <w:szCs w:val="16"/>
                <w:color w:val="auto"/>
              </w:rPr>
              <w:t>-- SUPPLEMENTAL CASH FLOW INFORMATION</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4"/>
        </w:trPr>
        <w:tc>
          <w:tcPr>
            <w:tcW w:w="7700" w:type="dxa"/>
            <w:vAlign w:val="bottom"/>
            <w:gridSpan w:val="5"/>
          </w:tcPr>
          <w:p>
            <w:pPr>
              <w:jc w:val="right"/>
              <w:ind w:right="441"/>
              <w:spacing w:after="0"/>
              <w:rPr>
                <w:sz w:val="20"/>
                <w:szCs w:val="20"/>
                <w:color w:val="auto"/>
              </w:rPr>
            </w:pPr>
            <w:r>
              <w:rPr>
                <w:rFonts w:ascii="Courier New" w:cs="Courier New" w:eastAsia="Courier New" w:hAnsi="Courier New"/>
                <w:sz w:val="16"/>
                <w:szCs w:val="16"/>
                <w:color w:val="auto"/>
              </w:rPr>
              <w:t>Supplemental information related to the consolidated statements of cash</w:t>
            </w:r>
          </w:p>
        </w:tc>
        <w:tc>
          <w:tcPr>
            <w:tcW w:w="1000" w:type="dxa"/>
            <w:vAlign w:val="bottom"/>
          </w:tcPr>
          <w:p>
            <w:pPr>
              <w:spacing w:after="0"/>
              <w:rPr>
                <w:sz w:val="24"/>
                <w:szCs w:val="24"/>
                <w:color w:val="auto"/>
              </w:rPr>
            </w:pPr>
          </w:p>
        </w:tc>
      </w:tr>
      <w:tr>
        <w:trPr>
          <w:trHeight w:val="182"/>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flows is as follows (in thousands):</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28"/>
        </w:trPr>
        <w:tc>
          <w:tcPr>
            <w:tcW w:w="5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120" w:type="dxa"/>
            <w:vAlign w:val="bottom"/>
            <w:gridSpan w:val="4"/>
          </w:tcPr>
          <w:p>
            <w:pPr>
              <w:jc w:val="right"/>
              <w:ind w:right="40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1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1992</w:t>
            </w:r>
          </w:p>
        </w:tc>
        <w:tc>
          <w:tcPr>
            <w:tcW w:w="1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1993</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Cash paid during the year for:</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$ 1,390</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563</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$ 1,586</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Interest (net of amount capitalized)................</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32,252</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29,278</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22,440</w:t>
            </w:r>
          </w:p>
        </w:tc>
      </w:tr>
      <w:tr>
        <w:trPr>
          <w:trHeight w:val="182"/>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Noncash investing and financing activities:</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Receivables from sales of businesses................</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4,500</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1"/>
              </w:rPr>
              <w:t>4,056</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Liabilities incurred or assumed in acquisitions of</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businesses.......................................</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8,025</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Capital lease obligations...........................</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776</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408</w:t>
            </w:r>
          </w:p>
        </w:tc>
      </w:tr>
      <w:tr>
        <w:trPr>
          <w:trHeight w:val="546"/>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NOTE P</w:t>
            </w:r>
          </w:p>
        </w:tc>
        <w:tc>
          <w:tcPr>
            <w:tcW w:w="5020" w:type="dxa"/>
            <w:vAlign w:val="bottom"/>
          </w:tcPr>
          <w:p>
            <w:pPr>
              <w:ind w:left="100"/>
              <w:spacing w:after="0"/>
              <w:rPr>
                <w:sz w:val="20"/>
                <w:szCs w:val="20"/>
                <w:color w:val="auto"/>
              </w:rPr>
            </w:pPr>
            <w:r>
              <w:rPr>
                <w:rFonts w:ascii="Courier New" w:cs="Courier New" w:eastAsia="Courier New" w:hAnsi="Courier New"/>
                <w:sz w:val="16"/>
                <w:szCs w:val="16"/>
                <w:color w:val="auto"/>
              </w:rPr>
              <w:t>-- INCOME TAXES</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4"/>
        </w:trPr>
        <w:tc>
          <w:tcPr>
            <w:tcW w:w="7700" w:type="dxa"/>
            <w:vAlign w:val="bottom"/>
            <w:gridSpan w:val="5"/>
          </w:tcPr>
          <w:p>
            <w:pPr>
              <w:jc w:val="right"/>
              <w:ind w:right="441"/>
              <w:spacing w:after="0"/>
              <w:rPr>
                <w:sz w:val="20"/>
                <w:szCs w:val="20"/>
                <w:color w:val="auto"/>
              </w:rPr>
            </w:pPr>
            <w:r>
              <w:rPr>
                <w:rFonts w:ascii="Courier New" w:cs="Courier New" w:eastAsia="Courier New" w:hAnsi="Courier New"/>
                <w:sz w:val="16"/>
                <w:szCs w:val="16"/>
                <w:color w:val="auto"/>
              </w:rPr>
              <w:t>The income tax provision (benefit) applicable to continuing operations,</w:t>
            </w:r>
          </w:p>
        </w:tc>
        <w:tc>
          <w:tcPr>
            <w:tcW w:w="1000" w:type="dxa"/>
            <w:vAlign w:val="bottom"/>
          </w:tcPr>
          <w:p>
            <w:pPr>
              <w:spacing w:after="0"/>
              <w:rPr>
                <w:sz w:val="24"/>
                <w:szCs w:val="24"/>
                <w:color w:val="auto"/>
              </w:rPr>
            </w:pPr>
          </w:p>
        </w:tc>
      </w:tr>
      <w:tr>
        <w:trPr>
          <w:trHeight w:val="182"/>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consists of the following (in thousands):</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28"/>
        </w:trPr>
        <w:tc>
          <w:tcPr>
            <w:tcW w:w="5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120" w:type="dxa"/>
            <w:vAlign w:val="bottom"/>
            <w:gridSpan w:val="4"/>
          </w:tcPr>
          <w:p>
            <w:pPr>
              <w:jc w:val="right"/>
              <w:ind w:right="40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1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34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1993</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Current:</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Federal.............................................</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$(12,000)</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$(4,300)</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State and local.....................................</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1,325</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1"/>
              </w:rPr>
              <w:t>1,600</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648</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(10,675)</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1"/>
              </w:rPr>
              <w:t>1,600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(3,652)</w:t>
            </w:r>
          </w:p>
        </w:tc>
      </w:tr>
      <w:tr>
        <w:trPr>
          <w:trHeight w:val="182"/>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Deferred provision....................................</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12,000</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Utilization of state operating loss carryforwards.....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(279)</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1,325</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$1,600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$(3,931)</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Deferred income taxes result from temporary differences in the timing of recognition of costs and expenses for tax and financial reporting purposes and relate principally to the capitalization of costs and expenses for income tax purposes that were deducted for financial reporting purposes, partially offset by the use of accelerated depreciation for income tax purposes.</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statute of limitations has expired for Chambers' federal income tax returns for 1987 and prior years. The returns for 1988 through 1992 are currently under examination by the Internal Revenue Service ("IRS"). Chambers has reached tentative agreement with the IRS regarding the tax treatment of certain costs and expenses deducted for financial statement purposes in these open tax years. That agreement is subject to the approval of the Joint Committee on Taxation. Based on the tentative agreement with the IRS, Chambers estimates its tax net operating loss carryforwards at December 31, 1994 to be approximately $232,000,000, the majority of which expire in 2007.</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F-45</w:t>
      </w:r>
    </w:p>
    <w:p>
      <w:pPr>
        <w:sectPr>
          <w:pgSz w:w="11900" w:h="16838" w:orient="portrait"/>
          <w:cols w:equalWidth="0" w:num="1">
            <w:col w:w="10219"/>
          </w:cols>
          <w:pgMar w:left="240" w:top="295"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6"/>
          <w:szCs w:val="16"/>
          <w:color w:val="auto"/>
        </w:rPr>
        <w:t>200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Deferred income tax assets and (liabilities) are comprised of the following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5960" w:type="dxa"/>
            <w:vAlign w:val="bottom"/>
          </w:tcPr>
          <w:p>
            <w:pPr>
              <w:spacing w:after="0"/>
              <w:rPr>
                <w:sz w:val="15"/>
                <w:szCs w:val="15"/>
                <w:color w:val="auto"/>
              </w:rPr>
            </w:pPr>
          </w:p>
        </w:tc>
        <w:tc>
          <w:tcPr>
            <w:tcW w:w="22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1993</w:t>
            </w:r>
          </w:p>
        </w:tc>
        <w:tc>
          <w:tcPr>
            <w:tcW w:w="30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96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77,555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98,030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Accrued shareholder litigation settlement.....................</w:t>
            </w:r>
          </w:p>
        </w:tc>
        <w:tc>
          <w:tcPr>
            <w:tcW w:w="1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28,360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Accrued closure reserves......................................</w:t>
            </w:r>
          </w:p>
        </w:tc>
        <w:tc>
          <w:tcPr>
            <w:tcW w:w="1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8,500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10,260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(principally asset impairments and losses from planned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asset divestitures).........................................</w:t>
            </w:r>
          </w:p>
        </w:tc>
        <w:tc>
          <w:tcPr>
            <w:tcW w:w="1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6,765</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15,700</w:t>
            </w:r>
          </w:p>
        </w:tc>
      </w:tr>
      <w:tr>
        <w:trPr>
          <w:trHeight w:val="182"/>
        </w:trPr>
        <w:tc>
          <w:tcPr>
            <w:tcW w:w="596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Gross deferred income tax assets..............................</w:t>
            </w:r>
          </w:p>
        </w:tc>
        <w:tc>
          <w:tcPr>
            <w:tcW w:w="1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92,820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152,350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Property, equipment and intangibles assets....................</w:t>
            </w:r>
          </w:p>
        </w:tc>
        <w:tc>
          <w:tcPr>
            <w:tcW w:w="1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(6,400)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(11,780)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Less valuation allowance......................................</w:t>
            </w:r>
          </w:p>
        </w:tc>
        <w:tc>
          <w:tcPr>
            <w:tcW w:w="1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(86,420)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(140,570)</w:t>
            </w:r>
          </w:p>
        </w:tc>
      </w:tr>
      <w:tr>
        <w:trPr>
          <w:trHeight w:val="182"/>
        </w:trPr>
        <w:tc>
          <w:tcPr>
            <w:tcW w:w="596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Deferred income tax asset, net................................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A reconciliation of the income tax provision (benefit) applicable to continuing operations computed using the statutory federal income tax rate to the tax provision shown in the consolidated statements of operations is as follows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9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31,</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3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1992</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1993</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Computed at federal statutory rate..................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(23,400)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$ 3,500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$(33,000)</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Operating losses not utilized.......................</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23,400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28,520</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Benefit of operating loss carryforwards.............</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(3,500)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Prior year tax adjustment...........................</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(4,300)</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State income taxes..................................</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1,325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1,600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369</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Nondeductible expenses..............................</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4,480</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Income tax provision (benefit)......................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1,325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$ 1,600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(3,931)</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900" w:type="dxa"/>
            <w:vAlign w:val="bottom"/>
          </w:tcPr>
          <w:p>
            <w:pPr>
              <w:spacing w:after="0"/>
              <w:rPr>
                <w:sz w:val="20"/>
                <w:szCs w:val="20"/>
                <w:color w:val="auto"/>
              </w:rPr>
            </w:pPr>
            <w:r>
              <w:rPr>
                <w:rFonts w:ascii="Courier New" w:cs="Courier New" w:eastAsia="Courier New" w:hAnsi="Courier New"/>
                <w:sz w:val="16"/>
                <w:szCs w:val="16"/>
                <w:color w:val="auto"/>
              </w:rPr>
              <w:t>NOTE Q --</w:t>
            </w:r>
          </w:p>
        </w:tc>
        <w:tc>
          <w:tcPr>
            <w:tcW w:w="4480" w:type="dxa"/>
            <w:vAlign w:val="bottom"/>
          </w:tcPr>
          <w:p>
            <w:pPr>
              <w:ind w:left="40"/>
              <w:spacing w:after="0"/>
              <w:rPr>
                <w:sz w:val="20"/>
                <w:szCs w:val="20"/>
                <w:color w:val="auto"/>
              </w:rPr>
            </w:pPr>
            <w:r>
              <w:rPr>
                <w:rFonts w:ascii="Courier New" w:cs="Courier New" w:eastAsia="Courier New" w:hAnsi="Courier New"/>
                <w:sz w:val="16"/>
                <w:szCs w:val="16"/>
                <w:color w:val="auto"/>
              </w:rPr>
              <w:t>FAIR VALUE OF FINANCIAL INSTRUMENTS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86"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The following methods and assumptions have been used by Chambers to estimate the fair value of each class of financial instrument: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and Cash Equivalents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fair value approximates the carrying amount due to the short period to maturity (three months or less) of the instruments.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Funds Held In Escrow</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estimated fair value of financial instruments that reprice or mature in less than three months approximates the carrying amount due to the short maturity of the instruments. The fair value of financial instruments with maturities greater than three months are estimated based on quoted market prices for the same or similar financial instruments.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Long-Term Obligations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fair value of Chambers' debt maturing within one year approximates the carrying amount due to the short-term maturities involved.</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F-46</w:t>
      </w:r>
    </w:p>
    <w:p>
      <w:pPr>
        <w:sectPr>
          <w:pgSz w:w="11900" w:h="16838" w:orient="portrait"/>
          <w:cols w:equalWidth="0" w:num="1">
            <w:col w:w="10219"/>
          </w:cols>
          <w:pgMar w:left="240" w:top="295"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6"/>
          <w:szCs w:val="16"/>
          <w:color w:val="auto"/>
        </w:rPr>
        <w:t>201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fair value of the Senior Note obligations approximates the carrying amount for obligations of similar risk and duration. The interest rates on these notes were established in December 1992 and remained unchanged when the amendments to the agreements were executed in July 1993. Interest and periodic fees on these notes were increased in November 1994.</w:t>
      </w:r>
    </w:p>
    <w:p>
      <w:pPr>
        <w:spacing w:after="0" w:line="189"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fair value of the industrial revenue bonds approximates the carrying amount as the interest rates on the bonds are reset weekly based on the credit quality of the letters of credit which collateralize the bonds.</w:t>
      </w:r>
    </w:p>
    <w:p>
      <w:pPr>
        <w:spacing w:after="0" w:line="18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fair value of the noninterest bearing notes approximates the carrying amount which represents the discounted value of the notes using an interest rate considered market for a borrowing of similar credit quality and maturity.</w:t>
      </w:r>
    </w:p>
    <w:p>
      <w:pPr>
        <w:spacing w:after="0" w:line="188"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The fair value of other notes payable and equipment loans, excluding capital leases, is estimated by discounting future cash flows using an interest rate considered market for borrowings of similar credit quality and maturity.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Letters of Credit</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fair value of letters of credit is based upon the fees paid to obtain the obligation.</w:t>
      </w:r>
    </w:p>
    <w:p>
      <w:pPr>
        <w:spacing w:after="0" w:line="188"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carrying or notional amounts and estimated fair values of Chambers' financial instruments are as follows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3060" w:type="dxa"/>
            <w:vAlign w:val="bottom"/>
            <w:gridSpan w:val="3"/>
          </w:tcPr>
          <w:p>
            <w:pPr>
              <w:jc w:val="right"/>
              <w:ind w:right="341"/>
              <w:spacing w:after="0"/>
              <w:rPr>
                <w:sz w:val="20"/>
                <w:szCs w:val="20"/>
                <w:color w:val="auto"/>
              </w:rPr>
            </w:pPr>
            <w:r>
              <w:rPr>
                <w:rFonts w:ascii="Courier New" w:cs="Courier New" w:eastAsia="Courier New" w:hAnsi="Courier New"/>
                <w:sz w:val="16"/>
                <w:szCs w:val="16"/>
                <w:color w:val="auto"/>
              </w:rPr>
              <w:t>DECEMBER 31, 1993</w:t>
            </w:r>
          </w:p>
        </w:tc>
        <w:tc>
          <w:tcPr>
            <w:tcW w:w="222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DECEMBER 31, 1994</w:t>
            </w:r>
          </w:p>
        </w:tc>
      </w:tr>
      <w:tr>
        <w:trPr>
          <w:trHeight w:val="182"/>
        </w:trPr>
        <w:tc>
          <w:tcPr>
            <w:tcW w:w="3220" w:type="dxa"/>
            <w:vAlign w:val="bottom"/>
          </w:tcPr>
          <w:p>
            <w:pPr>
              <w:spacing w:after="0"/>
              <w:rPr>
                <w:sz w:val="15"/>
                <w:szCs w:val="15"/>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15"/>
                <w:szCs w:val="15"/>
                <w:color w:val="auto"/>
              </w:rPr>
            </w:pPr>
          </w:p>
        </w:tc>
        <w:tc>
          <w:tcPr>
            <w:tcW w:w="198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CARRYING</w:t>
            </w:r>
          </w:p>
        </w:tc>
        <w:tc>
          <w:tcPr>
            <w:tcW w:w="14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FAIR</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8"/>
              </w:rPr>
              <w:t>CARRYING</w:t>
            </w:r>
          </w:p>
        </w:tc>
        <w:tc>
          <w:tcPr>
            <w:tcW w:w="28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FAIR</w:t>
            </w:r>
          </w:p>
        </w:tc>
      </w:tr>
      <w:tr>
        <w:trPr>
          <w:trHeight w:val="182"/>
        </w:trPr>
        <w:tc>
          <w:tcPr>
            <w:tcW w:w="3220" w:type="dxa"/>
            <w:vAlign w:val="bottom"/>
          </w:tcPr>
          <w:p>
            <w:pPr>
              <w:spacing w:after="0"/>
              <w:rPr>
                <w:sz w:val="15"/>
                <w:szCs w:val="15"/>
                <w:color w:val="auto"/>
              </w:rPr>
            </w:pPr>
          </w:p>
        </w:tc>
        <w:tc>
          <w:tcPr>
            <w:tcW w:w="198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7"/>
              </w:rPr>
              <w:t>AMOUNT</w:t>
            </w:r>
          </w:p>
        </w:tc>
        <w:tc>
          <w:tcPr>
            <w:tcW w:w="14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AMOUNT</w:t>
            </w:r>
          </w:p>
        </w:tc>
        <w:tc>
          <w:tcPr>
            <w:tcW w:w="28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r>
      <w:tr>
        <w:trPr>
          <w:trHeight w:val="182"/>
        </w:trPr>
        <w:tc>
          <w:tcPr>
            <w:tcW w:w="3220" w:type="dxa"/>
            <w:vAlign w:val="bottom"/>
          </w:tcPr>
          <w:p>
            <w:pPr>
              <w:spacing w:after="0"/>
              <w:rPr>
                <w:sz w:val="15"/>
                <w:szCs w:val="15"/>
                <w:color w:val="auto"/>
              </w:rPr>
            </w:pP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4"/>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Balance Sheet Instruments</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2"/>
        </w:trPr>
        <w:tc>
          <w:tcPr>
            <w:tcW w:w="3220" w:type="dxa"/>
            <w:vAlign w:val="bottom"/>
          </w:tcPr>
          <w:p>
            <w:pPr>
              <w:ind w:left="180"/>
              <w:spacing w:after="0"/>
              <w:rPr>
                <w:sz w:val="20"/>
                <w:szCs w:val="20"/>
                <w:color w:val="auto"/>
              </w:rPr>
            </w:pPr>
            <w:r>
              <w:rPr>
                <w:rFonts w:ascii="Courier New" w:cs="Courier New" w:eastAsia="Courier New" w:hAnsi="Courier New"/>
                <w:sz w:val="16"/>
                <w:szCs w:val="16"/>
                <w:color w:val="auto"/>
                <w:w w:val="80"/>
              </w:rPr>
              <w:t>Cash and cash equivalents..............</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44,553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44,553</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23,548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23,548</w:t>
            </w:r>
          </w:p>
        </w:tc>
      </w:tr>
      <w:tr>
        <w:trPr>
          <w:trHeight w:val="182"/>
        </w:trPr>
        <w:tc>
          <w:tcPr>
            <w:tcW w:w="3220" w:type="dxa"/>
            <w:vAlign w:val="bottom"/>
          </w:tcPr>
          <w:p>
            <w:pPr>
              <w:ind w:left="180"/>
              <w:spacing w:after="0"/>
              <w:rPr>
                <w:sz w:val="20"/>
                <w:szCs w:val="20"/>
                <w:color w:val="auto"/>
              </w:rPr>
            </w:pPr>
            <w:r>
              <w:rPr>
                <w:rFonts w:ascii="Courier New" w:cs="Courier New" w:eastAsia="Courier New" w:hAnsi="Courier New"/>
                <w:sz w:val="16"/>
                <w:szCs w:val="16"/>
                <w:color w:val="auto"/>
                <w:w w:val="80"/>
              </w:rPr>
              <w:t>Funds held in escrow...................</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43,241</w:t>
            </w:r>
          </w:p>
        </w:tc>
        <w:tc>
          <w:tcPr>
            <w:tcW w:w="14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43,231</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25,716</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25,744</w:t>
            </w:r>
          </w:p>
        </w:tc>
      </w:tr>
      <w:tr>
        <w:trPr>
          <w:trHeight w:val="182"/>
        </w:trPr>
        <w:tc>
          <w:tcPr>
            <w:tcW w:w="3220" w:type="dxa"/>
            <w:vAlign w:val="bottom"/>
          </w:tcPr>
          <w:p>
            <w:pPr>
              <w:ind w:left="180"/>
              <w:spacing w:after="0"/>
              <w:rPr>
                <w:sz w:val="20"/>
                <w:szCs w:val="20"/>
                <w:color w:val="auto"/>
              </w:rPr>
            </w:pPr>
            <w:r>
              <w:rPr>
                <w:rFonts w:ascii="Courier New" w:cs="Courier New" w:eastAsia="Courier New" w:hAnsi="Courier New"/>
                <w:sz w:val="16"/>
                <w:szCs w:val="16"/>
                <w:color w:val="auto"/>
                <w:w w:val="98"/>
              </w:rPr>
              <w:t>Long-term obligations (including</w:t>
            </w: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3220" w:type="dxa"/>
            <w:vAlign w:val="bottom"/>
          </w:tcPr>
          <w:p>
            <w:pPr>
              <w:ind w:left="460"/>
              <w:spacing w:after="0"/>
              <w:rPr>
                <w:sz w:val="20"/>
                <w:szCs w:val="20"/>
                <w:color w:val="auto"/>
              </w:rPr>
            </w:pPr>
            <w:r>
              <w:rPr>
                <w:rFonts w:ascii="Courier New" w:cs="Courier New" w:eastAsia="Courier New" w:hAnsi="Courier New"/>
                <w:sz w:val="16"/>
                <w:szCs w:val="16"/>
                <w:color w:val="auto"/>
                <w:w w:val="79"/>
              </w:rPr>
              <w:t>current maturities).................</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286,104</w:t>
            </w:r>
          </w:p>
        </w:tc>
        <w:tc>
          <w:tcPr>
            <w:tcW w:w="14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285,853</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253,306</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253,152</w:t>
            </w:r>
          </w:p>
        </w:tc>
      </w:tr>
      <w:tr>
        <w:trPr>
          <w:trHeight w:val="909"/>
        </w:trPr>
        <w:tc>
          <w:tcPr>
            <w:tcW w:w="3220" w:type="dxa"/>
            <w:vAlign w:val="bottom"/>
          </w:tcPr>
          <w:p>
            <w:pPr>
              <w:spacing w:after="0"/>
              <w:rPr>
                <w:sz w:val="24"/>
                <w:szCs w:val="24"/>
                <w:color w:val="auto"/>
              </w:rPr>
            </w:pPr>
          </w:p>
        </w:tc>
        <w:tc>
          <w:tcPr>
            <w:tcW w:w="198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NOTIONAL</w:t>
            </w:r>
          </w:p>
        </w:tc>
        <w:tc>
          <w:tcPr>
            <w:tcW w:w="14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FAIR</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8"/>
              </w:rPr>
              <w:t>NOTIONAL</w:t>
            </w:r>
          </w:p>
        </w:tc>
        <w:tc>
          <w:tcPr>
            <w:tcW w:w="28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FAIR</w:t>
            </w:r>
          </w:p>
        </w:tc>
      </w:tr>
      <w:tr>
        <w:trPr>
          <w:trHeight w:val="182"/>
        </w:trPr>
        <w:tc>
          <w:tcPr>
            <w:tcW w:w="3220" w:type="dxa"/>
            <w:vAlign w:val="bottom"/>
          </w:tcPr>
          <w:p>
            <w:pPr>
              <w:spacing w:after="0"/>
              <w:rPr>
                <w:sz w:val="15"/>
                <w:szCs w:val="15"/>
                <w:color w:val="auto"/>
              </w:rPr>
            </w:pPr>
          </w:p>
        </w:tc>
        <w:tc>
          <w:tcPr>
            <w:tcW w:w="198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7"/>
              </w:rPr>
              <w:t>AMOUNT</w:t>
            </w:r>
          </w:p>
        </w:tc>
        <w:tc>
          <w:tcPr>
            <w:tcW w:w="14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AMOUNT</w:t>
            </w:r>
          </w:p>
        </w:tc>
        <w:tc>
          <w:tcPr>
            <w:tcW w:w="28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r>
      <w:tr>
        <w:trPr>
          <w:trHeight w:val="182"/>
        </w:trPr>
        <w:tc>
          <w:tcPr>
            <w:tcW w:w="3220" w:type="dxa"/>
            <w:vAlign w:val="bottom"/>
          </w:tcPr>
          <w:p>
            <w:pPr>
              <w:spacing w:after="0"/>
              <w:rPr>
                <w:sz w:val="15"/>
                <w:szCs w:val="15"/>
                <w:color w:val="auto"/>
              </w:rPr>
            </w:pP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4"/>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Off Balance Sheet Instruments</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2"/>
        </w:trPr>
        <w:tc>
          <w:tcPr>
            <w:tcW w:w="3220" w:type="dxa"/>
            <w:vAlign w:val="bottom"/>
          </w:tcPr>
          <w:p>
            <w:pPr>
              <w:ind w:left="180"/>
              <w:spacing w:after="0"/>
              <w:rPr>
                <w:sz w:val="20"/>
                <w:szCs w:val="20"/>
                <w:color w:val="auto"/>
              </w:rPr>
            </w:pPr>
            <w:r>
              <w:rPr>
                <w:rFonts w:ascii="Courier New" w:cs="Courier New" w:eastAsia="Courier New" w:hAnsi="Courier New"/>
                <w:sz w:val="16"/>
                <w:szCs w:val="16"/>
                <w:color w:val="auto"/>
                <w:w w:val="80"/>
              </w:rPr>
              <w:t>Letters of credit......................</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$ 131,103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$ 113,080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3220" w:type="dxa"/>
            <w:vAlign w:val="bottom"/>
          </w:tcPr>
          <w:p>
            <w:pPr>
              <w:spacing w:after="0"/>
              <w:rPr>
                <w:sz w:val="24"/>
                <w:szCs w:val="24"/>
                <w:color w:val="auto"/>
              </w:rPr>
            </w:pPr>
          </w:p>
        </w:tc>
        <w:tc>
          <w:tcPr>
            <w:tcW w:w="1980" w:type="dxa"/>
            <w:vAlign w:val="bottom"/>
          </w:tcPr>
          <w:p>
            <w:pPr>
              <w:jc w:val="right"/>
              <w:ind w:right="1541"/>
              <w:spacing w:after="0"/>
              <w:rPr>
                <w:sz w:val="20"/>
                <w:szCs w:val="20"/>
                <w:color w:val="auto"/>
              </w:rPr>
            </w:pPr>
            <w:r>
              <w:rPr>
                <w:rFonts w:ascii="Courier New" w:cs="Courier New" w:eastAsia="Courier New" w:hAnsi="Courier New"/>
                <w:sz w:val="16"/>
                <w:szCs w:val="16"/>
                <w:color w:val="auto"/>
                <w:w w:val="88"/>
              </w:rPr>
              <w:t>F-47</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6"/>
          <w:szCs w:val="16"/>
          <w:color w:val="auto"/>
        </w:rPr>
        <w:t>202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NOTE R --</w:t>
            </w:r>
          </w:p>
        </w:tc>
        <w:tc>
          <w:tcPr>
            <w:tcW w:w="4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9"/>
              </w:rPr>
              <w:t>SELECTED QUARTERLY FINANCIAL DATA (UNAUDITED)</w:t>
            </w: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4"/>
        </w:trPr>
        <w:tc>
          <w:tcPr>
            <w:tcW w:w="7460" w:type="dxa"/>
            <w:vAlign w:val="bottom"/>
            <w:gridSpan w:val="5"/>
          </w:tcPr>
          <w:p>
            <w:pPr>
              <w:ind w:left="460"/>
              <w:spacing w:after="0"/>
              <w:rPr>
                <w:sz w:val="20"/>
                <w:szCs w:val="20"/>
                <w:color w:val="auto"/>
              </w:rPr>
            </w:pPr>
            <w:r>
              <w:rPr>
                <w:rFonts w:ascii="Courier New" w:cs="Courier New" w:eastAsia="Courier New" w:hAnsi="Courier New"/>
                <w:sz w:val="16"/>
                <w:szCs w:val="16"/>
                <w:color w:val="auto"/>
                <w:w w:val="98"/>
              </w:rPr>
              <w:t>The following information summarizes Chambers' quarterly financial results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728"/>
        </w:trPr>
        <w:tc>
          <w:tcPr>
            <w:tcW w:w="9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center"/>
              <w:ind w:right="161"/>
              <w:spacing w:after="0"/>
              <w:rPr>
                <w:sz w:val="20"/>
                <w:szCs w:val="20"/>
                <w:color w:val="auto"/>
              </w:rPr>
            </w:pPr>
            <w:r>
              <w:rPr>
                <w:rFonts w:ascii="Courier New" w:cs="Courier New" w:eastAsia="Courier New" w:hAnsi="Courier New"/>
                <w:sz w:val="16"/>
                <w:szCs w:val="16"/>
                <w:color w:val="auto"/>
              </w:rPr>
              <w:t>NET</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OPERATING</w:t>
            </w:r>
          </w:p>
        </w:tc>
        <w:tc>
          <w:tcPr>
            <w:tcW w:w="10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NET</w:t>
            </w:r>
          </w:p>
        </w:tc>
        <w:tc>
          <w:tcPr>
            <w:tcW w:w="10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INCOME</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INCOME</w:t>
            </w:r>
          </w:p>
        </w:tc>
        <w:tc>
          <w:tcPr>
            <w:tcW w:w="10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INCOME</w:t>
            </w:r>
          </w:p>
        </w:tc>
        <w:tc>
          <w:tcPr>
            <w:tcW w:w="10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(LOSS)</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REVENUES</w:t>
            </w: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(LOSS)</w:t>
            </w:r>
          </w:p>
        </w:tc>
        <w:tc>
          <w:tcPr>
            <w:tcW w:w="10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(LOSS)</w:t>
            </w:r>
          </w:p>
        </w:tc>
        <w:tc>
          <w:tcPr>
            <w:tcW w:w="100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PER SHARE</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Year Ended December 31, 1993</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44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88"/>
              </w:rPr>
              <w:t>First quarter.....................................</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67,687</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$ 9,111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1,788</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Second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75,878</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8,332</w:t>
            </w:r>
          </w:p>
        </w:tc>
        <w:tc>
          <w:tcPr>
            <w:tcW w:w="1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1,503</w:t>
            </w:r>
          </w:p>
        </w:tc>
        <w:tc>
          <w:tcPr>
            <w:tcW w:w="38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Third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75,274</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21,486</w:t>
            </w:r>
          </w:p>
        </w:tc>
        <w:tc>
          <w:tcPr>
            <w:tcW w:w="1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9,527</w:t>
            </w:r>
          </w:p>
        </w:tc>
        <w:tc>
          <w:tcPr>
            <w:tcW w:w="38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Fourth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69,642</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2,074</w:t>
            </w:r>
          </w:p>
        </w:tc>
        <w:tc>
          <w:tcPr>
            <w:tcW w:w="1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(4,515)</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$ 288,481</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$41,003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8,303</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Year Ended December 31, 1994</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44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88"/>
              </w:rPr>
              <w:t>First quarter.....................................</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59,766</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$ 3,315</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 (1,975)</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Second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68,644</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5,696</w:t>
            </w:r>
          </w:p>
        </w:tc>
        <w:tc>
          <w:tcPr>
            <w:tcW w:w="1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860</w:t>
            </w:r>
          </w:p>
        </w:tc>
        <w:tc>
          <w:tcPr>
            <w:tcW w:w="38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Third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67,136</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6,597</w:t>
            </w:r>
          </w:p>
        </w:tc>
        <w:tc>
          <w:tcPr>
            <w:tcW w:w="1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(72,719)</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Fourth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62,443</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(8,388)</w:t>
            </w:r>
          </w:p>
        </w:tc>
        <w:tc>
          <w:tcPr>
            <w:tcW w:w="1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(16,410)</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$ 257,989</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$ 7,220</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$(90,244)</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(1.35)</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7460" w:type="dxa"/>
            <w:vAlign w:val="bottom"/>
            <w:gridSpan w:val="5"/>
          </w:tcPr>
          <w:p>
            <w:pPr>
              <w:ind w:left="460"/>
              <w:spacing w:after="0"/>
              <w:rPr>
                <w:sz w:val="20"/>
                <w:szCs w:val="20"/>
                <w:color w:val="auto"/>
              </w:rPr>
            </w:pPr>
            <w:r>
              <w:rPr>
                <w:rFonts w:ascii="Courier New" w:cs="Courier New" w:eastAsia="Courier New" w:hAnsi="Courier New"/>
                <w:sz w:val="16"/>
                <w:szCs w:val="16"/>
                <w:color w:val="auto"/>
              </w:rPr>
              <w:t>Certain reclassifications have been made to the 1993 quarterly financial</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7460" w:type="dxa"/>
            <w:vAlign w:val="bottom"/>
            <w:gridSpan w:val="5"/>
          </w:tcPr>
          <w:p>
            <w:pPr>
              <w:spacing w:after="0"/>
              <w:rPr>
                <w:sz w:val="20"/>
                <w:szCs w:val="20"/>
                <w:color w:val="auto"/>
              </w:rPr>
            </w:pPr>
            <w:r>
              <w:rPr>
                <w:rFonts w:ascii="Courier New" w:cs="Courier New" w:eastAsia="Courier New" w:hAnsi="Courier New"/>
                <w:sz w:val="16"/>
                <w:szCs w:val="16"/>
                <w:color w:val="auto"/>
              </w:rPr>
              <w:t>results previously reported primarily for the reclassification of shareholder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litigation related costs from unusual items --</w:t>
            </w:r>
          </w:p>
        </w:tc>
        <w:tc>
          <w:tcPr>
            <w:tcW w:w="3020" w:type="dxa"/>
            <w:vAlign w:val="bottom"/>
            <w:gridSpan w:val="3"/>
          </w:tcPr>
          <w:p>
            <w:pPr>
              <w:jc w:val="right"/>
              <w:ind w:right="281"/>
              <w:spacing w:after="0"/>
              <w:rPr>
                <w:sz w:val="20"/>
                <w:szCs w:val="20"/>
                <w:color w:val="auto"/>
              </w:rPr>
            </w:pPr>
            <w:r>
              <w:rPr>
                <w:rFonts w:ascii="Courier New" w:cs="Courier New" w:eastAsia="Courier New" w:hAnsi="Courier New"/>
                <w:sz w:val="16"/>
                <w:szCs w:val="16"/>
                <w:color w:val="auto"/>
                <w:w w:val="98"/>
              </w:rPr>
              <w:t>operations to a component of</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Results for 1993 include net credits for unusual items of $4,563,000,</w:t>
      </w:r>
    </w:p>
    <w:p>
      <w:pPr>
        <w:spacing w:after="0" w:line="5" w:lineRule="exact"/>
        <w:rPr>
          <w:sz w:val="20"/>
          <w:szCs w:val="20"/>
          <w:color w:val="auto"/>
        </w:rPr>
      </w:pPr>
    </w:p>
    <w:p>
      <w:pPr>
        <w:ind w:right="2759"/>
        <w:spacing w:after="0" w:line="267" w:lineRule="auto"/>
        <w:rPr>
          <w:sz w:val="20"/>
          <w:szCs w:val="20"/>
          <w:color w:val="auto"/>
        </w:rPr>
      </w:pPr>
      <w:r>
        <w:rPr>
          <w:rFonts w:ascii="Courier New" w:cs="Courier New" w:eastAsia="Courier New" w:hAnsi="Courier New"/>
          <w:sz w:val="15"/>
          <w:szCs w:val="15"/>
          <w:color w:val="auto"/>
        </w:rPr>
        <w:t>$758,000 and $6,532,000 for the first, second and third quarters, respectively, and a net unusual charge of $5,502,000 for the fourth quarter (see Note N).</w:t>
      </w:r>
    </w:p>
    <w:p>
      <w:pPr>
        <w:spacing w:after="0" w:line="168" w:lineRule="exact"/>
        <w:rPr>
          <w:sz w:val="20"/>
          <w:szCs w:val="20"/>
          <w:color w:val="auto"/>
        </w:rPr>
      </w:pPr>
    </w:p>
    <w:p>
      <w:pPr>
        <w:ind w:right="2839" w:firstLine="473"/>
        <w:spacing w:after="0" w:line="267" w:lineRule="auto"/>
        <w:rPr>
          <w:sz w:val="20"/>
          <w:szCs w:val="20"/>
          <w:color w:val="auto"/>
        </w:rPr>
      </w:pPr>
      <w:r>
        <w:rPr>
          <w:rFonts w:ascii="Courier New" w:cs="Courier New" w:eastAsia="Courier New" w:hAnsi="Courier New"/>
          <w:sz w:val="15"/>
          <w:szCs w:val="15"/>
          <w:color w:val="auto"/>
        </w:rPr>
        <w:t>Results for 1994 include net charges for unusual items of $74,100,000 and $14,163,000 for the third and fourth quarters, respectively (see Note 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S -- COMMITMENTS AND CONTINGENCIES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Employment Agreements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February 1993, Chambers entered into employment agreements with certain of its key executives that provide such executives with rights to severance benefits if employment with Chambers ceases under specified circumstances in connection with a "change of control" of Chambers such as the Merger. Such agreements were replaced effective as of February 1995 with agreements substantially similar to the prior agreements except with respect to certain termination provisions unrelated to the change of control termination provisions. If all such rights were to be exercised, Chambers would be obligated to pay a total of approximately $7,635,000 to such executives. The term of each of these agreements ends on February 2, 1996.</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Litigation and Investigations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Shortly after Chambers' March 17, 1992 announcement of a change in accounting policies concerning capitalization, the Securities and Exchange Commission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F-48</w:t>
      </w:r>
    </w:p>
    <w:p>
      <w:pPr>
        <w:sectPr>
          <w:pgSz w:w="11900" w:h="16838" w:orient="portrait"/>
          <w:cols w:equalWidth="0" w:num="1">
            <w:col w:w="10219"/>
          </w:cols>
          <w:pgMar w:left="240" w:top="295"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6"/>
          <w:szCs w:val="16"/>
          <w:color w:val="auto"/>
        </w:rPr>
        <w:t>203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Securities Exchange Act of 1934 and various rules promulgated thereunder. Chambers has cooperated with the investigation through the production of documents and by providing witnesses pursuant to the Commission's request. Management believes that issues arising from the Commission's investigation will be resolved in the near term.</w:t>
      </w:r>
    </w:p>
    <w:p>
      <w:pPr>
        <w:spacing w:after="0" w:line="200" w:lineRule="exact"/>
        <w:rPr>
          <w:sz w:val="20"/>
          <w:szCs w:val="20"/>
          <w:color w:val="auto"/>
        </w:rPr>
      </w:pPr>
    </w:p>
    <w:p>
      <w:pPr>
        <w:spacing w:after="0" w:line="35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American Stock Exchange and the Chicago Board of Options Exchange are conducting investigations into trading activity on their respective exchanges in Chambers' securities and in put options on Chambers' securities prior to the March 17, 1992 announcement.</w:t>
      </w:r>
    </w:p>
    <w:p>
      <w:pPr>
        <w:spacing w:after="0" w:line="36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discussed in Note D and the Commission's investigation described above.</w:t>
      </w:r>
    </w:p>
    <w:p>
      <w:pPr>
        <w:spacing w:after="0" w:line="369"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Chambers is cooperating with each of the investigations referred to in the three preceding paragraphs.</w:t>
      </w:r>
    </w:p>
    <w:p>
      <w:pPr>
        <w:spacing w:after="0" w:line="37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declaratory judgement action entitled Morel, et al. v. Chambers Waste Systems of Florida, Inc., was filed on September 29, 1994 in the Circuit Court of the Fifteenth Judicial Circuit of Florida in and for Palm Beach County, Florida. The plaintiffs are seeking a declaration that they are entitled to royalty payments from Chambers as calculated by a percentage of gross revenues derived from Chambers' landfill located at Berman Road in Okeechobee County, Florida, as well as from any landfill that may be sited in the future by Chambers on nearby property. Chambers has responded by seeking, among other things, a declaration that any writing or document that the plaintiffs contend such royalty entitlement is based upon is void, voidable or otherwise of no effect or, alternatively, that any royalty payments be solely based upon the nearby property to Chambers' landfill, when a landfill is developed, if ever, on such property. The outcome of this action is not presently determinable.</w:t>
      </w:r>
    </w:p>
    <w:p>
      <w:pPr>
        <w:spacing w:after="0" w:line="37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Since the announcement of the Merger, three cases have been filed in the Court of Chancery of the State of Delaware in New Castle County against Chambers, its officers and directors and USA Waste and Envirofil, Inc. These cases include Smith v. Rangos et al., C.A. No. 13906, Krim v. Rangos et al., C.A. No. 13985, and Adams v. Rangos et al., C.A. No. 13909. Each of these actions relates to the Merger and seeks substantially similar relief. Accordingly, a consolidation order was entered by the Court of Chancery on March 1, 1995. The cases have been consolidated for all purposes under Smith v. Rangos, et al., and the caption of the consolidated case is In Re Chambers Development Company, Inc. Shareholders Litigation, Consolidated C.A. No. 13906. The complaint which will govern the consolidated action is the compliant filed in the Krim action. The Krim complaint is brought as a purported class action on behalf of the plaintiff and all similarly situated Chambers security holders, excluding defendants and any person, firm, corporation or similar entity related to or affiliated with any of the defendants. The complaint alleges that the individual defendants, inter alia, engaged in unfair dealing to the detriment of the class; the Merger is grossly unfair to the members of the class; the members of the class would be irreparably damaged if the Merger were to be consummated; and the defendants' conduct constituted a breach of fiduciary and other common law duties allegedly owed to the putative class. The plaintiff alleges that the Merger consideration is inadequate for various reasons and that the individual defendants failed to maximize shareholder value. 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 Chambers, USA Waste and the individual defendants have filed answers denying the charges set forth in the Complaint and intend to contest vigorously those charges.</w:t>
      </w:r>
    </w:p>
    <w:p>
      <w:pPr>
        <w:sectPr>
          <w:pgSz w:w="11900" w:h="16838" w:orient="portrait"/>
          <w:cols w:equalWidth="0" w:num="1">
            <w:col w:w="10219"/>
          </w:cols>
          <w:pgMar w:left="240" w:top="295" w:right="1440" w:bottom="3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F-49</w:t>
      </w:r>
    </w:p>
    <w:p>
      <w:pPr>
        <w:sectPr>
          <w:pgSz w:w="11900" w:h="16838" w:orient="portrait"/>
          <w:cols w:equalWidth="0" w:num="1">
            <w:col w:w="10219"/>
          </w:cols>
          <w:pgMar w:left="240" w:top="295" w:right="1440" w:bottom="356" w:gutter="0" w:footer="0" w:header="0"/>
          <w:type w:val="continuous"/>
        </w:sectPr>
      </w:pPr>
    </w:p>
    <w:bookmarkStart w:id="207" w:name="page208"/>
    <w:bookmarkEnd w:id="207"/>
    <w:p>
      <w:pPr>
        <w:ind w:left="280"/>
        <w:spacing w:after="0"/>
        <w:rPr>
          <w:sz w:val="20"/>
          <w:szCs w:val="20"/>
          <w:color w:val="auto"/>
        </w:rPr>
      </w:pPr>
      <w:r>
        <w:rPr>
          <w:rFonts w:ascii="Courier New" w:cs="Courier New" w:eastAsia="Courier New" w:hAnsi="Courier New"/>
          <w:sz w:val="16"/>
          <w:szCs w:val="16"/>
          <w:color w:val="auto"/>
        </w:rPr>
        <w:t>204</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Other lawsuits, claims and proceedings have been or may be instituted or asserted against Chambers from time to time. Although the outcome of these matters cannot be predicted with certainty, management of Chambers believes that disposition of these lawsuits, claims and proceedings which are pending or asserted will not have a material adverse effect on Chambers' financial condition or liquidity. Given Chambers' level of operating results, future resolution of these matters may have a material effect on results of operations for interim and annual periods.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Insurance</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Chambers self-insures certain of its comprehensive general liability and workers compensation risks, while maintaining third-party coverage to protect against catastrophic loss, except for losses arising from pollution and environmental liabilities which are self-insured. Chambers has not incurred significant fines, penalties or liabilities for pollution or environmental liabilities at any of its facilities; however, Chambers' operating results could be adversely affected in the future in the event of uninsured losses.</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F-50</w:t>
      </w:r>
    </w:p>
    <w:p>
      <w:pPr>
        <w:sectPr>
          <w:pgSz w:w="11900" w:h="16838" w:orient="portrait"/>
          <w:cols w:equalWidth="0" w:num="1">
            <w:col w:w="10219"/>
          </w:cols>
          <w:pgMar w:left="240" w:top="295"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6"/>
          <w:szCs w:val="16"/>
          <w:color w:val="auto"/>
        </w:rPr>
        <w:t>205</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(DOLLARS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jc w:val="right"/>
              <w:ind w:right="2281"/>
              <w:spacing w:after="0"/>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28"/>
        </w:trPr>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DECEMBER 31,</w:t>
            </w:r>
          </w:p>
        </w:tc>
        <w:tc>
          <w:tcPr>
            <w:tcW w:w="12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7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Cash and cash equivalents..........................................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23,548</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16,432</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Accounts receivable</w:t>
            </w: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9"/>
              </w:rPr>
              <w:t>Trade, less allowances of $1,383 and $1,441, respectively.......</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28,961</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26,206</w:t>
            </w:r>
          </w:p>
        </w:tc>
      </w:tr>
      <w:tr>
        <w:trPr>
          <w:trHeight w:val="182"/>
        </w:trPr>
        <w:tc>
          <w:tcPr>
            <w:tcW w:w="2460" w:type="dxa"/>
            <w:vAlign w:val="bottom"/>
            <w:gridSpan w:val="2"/>
          </w:tcPr>
          <w:p>
            <w:pPr>
              <w:ind w:left="460"/>
              <w:spacing w:after="0"/>
              <w:rPr>
                <w:sz w:val="20"/>
                <w:szCs w:val="20"/>
                <w:color w:val="auto"/>
              </w:rPr>
            </w:pPr>
            <w:r>
              <w:rPr>
                <w:rFonts w:ascii="Courier New" w:cs="Courier New" w:eastAsia="Courier New" w:hAnsi="Courier New"/>
                <w:sz w:val="7"/>
                <w:szCs w:val="7"/>
                <w:color w:val="auto"/>
                <w:w w:val="73"/>
              </w:rPr>
              <w:t>Other...........................................................</w:t>
            </w: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13,673</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978</w:t>
            </w: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Funds held in escrow...............................................</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2,210</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12,574</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Net assets held for sale</w:t>
            </w:r>
          </w:p>
        </w:tc>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9,298</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9,432</w:t>
            </w: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Other current assets...............................................</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7,076</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7,608</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gridSpan w:val="3"/>
          </w:tcPr>
          <w:p>
            <w:pPr>
              <w:spacing w:after="0"/>
              <w:rPr>
                <w:sz w:val="20"/>
                <w:szCs w:val="20"/>
                <w:color w:val="auto"/>
              </w:rPr>
            </w:pPr>
            <w:r>
              <w:rPr>
                <w:rFonts w:ascii="Courier New" w:cs="Courier New" w:eastAsia="Courier New" w:hAnsi="Courier New"/>
                <w:sz w:val="16"/>
                <w:szCs w:val="16"/>
                <w:color w:val="auto"/>
                <w:w w:val="99"/>
              </w:rPr>
              <w:t>Total current assets.................................................</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84,766</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73,230</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gridSpan w:val="3"/>
          </w:tcPr>
          <w:p>
            <w:pPr>
              <w:spacing w:after="0"/>
              <w:rPr>
                <w:sz w:val="20"/>
                <w:szCs w:val="20"/>
                <w:color w:val="auto"/>
              </w:rPr>
            </w:pPr>
            <w:r>
              <w:rPr>
                <w:rFonts w:ascii="Courier New" w:cs="Courier New" w:eastAsia="Courier New" w:hAnsi="Courier New"/>
                <w:sz w:val="16"/>
                <w:szCs w:val="16"/>
                <w:color w:val="auto"/>
              </w:rPr>
              <w:t>Property and equipment, less accumulated depreciation</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and amortization of $158,755 and $164,958, respectively............</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354,428</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355,463</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Funds held for escrow requirements and construction................</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23,506</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22,726</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Other..............................................................</w:t>
            </w: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25,798</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24,944</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w w:val="97"/>
              </w:rPr>
              <w:t>Total other assets</w:t>
            </w:r>
          </w:p>
        </w:tc>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49,304</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47,670</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488,498</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$ 476,363</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gridSpan w:val="3"/>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Current maturities of long-term obligations........................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46,465</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36,874</w:t>
            </w: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Trade accounts payable.............................................</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10,889</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7,237</w:t>
            </w: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Accrued liabilities................................................</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34,751</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33,737</w:t>
            </w: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Deferred revenues..................................................</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4,881</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4,343</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gridSpan w:val="3"/>
          </w:tcPr>
          <w:p>
            <w:pPr>
              <w:spacing w:after="0"/>
              <w:rPr>
                <w:sz w:val="20"/>
                <w:szCs w:val="20"/>
                <w:color w:val="auto"/>
              </w:rPr>
            </w:pPr>
            <w:r>
              <w:rPr>
                <w:rFonts w:ascii="Courier New" w:cs="Courier New" w:eastAsia="Courier New" w:hAnsi="Courier New"/>
                <w:sz w:val="16"/>
                <w:szCs w:val="16"/>
                <w:color w:val="auto"/>
                <w:w w:val="99"/>
              </w:rPr>
              <w:t>Total current liabilities............................................</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96,986</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82,191</w:t>
            </w:r>
          </w:p>
        </w:tc>
      </w:tr>
      <w:tr>
        <w:trPr>
          <w:trHeight w:val="182"/>
        </w:trPr>
        <w:tc>
          <w:tcPr>
            <w:tcW w:w="6620" w:type="dxa"/>
            <w:vAlign w:val="bottom"/>
            <w:gridSpan w:val="3"/>
          </w:tcPr>
          <w:p>
            <w:pPr>
              <w:spacing w:after="0"/>
              <w:rPr>
                <w:sz w:val="20"/>
                <w:szCs w:val="20"/>
                <w:color w:val="auto"/>
              </w:rPr>
            </w:pPr>
            <w:r>
              <w:rPr>
                <w:rFonts w:ascii="Courier New" w:cs="Courier New" w:eastAsia="Courier New" w:hAnsi="Courier New"/>
                <w:sz w:val="16"/>
                <w:szCs w:val="16"/>
                <w:color w:val="auto"/>
                <w:w w:val="99"/>
              </w:rPr>
              <w:t>Long-term obligations, less current maturities.......................</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211,016</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210,799</w:t>
            </w:r>
          </w:p>
        </w:tc>
      </w:tr>
      <w:tr>
        <w:trPr>
          <w:trHeight w:val="182"/>
        </w:trPr>
        <w:tc>
          <w:tcPr>
            <w:tcW w:w="6620" w:type="dxa"/>
            <w:vAlign w:val="bottom"/>
            <w:gridSpan w:val="3"/>
          </w:tcPr>
          <w:p>
            <w:pPr>
              <w:spacing w:after="0"/>
              <w:rPr>
                <w:sz w:val="20"/>
                <w:szCs w:val="20"/>
                <w:color w:val="auto"/>
              </w:rPr>
            </w:pPr>
            <w:r>
              <w:rPr>
                <w:rFonts w:ascii="Courier New" w:cs="Courier New" w:eastAsia="Courier New" w:hAnsi="Courier New"/>
                <w:sz w:val="16"/>
                <w:szCs w:val="16"/>
                <w:color w:val="auto"/>
                <w:w w:val="99"/>
              </w:rPr>
              <w:t>Accrued shareholder litigation settlement............................</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75,300</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75,300</w:t>
            </w:r>
          </w:p>
        </w:tc>
      </w:tr>
      <w:tr>
        <w:trPr>
          <w:trHeight w:val="182"/>
        </w:trPr>
        <w:tc>
          <w:tcPr>
            <w:tcW w:w="6620" w:type="dxa"/>
            <w:vAlign w:val="bottom"/>
            <w:gridSpan w:val="3"/>
          </w:tcPr>
          <w:p>
            <w:pPr>
              <w:spacing w:after="0"/>
              <w:rPr>
                <w:sz w:val="20"/>
                <w:szCs w:val="20"/>
                <w:color w:val="auto"/>
              </w:rPr>
            </w:pPr>
            <w:r>
              <w:rPr>
                <w:rFonts w:ascii="Courier New" w:cs="Courier New" w:eastAsia="Courier New" w:hAnsi="Courier New"/>
                <w:sz w:val="16"/>
                <w:szCs w:val="16"/>
                <w:color w:val="auto"/>
                <w:w w:val="99"/>
              </w:rPr>
              <w:t>Other noncurrent liabilities.........................................</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41,264</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49,410</w:t>
            </w:r>
          </w:p>
        </w:tc>
      </w:tr>
      <w:tr>
        <w:trPr>
          <w:trHeight w:val="182"/>
        </w:trPr>
        <w:tc>
          <w:tcPr>
            <w:tcW w:w="6620" w:type="dxa"/>
            <w:vAlign w:val="bottom"/>
            <w:gridSpan w:val="3"/>
          </w:tcPr>
          <w:p>
            <w:pPr>
              <w:spacing w:after="0"/>
              <w:rPr>
                <w:sz w:val="20"/>
                <w:szCs w:val="20"/>
                <w:color w:val="auto"/>
              </w:rPr>
            </w:pPr>
            <w:r>
              <w:rPr>
                <w:rFonts w:ascii="Courier New" w:cs="Courier New" w:eastAsia="Courier New" w:hAnsi="Courier New"/>
                <w:sz w:val="16"/>
                <w:szCs w:val="16"/>
                <w:color w:val="auto"/>
                <w:w w:val="99"/>
              </w:rPr>
              <w:t>Commitments and contingencies........................................</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w:t>
            </w:r>
          </w:p>
        </w:tc>
        <w:tc>
          <w:tcPr>
            <w:tcW w:w="49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8"/>
              </w:rPr>
              <w:t>-- authorized 10,000,000 shares; no par value; no</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1700" w:type="dxa"/>
            <w:vAlign w:val="bottom"/>
          </w:tcPr>
          <w:p>
            <w:pPr>
              <w:ind w:left="460"/>
              <w:spacing w:after="0"/>
              <w:rPr>
                <w:sz w:val="20"/>
                <w:szCs w:val="20"/>
                <w:color w:val="auto"/>
              </w:rPr>
            </w:pPr>
            <w:r>
              <w:rPr>
                <w:rFonts w:ascii="Courier New" w:cs="Courier New" w:eastAsia="Courier New" w:hAnsi="Courier New"/>
                <w:sz w:val="16"/>
                <w:szCs w:val="16"/>
                <w:color w:val="auto"/>
                <w:w w:val="97"/>
              </w:rPr>
              <w:t>shares issued</w:t>
            </w:r>
          </w:p>
        </w:tc>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Class A Common Stock --</w:t>
            </w:r>
          </w:p>
        </w:tc>
        <w:tc>
          <w:tcPr>
            <w:tcW w:w="41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authorized 100,000,000 shares; par value</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$.50 per share; issued 50,829,559 and 51,197,459 shares,</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2460" w:type="dxa"/>
            <w:vAlign w:val="bottom"/>
            <w:gridSpan w:val="2"/>
          </w:tcPr>
          <w:p>
            <w:pPr>
              <w:ind w:left="460"/>
              <w:spacing w:after="0"/>
              <w:rPr>
                <w:sz w:val="20"/>
                <w:szCs w:val="20"/>
                <w:color w:val="auto"/>
              </w:rPr>
            </w:pPr>
            <w:r>
              <w:rPr>
                <w:rFonts w:ascii="Courier New" w:cs="Courier New" w:eastAsia="Courier New" w:hAnsi="Courier New"/>
                <w:sz w:val="7"/>
                <w:szCs w:val="7"/>
                <w:color w:val="auto"/>
                <w:w w:val="73"/>
              </w:rPr>
              <w:t>respectively....................................................</w:t>
            </w: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25,415</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25,599</w:t>
            </w:r>
          </w:p>
        </w:tc>
      </w:tr>
      <w:tr>
        <w:trPr>
          <w:trHeight w:val="182"/>
        </w:trPr>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Common Stock --</w:t>
            </w:r>
          </w:p>
        </w:tc>
        <w:tc>
          <w:tcPr>
            <w:tcW w:w="4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authorized 50,000,000 shares; par value $.50 per</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share; convertible into Class A Common Stock; issued 16,329,168</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9"/>
              </w:rPr>
              <w:t>and 15,961,268 shares, respectively.............................</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8,165</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7,981</w:t>
            </w: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Additional paid-in capital.........................................</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395,121</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395,121</w:t>
            </w:r>
          </w:p>
        </w:tc>
      </w:tr>
      <w:tr>
        <w:trPr>
          <w:trHeight w:val="182"/>
        </w:trPr>
        <w:tc>
          <w:tcPr>
            <w:tcW w:w="66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Accumulated deficit................................................</w:t>
            </w:r>
          </w:p>
        </w:tc>
        <w:tc>
          <w:tcPr>
            <w:tcW w:w="3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(360,619)</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(365,888)</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68,082</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62,813</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Treasury stock, at cost</w:t>
            </w:r>
          </w:p>
        </w:tc>
        <w:tc>
          <w:tcPr>
            <w:tcW w:w="4160" w:type="dxa"/>
            <w:vAlign w:val="bottom"/>
          </w:tcPr>
          <w:p>
            <w:pPr>
              <w:jc w:val="right"/>
              <w:ind w:right="3141"/>
              <w:spacing w:after="0"/>
              <w:rPr>
                <w:sz w:val="20"/>
                <w:szCs w:val="20"/>
                <w:color w:val="auto"/>
              </w:rPr>
            </w:pPr>
            <w:r>
              <w:rPr>
                <w:rFonts w:ascii="Courier New" w:cs="Courier New" w:eastAsia="Courier New" w:hAnsi="Courier New"/>
                <w:sz w:val="16"/>
                <w:szCs w:val="16"/>
                <w:color w:val="auto"/>
                <w:w w:val="95"/>
              </w:rPr>
              <w:t>-- Class A</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9"/>
              </w:rPr>
              <w:t>Common Stock, 400 shares; Common Stock, 369,200 shares..........</w:t>
            </w:r>
          </w:p>
        </w:tc>
        <w:tc>
          <w:tcPr>
            <w:tcW w:w="3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(4,150)</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(4,150)</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gridSpan w:val="3"/>
          </w:tcPr>
          <w:p>
            <w:pPr>
              <w:ind w:left="940"/>
              <w:spacing w:after="0"/>
              <w:rPr>
                <w:sz w:val="20"/>
                <w:szCs w:val="20"/>
                <w:color w:val="auto"/>
              </w:rPr>
            </w:pPr>
            <w:r>
              <w:rPr>
                <w:rFonts w:ascii="Courier New" w:cs="Courier New" w:eastAsia="Courier New" w:hAnsi="Courier New"/>
                <w:sz w:val="16"/>
                <w:szCs w:val="16"/>
                <w:color w:val="auto"/>
                <w:w w:val="99"/>
              </w:rPr>
              <w:t>Total stockholders' equity.................................</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63,932</w:t>
            </w:r>
          </w:p>
        </w:tc>
        <w:tc>
          <w:tcPr>
            <w:tcW w:w="3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58,663</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488,498</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$ 476,363</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F-51</w:t>
      </w:r>
    </w:p>
    <w:p>
      <w:pPr>
        <w:sectPr>
          <w:pgSz w:w="11900" w:h="16838" w:orient="portrait"/>
          <w:cols w:equalWidth="0" w:num="1">
            <w:col w:w="10219"/>
          </w:cols>
          <w:pgMar w:left="240" w:top="295"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6"/>
          <w:szCs w:val="16"/>
          <w:color w:val="auto"/>
        </w:rPr>
        <w:t>206</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0" w:type="dxa"/>
            <w:vAlign w:val="bottom"/>
          </w:tcPr>
          <w:p>
            <w:pPr>
              <w:jc w:val="right"/>
              <w:ind w:right="2661"/>
              <w:spacing w:after="0"/>
              <w:rPr>
                <w:sz w:val="20"/>
                <w:szCs w:val="20"/>
                <w:color w:val="auto"/>
              </w:rPr>
            </w:pPr>
            <w:r>
              <w:rPr>
                <w:rFonts w:ascii="Courier New" w:cs="Courier New" w:eastAsia="Courier New" w:hAnsi="Courier New"/>
                <w:sz w:val="16"/>
                <w:szCs w:val="16"/>
                <w:color w:val="auto"/>
              </w:rPr>
              <w:t>(UNAUDITED)</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28"/>
        </w:trPr>
        <w:tc>
          <w:tcPr>
            <w:tcW w:w="7000" w:type="dxa"/>
            <w:vAlign w:val="bottom"/>
          </w:tcPr>
          <w:p>
            <w:pPr>
              <w:spacing w:after="0"/>
              <w:rPr>
                <w:sz w:val="24"/>
                <w:szCs w:val="24"/>
                <w:color w:val="auto"/>
              </w:rPr>
            </w:pPr>
          </w:p>
        </w:tc>
        <w:tc>
          <w:tcPr>
            <w:tcW w:w="19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7000" w:type="dxa"/>
            <w:vAlign w:val="bottom"/>
          </w:tcPr>
          <w:p>
            <w:pPr>
              <w:spacing w:after="0"/>
              <w:rPr>
                <w:sz w:val="15"/>
                <w:szCs w:val="15"/>
                <w:color w:val="auto"/>
              </w:rPr>
            </w:pPr>
          </w:p>
        </w:tc>
        <w:tc>
          <w:tcPr>
            <w:tcW w:w="19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7000" w:type="dxa"/>
            <w:vAlign w:val="bottom"/>
          </w:tcPr>
          <w:p>
            <w:pPr>
              <w:spacing w:after="0"/>
              <w:rPr>
                <w:sz w:val="15"/>
                <w:szCs w:val="15"/>
                <w:color w:val="auto"/>
              </w:rPr>
            </w:pPr>
          </w:p>
        </w:tc>
        <w:tc>
          <w:tcPr>
            <w:tcW w:w="1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00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7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Revenues.................................................................</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$59,766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$54,734</w:t>
            </w:r>
          </w:p>
        </w:tc>
      </w:tr>
      <w:tr>
        <w:trPr>
          <w:trHeight w:val="182"/>
        </w:trPr>
        <w:tc>
          <w:tcPr>
            <w:tcW w:w="70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41,776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38,442</w:t>
            </w: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5,356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5,837</w:t>
            </w: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9,319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7,737</w:t>
            </w:r>
          </w:p>
        </w:tc>
      </w:tr>
      <w:tr>
        <w:trPr>
          <w:trHeight w:val="182"/>
        </w:trPr>
        <w:tc>
          <w:tcPr>
            <w:tcW w:w="7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from operations...................................................</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3,315</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2,718</w:t>
            </w:r>
          </w:p>
        </w:tc>
      </w:tr>
      <w:tr>
        <w:trPr>
          <w:trHeight w:val="182"/>
        </w:trPr>
        <w:tc>
          <w:tcPr>
            <w:tcW w:w="70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income, primarily interest.......................................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560</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629</w:t>
            </w: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(5,726)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(8,591)</w:t>
            </w:r>
          </w:p>
        </w:tc>
      </w:tr>
      <w:tr>
        <w:trPr>
          <w:trHeight w:val="182"/>
        </w:trPr>
        <w:tc>
          <w:tcPr>
            <w:tcW w:w="7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Loss before income taxes.................................................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(1,851)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(5,244)</w:t>
            </w: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tax provision.....................................................</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w:t>
            </w:r>
          </w:p>
        </w:tc>
      </w:tr>
      <w:tr>
        <w:trPr>
          <w:trHeight w:val="182"/>
        </w:trPr>
        <w:tc>
          <w:tcPr>
            <w:tcW w:w="7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loss.................................................................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$(1,975)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$(5,269)</w:t>
            </w:r>
          </w:p>
        </w:tc>
      </w:tr>
      <w:tr>
        <w:trPr>
          <w:trHeight w:val="182"/>
        </w:trPr>
        <w:tc>
          <w:tcPr>
            <w:tcW w:w="7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Loss per common share....................................................</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(.03)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(.08)</w:t>
            </w:r>
          </w:p>
        </w:tc>
      </w:tr>
      <w:tr>
        <w:trPr>
          <w:trHeight w:val="182"/>
        </w:trPr>
        <w:tc>
          <w:tcPr>
            <w:tcW w:w="7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0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Weighted average number of shares outstanding............................</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66,789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66,789</w:t>
            </w:r>
          </w:p>
        </w:tc>
      </w:tr>
      <w:tr>
        <w:trPr>
          <w:trHeight w:val="182"/>
        </w:trPr>
        <w:tc>
          <w:tcPr>
            <w:tcW w:w="7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F-52</w:t>
      </w:r>
    </w:p>
    <w:p>
      <w:pPr>
        <w:sectPr>
          <w:pgSz w:w="11900" w:h="16838" w:orient="portrait"/>
          <w:cols w:equalWidth="0" w:num="1">
            <w:col w:w="10219"/>
          </w:cols>
          <w:pgMar w:left="240" w:top="295"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6"/>
          <w:szCs w:val="16"/>
          <w:color w:val="auto"/>
        </w:rPr>
        <w:t>207</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00" w:type="dxa"/>
            <w:vAlign w:val="bottom"/>
          </w:tcPr>
          <w:p>
            <w:pPr>
              <w:ind w:left="3220"/>
              <w:spacing w:after="0"/>
              <w:rPr>
                <w:sz w:val="20"/>
                <w:szCs w:val="20"/>
                <w:color w:val="auto"/>
              </w:rPr>
            </w:pPr>
            <w:r>
              <w:rPr>
                <w:rFonts w:ascii="Courier New" w:cs="Courier New" w:eastAsia="Courier New" w:hAnsi="Courier New"/>
                <w:sz w:val="16"/>
                <w:szCs w:val="16"/>
                <w:color w:val="auto"/>
              </w:rPr>
              <w:t>(UNAUDITED)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909"/>
        </w:trPr>
        <w:tc>
          <w:tcPr>
            <w:tcW w:w="6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THREE MONTHS ENDED</w:t>
            </w:r>
          </w:p>
        </w:tc>
      </w:tr>
      <w:tr>
        <w:trPr>
          <w:trHeight w:val="182"/>
        </w:trPr>
        <w:tc>
          <w:tcPr>
            <w:tcW w:w="6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6800" w:type="dxa"/>
            <w:vAlign w:val="bottom"/>
          </w:tcPr>
          <w:p>
            <w:pPr>
              <w:spacing w:after="0"/>
              <w:rPr>
                <w:sz w:val="15"/>
                <w:szCs w:val="15"/>
                <w:color w:val="auto"/>
              </w:rPr>
            </w:pPr>
          </w:p>
        </w:tc>
        <w:tc>
          <w:tcPr>
            <w:tcW w:w="21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680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Net cash provided by operating activities..............................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2,210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$ 18,172</w:t>
            </w:r>
          </w:p>
        </w:tc>
      </w:tr>
      <w:tr>
        <w:trPr>
          <w:trHeight w:val="182"/>
        </w:trPr>
        <w:tc>
          <w:tcPr>
            <w:tcW w:w="680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Capital expenditures...................................................</w:t>
            </w:r>
          </w:p>
        </w:tc>
        <w:tc>
          <w:tcPr>
            <w:tcW w:w="20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(6,894)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(8,096)</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Decrease (increase) in funds held in escrow............................</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9,279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(9,496)</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2,313</w:t>
            </w:r>
          </w:p>
        </w:tc>
      </w:tr>
      <w:tr>
        <w:trPr>
          <w:trHeight w:val="182"/>
        </w:trPr>
        <w:tc>
          <w:tcPr>
            <w:tcW w:w="680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Net cash provided by (used in) investing activities....................</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3,028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(15,279)</w:t>
            </w:r>
          </w:p>
        </w:tc>
      </w:tr>
      <w:tr>
        <w:trPr>
          <w:trHeight w:val="182"/>
        </w:trPr>
        <w:tc>
          <w:tcPr>
            <w:tcW w:w="680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Principal payments on long-term obligations............................</w:t>
            </w:r>
          </w:p>
        </w:tc>
        <w:tc>
          <w:tcPr>
            <w:tcW w:w="20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(18,188)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(10,009)</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80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Net cash used in financing activities..................................</w:t>
            </w:r>
          </w:p>
        </w:tc>
        <w:tc>
          <w:tcPr>
            <w:tcW w:w="20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(18,185)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(10,009)</w:t>
            </w:r>
          </w:p>
        </w:tc>
      </w:tr>
      <w:tr>
        <w:trPr>
          <w:trHeight w:val="182"/>
        </w:trPr>
        <w:tc>
          <w:tcPr>
            <w:tcW w:w="680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Net decrease in cash and cash equivalents..............................</w:t>
            </w:r>
          </w:p>
        </w:tc>
        <w:tc>
          <w:tcPr>
            <w:tcW w:w="20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(12,947)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(7,116)</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Cash and cash equivalents at beginning of period.......................</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44,553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23,548</w:t>
            </w:r>
          </w:p>
        </w:tc>
      </w:tr>
      <w:tr>
        <w:trPr>
          <w:trHeight w:val="182"/>
        </w:trPr>
        <w:tc>
          <w:tcPr>
            <w:tcW w:w="680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800" w:type="dxa"/>
            <w:vAlign w:val="bottom"/>
          </w:tcPr>
          <w:p>
            <w:pPr>
              <w:spacing w:after="0"/>
              <w:rPr>
                <w:sz w:val="20"/>
                <w:szCs w:val="20"/>
                <w:color w:val="auto"/>
              </w:rPr>
            </w:pPr>
            <w:r>
              <w:rPr>
                <w:rFonts w:ascii="Courier New" w:cs="Courier New" w:eastAsia="Courier New" w:hAnsi="Courier New"/>
                <w:sz w:val="16"/>
                <w:szCs w:val="16"/>
                <w:color w:val="auto"/>
                <w:w w:val="99"/>
              </w:rPr>
              <w:t>Cash and cash equivalents at end of period.............................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31,606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$ 16,432</w:t>
            </w:r>
          </w:p>
        </w:tc>
      </w:tr>
      <w:tr>
        <w:trPr>
          <w:trHeight w:val="182"/>
        </w:trPr>
        <w:tc>
          <w:tcPr>
            <w:tcW w:w="680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F-53</w:t>
      </w:r>
    </w:p>
    <w:p>
      <w:pPr>
        <w:sectPr>
          <w:pgSz w:w="11900" w:h="16838" w:orient="portrait"/>
          <w:cols w:equalWidth="0" w:num="1">
            <w:col w:w="10219"/>
          </w:cols>
          <w:pgMar w:left="240" w:top="295"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6"/>
          <w:szCs w:val="16"/>
          <w:color w:val="auto"/>
        </w:rPr>
        <w:t>208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NOTES TO INTERIM CONDENSED CONSOLIDATED FINANCIAL STATEMENTS (UNAUDITED)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FINANCIAL STATEMENTS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accompanying unaudited condensed consolidated financial statements of Chambers Development Company, Inc. ("Chambers") have been prepared in accordance with generally accepted accounting principles for interim financial information. They do not include all information and footnotes which would be required by generally accepted accounting principles for complete financial statements. In the opinion of management of Chambers, these financial statements contain all adjustments (consisting of normal recurring accruals) considered necessary for a fair presentation of financial position, results of operations and cash flows for the periods presented. Operating results for the three-month period ended March 31, 1995 are not necessarily indicative of the results that may be expected for the year ending December 31,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PROPOSED MERGER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has entered into an Amended and Restated Agreement and Plan of Merger dated as of November 28, 1994 (the "Merger Agreement"), pursuant to which Chambers would become a wholly owned subsidiary of USA Waste Services, Inc. ("USA Waste") through the merger of an existing wholly owned subsidiary of USA Waste with and into Chambers (the "Merger"). The Merger Agreement provides, among other things, for each outstanding share of Chambers' Common Stock and Class A Common Stock to be converted into .41667 of a share of USA Waste's Common Stock. Based upon the 15,439,668 shares of Chambers' Common Stock and the 51,349,459 shares of Class A Common Stock outstanding as of May 5, 1995, Chambers' stockholders will collectively be issued approximately 27,829,000 shares of USA Waste's Common Stock, representing approximately 54.8% of the expected total issued and outstanding shares of USA Waste's Common Stock after the Merger.</w:t>
      </w:r>
    </w:p>
    <w:p>
      <w:pPr>
        <w:spacing w:after="0" w:line="190"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The Merger is subject to a number of conditions, including obtaining the approval of the stockholders of Chambers and of USA Waste, final settlement of the shareholder litigation discussed in Note C and certain other proceedings involving Chambers, and obtaining any necessary regulatory waivers and approvals. It is anticipated that the Merger will be completed by June 30,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SETTLEMENT OF SHAREHOLDER LITIGATION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former auditors, and the underwriters of its securities (the "Federal Class Action"). The significant part of these actions, as amended and consolidated on November 4, 1992, under the caption In Re: Chambers Development Company,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 of a change in accounting method relating to capitalization of certain costs and expenses through its October 20, 1992 announcement of a $362,000,000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 92-1081, also asserts derivative claims on behalf of Chambers (which is named as a nominal defendant) for breach of fiduciary duty against certain of its officers and directors and negligence against its former auditors (the "Federal Derivative Action"). Derivative claims were also filed in state courts on behalf of Chambers (which was named as a nominal defendant) for breach of fiduciary duty against certain of its officers and directors and for negligence against its former auditors (the "Related Actions").</w:t>
      </w:r>
    </w:p>
    <w:p>
      <w:pPr>
        <w:spacing w:after="0" w:line="180" w:lineRule="exact"/>
        <w:rPr>
          <w:sz w:val="20"/>
          <w:szCs w:val="20"/>
          <w:color w:val="auto"/>
        </w:rPr>
      </w:pPr>
    </w:p>
    <w:p>
      <w:pPr>
        <w:ind w:right="3119" w:firstLine="473"/>
        <w:spacing w:after="0" w:line="262" w:lineRule="auto"/>
        <w:rPr>
          <w:sz w:val="20"/>
          <w:szCs w:val="20"/>
          <w:color w:val="auto"/>
        </w:rPr>
      </w:pPr>
      <w:r>
        <w:rPr>
          <w:rFonts w:ascii="Courier New" w:cs="Courier New" w:eastAsia="Courier New" w:hAnsi="Courier New"/>
          <w:sz w:val="15"/>
          <w:szCs w:val="15"/>
          <w:color w:val="auto"/>
        </w:rPr>
        <w:t>On February 24, 1995, representatives of the plaintiffs in the Federal Class Action, representatives of the plaintiffs in the Federal Derivative Action, Chambers and certain individual defendants entered into a</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F-54</w:t>
      </w:r>
    </w:p>
    <w:p>
      <w:pPr>
        <w:sectPr>
          <w:pgSz w:w="11900" w:h="16838" w:orient="portrait"/>
          <w:cols w:equalWidth="0" w:num="1">
            <w:col w:w="10219"/>
          </w:cols>
          <w:pgMar w:left="240" w:top="295"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6"/>
          <w:szCs w:val="16"/>
          <w:color w:val="auto"/>
        </w:rPr>
        <w:t>209</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NOTES TO INTERIM CONDENSED CONSOLIDATED FINANCIAL STATEMENTS -- (CONTINUED)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 described above. Implementation of the Settlement Agreements is conditioned upon the dismissal, with prejudice, of the Related Actions referred to above. On March 22, 1995, the court granted preliminary approval of the settlements and distribution of notices to Chambers' stockholders and the plaintiff class members regarding the settlements. The hearing upon the fairness, reasonableness and adequacy of the proposed settlements has been scheduled for May 19, 1995.</w:t>
      </w:r>
    </w:p>
    <w:p>
      <w:pPr>
        <w:spacing w:after="0" w:line="37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By May 17, 1995, Chambers had been informed by the Claims Administrator for the Class Action that certain potential class members, representing in the aggregate approximately 678,000 shares of Chambers stock, have requested exclusion from the Class Action Settlement Agreement. The Settlement Agreements provide that the requests for exclusion would give the Chambers defendants and the Grant Thornton defendants the right to withdraw from the Settlement Agreements. Potential class members who are excluded from the Class Action settlement will not be foreclosed by such settlement from pursuing any claims they may have against Chambers or others, including Grant Thornton. In addition, if the Grant Thornton defendants elect to withdraw from the settlement, Grant Thornton would not be foreclosed from making claims over against Chambers for damages it has incurred or may incur in the future as a result of any claims against it or otherwise in connection with the subject matter of the settlement, subject, however, to the operation of the bar orders and judgment reduction provisions provided for in the Settlement Agreements. Under the terms of the Settlement Agreements, Chambers may still proceed with the settlements whether or not the Grant Thornton defendants elect to withdraw. In connection with one of the above-mentioned requests for exclusion, a potential class member, purporting to represent approximately 673,000 shares of Chambers stock, has asserted to Chambers' management that it has incurred certain losses beyond those losses attributable to shares purchased during the class period. As of the date hereof, no suit or action has been filed with respect to any such claim.</w:t>
      </w:r>
    </w:p>
    <w:p>
      <w:pPr>
        <w:spacing w:after="0" w:line="200" w:lineRule="exact"/>
        <w:rPr>
          <w:sz w:val="20"/>
          <w:szCs w:val="20"/>
          <w:color w:val="auto"/>
        </w:rPr>
      </w:pPr>
    </w:p>
    <w:p>
      <w:pPr>
        <w:spacing w:after="0" w:line="344"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Chambers has also been informed that the matter captioned Option Resource Group, et al v. Chambers Development Company, Inc. (C.A. No. 93-354 in the United States District Court for the Western District of Pennsylvania) will still be pending after the settlement of the Class Action and the Derivative Action. In addition, two objections were filed to the Derivative Action Settlement Agreement. It is believed that such objections are not significant and are unlikely to prevent approval of the settlement. Objections to the Settlement Agreements were required to be filed with the court by May 11, 1995 and requests for exclusion were required to be mailed by May 11, 1995.</w:t>
      </w:r>
    </w:p>
    <w:p>
      <w:pPr>
        <w:spacing w:after="0" w:line="35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Settlement Agreements provide that the sum of $10,000,000 will be paid by Chambers' directors and officers liability insurance carrier and the sum of $70,000,000 will be paid by Chambers in two installments following final court approval of the settlements. The first installment of $25,000,000 is to be paid within thirty days after the settlement effective date (the date upon which the court has finally approved the settlements of the class actions and derivative actions described above, and all times for appeal have expired or all appeals have been finally rejected) and the second installment of $45,000,000 (the "Second Installment") is to be paid one year after the settlement effective date subject to possible earlier payments based on the Merger and subsequent refinancing. If the Merger or a comparable transaction is consummated, the total settlement payment will be adjusted by a base increase of $5,000,000, which will be adjusted upward or downward by an amount consisting of $16,000 for each penny above or below $4.50 of merger consideration received in the transaction by Chambers' stockholders per share of Chambers' Common Stock and Class A Common Stock, together with interest from the settlement effective date to the payment date (the base increase, together with any adjustment thereto, collectively referred to as the "Adjustment"). Based on the market value of USA</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F-55</w:t>
      </w:r>
    </w:p>
    <w:p>
      <w:pPr>
        <w:sectPr>
          <w:pgSz w:w="11900" w:h="16838" w:orient="portrait"/>
          <w:cols w:equalWidth="0" w:num="1">
            <w:col w:w="10219"/>
          </w:cols>
          <w:pgMar w:left="240" w:top="295"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6"/>
          <w:szCs w:val="16"/>
          <w:color w:val="auto"/>
        </w:rPr>
        <w:t>210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NOTES TO INTERIM CONDENSED CONSOLIDATED FINANCIAL STATEMENTS -- (CONTINUED)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Waste Common Stock on May 11, 1995, the Adjustment would be $8,136,000. Any amount by which the sum of the Second Installment and the Adjustment exceeds $50,600,000 will be paid by John G. Rangos, Sr., Chairman and Chief Executive Officer of Chambers. John G. Rangos, Sr. has also agreed to guarantee Chambers' obligations to make certain payments in the Class Action Settlement in an amount not to exceed $15,000,000.</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Synergy Associates has agreed, under the Derivative Action Settlement Agreement, to contribute to Chambers the headquarters property presently leased by Chambers from Synergy Associates, subject to assumption or discharge by Chambers of an existing mortgage.</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Settlement Agreements will be subject to certain conditions, including court approval, and to the refinancing of Chambers' principal borrowings. The current lending agreements of Chambers restrict Chambers from making the settlement payments without the consent of the lending groups. The terms of the Class Action Settlement Agreement also include a right to terminate the settlements based on appeals or opt-outs with respect to the Federal Class Action.</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After Chambers entered into the Settlement Agreements, the class and derivative plaintiffs entered into settlements with Chambers' former independent auditors. Chambers then entered into an agreement with the class plaintiffs to settle their claims against a group of underwriters of certain of Chambers' securities offerings. Chambers agreed to pay $300,000 to the class plaintiffs to resolve these claims for which the underwriters sought indemnity from Chambers.</w:t>
      </w:r>
    </w:p>
    <w:p>
      <w:pPr>
        <w:spacing w:after="0" w:line="177"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As a result of the foregoing, Chambers accrued $85,300,000 for the cost of the settlements and $4,100,000 for other litigation related costs in 1994. Of that total, $79,400,000 was recorded as a charge to unusual items as a component of other income (expense) and $10,000,000 recoverable under Chambers' directors and officers liability insurance policy was recorded as a current asset.</w:t>
      </w:r>
    </w:p>
    <w:p>
      <w:pPr>
        <w:spacing w:after="0" w:line="174"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While Chambers believes the above-mentioned accruals and charges are adequate to provide for the settlement and related costs, certain of these amounts are estimates, and actual amounts will depend on the outcome of future events. If such estimated amounts are not adequate, additional charges against income would be made when such determinations are made.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SETTLEMENT OF SECURITIES AND EXCHANGE COMMISSION INVESTIGATION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Shortly after Chambers' March 17, 1992 announcement of a change in accounting policies concerning capitalization, the Securities and Exchange Commission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 Securities Exchange Act of 1934 ("Exchange Act") and various rules promulgated thereunder. Chambers has cooperated with the investigation through the production of documents and by providing witnesses pursuant to the Commission's request. On May 9, 1995, the Commission filed a complaint against Chambers in the United States District Court for the Western District of Pennsylvania alleging that Chambers violated the antifraud provisions of the Securities Act of 1933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 and its registration statements filed from 1989 through November 1991. Chambers simultaneously consented, without admitting or denying the Commission's allegations, to the entry</w:t>
      </w:r>
    </w:p>
    <w:p>
      <w:pPr>
        <w:spacing w:after="0" w:line="35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F-56</w:t>
      </w:r>
    </w:p>
    <w:p>
      <w:pPr>
        <w:sectPr>
          <w:pgSz w:w="11900" w:h="16838" w:orient="portrait"/>
          <w:cols w:equalWidth="0" w:num="1">
            <w:col w:w="10219"/>
          </w:cols>
          <w:pgMar w:left="240" w:top="295"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6"/>
          <w:szCs w:val="16"/>
          <w:color w:val="auto"/>
        </w:rPr>
        <w:t>211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NOTES TO INTERIM CONDENSED CONSOLIDATED FINANCIAL STATEMENTS -- (CONTINUED)</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spacing w:after="0" w:line="238" w:lineRule="auto"/>
        <w:rPr>
          <w:sz w:val="20"/>
          <w:szCs w:val="20"/>
          <w:color w:val="auto"/>
        </w:rPr>
      </w:pPr>
      <w:r>
        <w:rPr>
          <w:rFonts w:ascii="Courier New" w:cs="Courier New" w:eastAsia="Courier New" w:hAnsi="Courier New"/>
          <w:sz w:val="16"/>
          <w:szCs w:val="16"/>
          <w:color w:val="auto"/>
        </w:rPr>
        <w:t>of an order enjoining it from violating certain provisions of the Securities Act and the Exchange Act and requiring it to pay a civil penalty of $500,000. The $500,000 was accrued in 1994.</w:t>
      </w:r>
    </w:p>
    <w:p>
      <w:pPr>
        <w:spacing w:after="0" w:line="188" w:lineRule="exact"/>
        <w:rPr>
          <w:sz w:val="20"/>
          <w:szCs w:val="20"/>
          <w:color w:val="auto"/>
        </w:rPr>
      </w:pPr>
    </w:p>
    <w:p>
      <w:pPr>
        <w:ind w:firstLine="473"/>
        <w:spacing w:after="0"/>
        <w:rPr>
          <w:sz w:val="20"/>
          <w:szCs w:val="20"/>
          <w:color w:val="auto"/>
        </w:rPr>
      </w:pPr>
      <w:r>
        <w:rPr>
          <w:rFonts w:ascii="Courier New" w:cs="Courier New" w:eastAsia="Courier New" w:hAnsi="Courier New"/>
          <w:sz w:val="16"/>
          <w:szCs w:val="16"/>
          <w:color w:val="auto"/>
        </w:rPr>
        <w:t>The Commission also instituted administrative proceedings under section 21C of the Exchange Act against four present and former officers of Chambers, including John G. Rangos, Sr., Chairman and Chief Executive Officer of Chambers, Dale O. Nolder, Jr. and John J. Cushma, two of Chambers' former corporate controllers and William R. Nelson, a former chief financial officer of Chambers. The Commission found, among other things, that John G. Rangos, Sr. and John J. Cushma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DIVESTITURES</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Net assets held for sale consist of the following (in thousands):</w:t>
            </w:r>
          </w:p>
        </w:tc>
        <w:tc>
          <w:tcPr>
            <w:tcW w:w="800" w:type="dxa"/>
            <w:vAlign w:val="bottom"/>
          </w:tcPr>
          <w:p>
            <w:pPr>
              <w:spacing w:after="0"/>
              <w:rPr>
                <w:sz w:val="15"/>
                <w:szCs w:val="15"/>
                <w:color w:val="auto"/>
              </w:rPr>
            </w:pPr>
          </w:p>
        </w:tc>
      </w:tr>
      <w:tr>
        <w:trPr>
          <w:trHeight w:val="728"/>
        </w:trPr>
        <w:tc>
          <w:tcPr>
            <w:tcW w:w="5860" w:type="dxa"/>
            <w:vAlign w:val="bottom"/>
          </w:tcPr>
          <w:p>
            <w:pPr>
              <w:spacing w:after="0"/>
              <w:rPr>
                <w:sz w:val="24"/>
                <w:szCs w:val="24"/>
                <w:color w:val="auto"/>
              </w:rPr>
            </w:pPr>
          </w:p>
        </w:tc>
        <w:tc>
          <w:tcPr>
            <w:tcW w:w="122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7"/>
              </w:rPr>
              <w:t>DECEMBER 31,</w:t>
            </w:r>
          </w:p>
        </w:tc>
      </w:tr>
      <w:tr>
        <w:trPr>
          <w:trHeight w:val="182"/>
        </w:trPr>
        <w:tc>
          <w:tcPr>
            <w:tcW w:w="5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1994</w:t>
            </w:r>
          </w:p>
        </w:tc>
      </w:tr>
      <w:tr>
        <w:trPr>
          <w:trHeight w:val="182"/>
        </w:trPr>
        <w:tc>
          <w:tcPr>
            <w:tcW w:w="5860" w:type="dxa"/>
            <w:vAlign w:val="bottom"/>
          </w:tcPr>
          <w:p>
            <w:pPr>
              <w:spacing w:after="0"/>
              <w:rPr>
                <w:sz w:val="15"/>
                <w:szCs w:val="15"/>
                <w:color w:val="auto"/>
              </w:rPr>
            </w:pPr>
          </w:p>
        </w:tc>
        <w:tc>
          <w:tcPr>
            <w:tcW w:w="122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5860" w:type="dxa"/>
            <w:vAlign w:val="bottom"/>
          </w:tcPr>
          <w:p>
            <w:pPr>
              <w:spacing w:after="0"/>
              <w:rPr>
                <w:sz w:val="20"/>
                <w:szCs w:val="20"/>
                <w:color w:val="auto"/>
              </w:rPr>
            </w:pPr>
            <w:r>
              <w:rPr>
                <w:rFonts w:ascii="Courier New" w:cs="Courier New" w:eastAsia="Courier New" w:hAnsi="Courier New"/>
                <w:sz w:val="16"/>
                <w:szCs w:val="16"/>
                <w:color w:val="auto"/>
                <w:w w:val="99"/>
              </w:rPr>
              <w:t>Inventories and prepaid expenses.............................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w w:val="99"/>
              </w:rPr>
              <w:t>Property and equipment, net..................................</w:t>
            </w:r>
          </w:p>
        </w:tc>
        <w:tc>
          <w:tcPr>
            <w:tcW w:w="42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11,222</w:t>
            </w:r>
          </w:p>
        </w:tc>
      </w:tr>
      <w:tr>
        <w:trPr>
          <w:trHeight w:val="182"/>
        </w:trPr>
        <w:tc>
          <w:tcPr>
            <w:tcW w:w="5860" w:type="dxa"/>
            <w:vAlign w:val="bottom"/>
          </w:tcPr>
          <w:p>
            <w:pPr>
              <w:spacing w:after="0"/>
              <w:rPr>
                <w:sz w:val="15"/>
                <w:szCs w:val="15"/>
                <w:color w:val="auto"/>
              </w:rPr>
            </w:pPr>
          </w:p>
        </w:tc>
        <w:tc>
          <w:tcPr>
            <w:tcW w:w="12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11,318</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w w:val="99"/>
              </w:rPr>
              <w:t>Less allowance for losses....................................</w:t>
            </w:r>
          </w:p>
        </w:tc>
        <w:tc>
          <w:tcPr>
            <w:tcW w:w="42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2,020</w:t>
            </w:r>
          </w:p>
        </w:tc>
      </w:tr>
      <w:tr>
        <w:trPr>
          <w:trHeight w:val="182"/>
        </w:trPr>
        <w:tc>
          <w:tcPr>
            <w:tcW w:w="5860" w:type="dxa"/>
            <w:vAlign w:val="bottom"/>
          </w:tcPr>
          <w:p>
            <w:pPr>
              <w:spacing w:after="0"/>
              <w:rPr>
                <w:sz w:val="15"/>
                <w:szCs w:val="15"/>
                <w:color w:val="auto"/>
              </w:rPr>
            </w:pPr>
          </w:p>
        </w:tc>
        <w:tc>
          <w:tcPr>
            <w:tcW w:w="12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w w:val="99"/>
              </w:rPr>
              <w:t>Net assets held for sale.....................................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9,298</w:t>
            </w:r>
          </w:p>
        </w:tc>
      </w:tr>
      <w:tr>
        <w:trPr>
          <w:trHeight w:val="182"/>
        </w:trPr>
        <w:tc>
          <w:tcPr>
            <w:tcW w:w="5860" w:type="dxa"/>
            <w:vAlign w:val="bottom"/>
          </w:tcPr>
          <w:p>
            <w:pPr>
              <w:spacing w:after="0"/>
              <w:rPr>
                <w:sz w:val="15"/>
                <w:szCs w:val="15"/>
                <w:color w:val="auto"/>
              </w:rPr>
            </w:pPr>
          </w:p>
        </w:tc>
        <w:tc>
          <w:tcPr>
            <w:tcW w:w="12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100" w:firstLine="473"/>
        <w:spacing w:after="0" w:line="239" w:lineRule="auto"/>
        <w:rPr>
          <w:sz w:val="20"/>
          <w:szCs w:val="20"/>
          <w:color w:val="auto"/>
        </w:rPr>
      </w:pPr>
      <w:r>
        <w:rPr>
          <w:rFonts w:ascii="Courier New" w:cs="Courier New" w:eastAsia="Courier New" w:hAnsi="Courier New"/>
          <w:sz w:val="16"/>
          <w:szCs w:val="16"/>
          <w:color w:val="auto"/>
        </w:rPr>
        <w:t>Included in the results of operations for the three-month periods ended March 31, 1994 and 1995 are revenues of $1,055,000 and $868,000, respectively, for businesses whose assets are held for sale. Operating losses of $238,000 and $129,000 for the respective periods have been incurred and charged to the previously established reserve for divestiture losses.</w:t>
      </w:r>
    </w:p>
    <w:p>
      <w:pPr>
        <w:spacing w:after="0" w:line="189" w:lineRule="exact"/>
        <w:rPr>
          <w:sz w:val="20"/>
          <w:szCs w:val="20"/>
          <w:color w:val="auto"/>
        </w:rPr>
      </w:pPr>
    </w:p>
    <w:p>
      <w:pPr>
        <w:jc w:val="both"/>
        <w:ind w:firstLine="473"/>
        <w:spacing w:after="0" w:line="238" w:lineRule="auto"/>
        <w:rPr>
          <w:sz w:val="20"/>
          <w:szCs w:val="20"/>
          <w:color w:val="auto"/>
        </w:rPr>
      </w:pPr>
      <w:r>
        <w:rPr>
          <w:rFonts w:ascii="Courier New" w:cs="Courier New" w:eastAsia="Courier New" w:hAnsi="Courier New"/>
          <w:sz w:val="16"/>
          <w:szCs w:val="16"/>
          <w:color w:val="auto"/>
        </w:rPr>
        <w:t>Also included in the results of operations for the three months ended March 31, 1994 are revenues of $385,000 and a loss from operations of $237,000, for a business that was sold during 1994.</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CURRENT ACCRUED LIABILITIES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Current accrued liabilities consist of the following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7"/>
              </w:rPr>
              <w:t>DECEMBER 31,</w:t>
            </w:r>
          </w:p>
        </w:tc>
      </w:tr>
      <w:tr>
        <w:trPr>
          <w:trHeight w:val="182"/>
        </w:trPr>
        <w:tc>
          <w:tcPr>
            <w:tcW w:w="8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1994</w:t>
            </w:r>
          </w:p>
        </w:tc>
      </w:tr>
      <w:tr>
        <w:trPr>
          <w:trHeight w:val="182"/>
        </w:trPr>
        <w:tc>
          <w:tcPr>
            <w:tcW w:w="8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624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Shareholder litigation settlement............................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$ 10,000</w:t>
            </w:r>
          </w:p>
        </w:tc>
      </w:tr>
      <w:tr>
        <w:trPr>
          <w:trHeight w:val="182"/>
        </w:trPr>
        <w:tc>
          <w:tcPr>
            <w:tcW w:w="624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Insurance....................................................</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4,098</w:t>
            </w:r>
          </w:p>
        </w:tc>
      </w:tr>
      <w:tr>
        <w:trPr>
          <w:trHeight w:val="182"/>
        </w:trPr>
        <w:tc>
          <w:tcPr>
            <w:tcW w:w="840" w:type="dxa"/>
            <w:vAlign w:val="bottom"/>
          </w:tcPr>
          <w:p>
            <w:pPr>
              <w:ind w:left="380"/>
              <w:spacing w:after="0"/>
              <w:rPr>
                <w:sz w:val="20"/>
                <w:szCs w:val="20"/>
                <w:color w:val="auto"/>
              </w:rPr>
            </w:pPr>
            <w:r>
              <w:rPr>
                <w:rFonts w:ascii="Courier New" w:cs="Courier New" w:eastAsia="Courier New" w:hAnsi="Courier New"/>
                <w:sz w:val="16"/>
                <w:szCs w:val="16"/>
                <w:color w:val="auto"/>
                <w:w w:val="91"/>
              </w:rPr>
              <w:t>Other</w:t>
            </w:r>
          </w:p>
        </w:tc>
        <w:tc>
          <w:tcPr>
            <w:tcW w:w="54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20,653</w:t>
            </w:r>
          </w:p>
        </w:tc>
      </w:tr>
      <w:tr>
        <w:trPr>
          <w:trHeight w:val="182"/>
        </w:trPr>
        <w:tc>
          <w:tcPr>
            <w:tcW w:w="8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8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$ 34,751</w:t>
            </w:r>
          </w:p>
        </w:tc>
      </w:tr>
      <w:tr>
        <w:trPr>
          <w:trHeight w:val="182"/>
        </w:trPr>
        <w:tc>
          <w:tcPr>
            <w:tcW w:w="8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46"/>
        </w:trPr>
        <w:tc>
          <w:tcPr>
            <w:tcW w:w="840" w:type="dxa"/>
            <w:vAlign w:val="bottom"/>
          </w:tcPr>
          <w:p>
            <w:pPr>
              <w:spacing w:after="0"/>
              <w:rPr>
                <w:sz w:val="20"/>
                <w:szCs w:val="20"/>
                <w:color w:val="auto"/>
              </w:rPr>
            </w:pPr>
            <w:r>
              <w:rPr>
                <w:rFonts w:ascii="Courier New" w:cs="Courier New" w:eastAsia="Courier New" w:hAnsi="Courier New"/>
                <w:sz w:val="16"/>
                <w:szCs w:val="16"/>
                <w:color w:val="auto"/>
                <w:w w:val="94"/>
              </w:rPr>
              <w:t>NOTE G --</w:t>
            </w:r>
          </w:p>
        </w:tc>
        <w:tc>
          <w:tcPr>
            <w:tcW w:w="5400" w:type="dxa"/>
            <w:vAlign w:val="bottom"/>
          </w:tcPr>
          <w:p>
            <w:pPr>
              <w:jc w:val="right"/>
              <w:ind w:right="4081"/>
              <w:spacing w:after="0"/>
              <w:rPr>
                <w:sz w:val="20"/>
                <w:szCs w:val="20"/>
                <w:color w:val="auto"/>
              </w:rPr>
            </w:pPr>
            <w:r>
              <w:rPr>
                <w:rFonts w:ascii="Courier New" w:cs="Courier New" w:eastAsia="Courier New" w:hAnsi="Courier New"/>
                <w:sz w:val="16"/>
                <w:szCs w:val="16"/>
                <w:color w:val="auto"/>
              </w:rPr>
              <w:t>INCOME TAXES</w:t>
            </w:r>
          </w:p>
        </w:tc>
        <w:tc>
          <w:tcPr>
            <w:tcW w:w="1220" w:type="dxa"/>
            <w:vAlign w:val="bottom"/>
          </w:tcPr>
          <w:p>
            <w:pPr>
              <w:spacing w:after="0"/>
              <w:rPr>
                <w:sz w:val="24"/>
                <w:szCs w:val="24"/>
                <w:color w:val="auto"/>
              </w:rPr>
            </w:pPr>
          </w:p>
        </w:tc>
      </w:tr>
    </w:tbl>
    <w:p>
      <w:pPr>
        <w:spacing w:after="0" w:line="186" w:lineRule="exact"/>
        <w:rPr>
          <w:sz w:val="20"/>
          <w:szCs w:val="20"/>
          <w:color w:val="auto"/>
        </w:rPr>
      </w:pPr>
    </w:p>
    <w:p>
      <w:pPr>
        <w:ind w:firstLine="473"/>
        <w:spacing w:after="0" w:line="238" w:lineRule="auto"/>
        <w:rPr>
          <w:sz w:val="20"/>
          <w:szCs w:val="20"/>
          <w:color w:val="auto"/>
        </w:rPr>
      </w:pPr>
      <w:r>
        <w:rPr>
          <w:rFonts w:ascii="Courier New" w:cs="Courier New" w:eastAsia="Courier New" w:hAnsi="Courier New"/>
          <w:sz w:val="16"/>
          <w:szCs w:val="16"/>
          <w:color w:val="auto"/>
        </w:rPr>
        <w:t>The provision for income taxes for the three months ended March 31, 1994 and 1995 is for current state and local income taxes. There was no provision for federal income taxes as a result of Chambers' loss for both periods.</w:t>
      </w:r>
    </w:p>
    <w:p>
      <w:pPr>
        <w:spacing w:after="0" w:line="18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560" w:hanging="464"/>
        <w:spacing w:after="0"/>
        <w:tabs>
          <w:tab w:leader="none" w:pos="5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92</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11,231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6"/>
          <w:szCs w:val="16"/>
          <w:color w:val="auto"/>
        </w:rPr>
        <w:t>11,323</w:t>
      </w:r>
    </w:p>
    <w:p>
      <w:pPr>
        <w:spacing w:after="0" w:line="1"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6"/>
          <w:szCs w:val="16"/>
          <w:color w:val="auto"/>
        </w:rPr>
        <w:t>1,891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hanging="184"/>
        <w:spacing w:after="0"/>
        <w:tabs>
          <w:tab w:leader="none" w:pos="2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9,432</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6"/>
          <w:szCs w:val="16"/>
          <w:color w:val="auto"/>
        </w:rPr>
        <w:t>$10,000</w:t>
      </w:r>
    </w:p>
    <w:p>
      <w:pPr>
        <w:spacing w:after="0" w:line="1"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6"/>
          <w:szCs w:val="16"/>
          <w:color w:val="auto"/>
        </w:rPr>
        <w:t>4,356</w:t>
      </w:r>
    </w:p>
    <w:p>
      <w:pPr>
        <w:spacing w:after="0" w:line="1"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6"/>
          <w:szCs w:val="16"/>
          <w:color w:val="auto"/>
        </w:rPr>
        <w:t>19,381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$33,737</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560" w:space="380"/>
            <w:col w:w="2279"/>
          </w:cols>
          <w:pgMar w:left="240" w:top="295" w:right="1440" w:bottom="1440" w:gutter="0" w:footer="0" w:header="0"/>
          <w:type w:val="continuous"/>
        </w:sectPr>
      </w:pPr>
    </w:p>
    <w:bookmarkStart w:id="215" w:name="page216"/>
    <w:bookmarkEnd w:id="215"/>
    <w:p>
      <w:pPr>
        <w:ind w:left="280"/>
        <w:spacing w:after="0"/>
        <w:rPr>
          <w:sz w:val="20"/>
          <w:szCs w:val="20"/>
          <w:color w:val="auto"/>
        </w:rPr>
      </w:pPr>
      <w:r>
        <w:rPr>
          <w:rFonts w:ascii="Courier New" w:cs="Courier New" w:eastAsia="Courier New" w:hAnsi="Courier New"/>
          <w:sz w:val="16"/>
          <w:szCs w:val="16"/>
          <w:color w:val="auto"/>
        </w:rPr>
        <w:t>212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NOTES TO INTERIM CONDENSED CONSOLIDATED FINANCIAL STATEMENTS -- (CONTINUED)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H -- CONTINGENCIES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Employment Agreements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February 1993, Chambers entered into employment agreements with certain of its officers that provide such officers with rights to severance benefits if employment with Chambers ceases under specified circumstances in connection with a "change of control" of Chambers such as the Merger. Such agreements were replaced effective as of February 1995 with agreements substantially similar to the prior agreements except with respect to certain termination provisions unrelated to the change of control termination provisions. If all such rights were to be exercised, Chambers would be obligated to pay a total of approximately $7,635,000 to such officers. The term of each of these agreements ends on February 2, 1996.</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Litigation and Investigations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American Stock Exchange and the Chicago Board of Options Exchange are conducting investigations into trading activity on their respective exchanges in Chambers' securities and in put options on Chambers' securities prior to the March 17, 1992 announcement.</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discussed in Note C and the Commission's investigation discussed in Note D.</w:t>
      </w:r>
    </w:p>
    <w:p>
      <w:pPr>
        <w:spacing w:after="0" w:line="187"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Chambers is cooperating with each of the investigations referred to in the two preceding paragraphs.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declaratory judgement action entitled Morel, et al. v. Chambers Waste Systems of Florida, Inc., was filed on September 29, 1994 in the Circuit Court of the Fifteenth Judicial Circuit of Florida in and for Palm Beach County, Florida. The plaintiffs are asking the court to declare that they are entitled to royalty payments from Chambers as calculated by a percentage of gross revenues derived from Chambers' landfill located at Berman Road in Okeechobee County, Florida, as well as from any landfill that may be sited in the future by Chambers on nearby property. Chambers has responded by seeking, among other things, a declaration that any writing or document that the plaintiffs contend such royalty entitlement is based upon is void, voidable or otherwise of no effect or, alternatively, that any royalty payments be solely based upon nearby property to Chambers' landfill, when a landfill is developed, if ever, on such property. The outcome of this action is not presently determinable.</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Since the announcement of the Merger, three cases have been filed in the Court of Chancery of the State of Delaware in New Castle County against Chambers, its officers and directors and USA Waste and Envirofil, Inc. These cases include Smith v. Rangos et al., C.A. No. 13906, Krim v. Rangos et al., C.A. No. 13985, and Adams v. Rangos et al., C.A. No. 13909. Each of these actions relates to the Merger and all of them seek substantially similar relief. Accordingly, a consolidation order was entered by the Court of Chancery on March 1, 1995. The cases have been consolidated for all purposes under Smith v. Rangos, et al. at C.A. No. 13906 and the caption of the consolidated case is In Re Chambers Development Company, Inc. Shareholders Litigation, Consolidated C.A. No. 13906. The complaint which will govern the consolidated action is the compliant filed in the Krim action. The Krim complaint is brought as a purported class action on behalf of the plaintiff and all similarly situated Chambers security holders, excluding defendants and any person, firm, corporation or similar entity related to or affiliated with any of the defendants. The complaint alleges that the individual defendants, inter alia, engaged in unfair dealing to the detriment of the putative class; the Merger is grossly unfair to the members of the putative class; the members of the putative class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F-58</w:t>
      </w:r>
    </w:p>
    <w:p>
      <w:pPr>
        <w:sectPr>
          <w:pgSz w:w="11900" w:h="16838" w:orient="portrait"/>
          <w:cols w:equalWidth="0" w:num="1">
            <w:col w:w="10219"/>
          </w:cols>
          <w:pgMar w:left="240" w:top="295"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6"/>
          <w:szCs w:val="16"/>
          <w:color w:val="auto"/>
        </w:rPr>
        <w:t>213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NOTES TO INTERIM CONDENSED CONSOLIDATED FINANCIAL STATEMENTS -- (CONTINUED)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would be irreparably damaged if the Merger were to be consummated; and the defendants' conduct constituted a breach of fiduciary and other common law duties allegedly owed to the putative class. The complaint alleges that the Merger consideration is inadequate for various reasons and that the individual defendants failed to maximize shareholder value. 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 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19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Other lawsuits, claims and proceedings have been or may be instituted or asserted against Chambers from time to time. Although the outcome of these matters cannot be predicted with certainty, management of Chambers believes that disposition of these lawsuits, claims and proceedings which are pending or asserted will not have a material adverse effect on Chambers' financial condition or liquidity. Given Chambers' level of operating results, future resolution of these matters may have a material effect on results of operations for interim and annual periods.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F-59</w:t>
      </w:r>
    </w:p>
    <w:p>
      <w:pPr>
        <w:sectPr>
          <w:pgSz w:w="11900" w:h="16838" w:orient="portrait"/>
          <w:cols w:equalWidth="0" w:num="1">
            <w:col w:w="10219"/>
          </w:cols>
          <w:pgMar w:left="240" w:top="295"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6"/>
          <w:szCs w:val="16"/>
          <w:color w:val="auto"/>
        </w:rPr>
        <w:t>214</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AMENDED AND RESTATED</w:t>
      </w:r>
    </w:p>
    <w:p>
      <w:pPr>
        <w:spacing w:after="0" w:line="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AGREEMENT AND PLAN OF MERGER</w:t>
      </w:r>
    </w:p>
    <w:p>
      <w:pPr>
        <w:spacing w:after="0" w:line="1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NOVEMBER 28, 1994</w:t>
      </w:r>
    </w:p>
    <w:p>
      <w:pPr>
        <w:spacing w:after="0" w:line="1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BY AND AMONG</w:t>
      </w:r>
    </w:p>
    <w:p>
      <w:pPr>
        <w:spacing w:after="0" w:line="183"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CHAMBERS ACQUISITION CORPORATION</w:t>
      </w:r>
    </w:p>
    <w:p>
      <w:pPr>
        <w:spacing w:after="0" w:line="1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CHAMBERS DEVELOPMENT COMPANY, INC.</w:t>
      </w:r>
    </w:p>
    <w:p>
      <w:pPr>
        <w:sectPr>
          <w:pgSz w:w="11900" w:h="16838" w:orient="portrait"/>
          <w:cols w:equalWidth="0" w:num="1">
            <w:col w:w="9939"/>
          </w:cols>
          <w:pgMar w:left="520" w:top="295"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6"/>
          <w:szCs w:val="16"/>
          <w:color w:val="auto"/>
        </w:rPr>
        <w:t>215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520" w:type="dxa"/>
            <w:vAlign w:val="bottom"/>
          </w:tcPr>
          <w:p>
            <w:pPr>
              <w:jc w:val="center"/>
              <w:ind w:right="1901"/>
              <w:spacing w:after="0"/>
              <w:rPr>
                <w:sz w:val="20"/>
                <w:szCs w:val="20"/>
                <w:color w:val="auto"/>
              </w:rPr>
            </w:pPr>
            <w:r>
              <w:rPr>
                <w:rFonts w:ascii="Courier New" w:cs="Courier New" w:eastAsia="Courier New" w:hAnsi="Courier New"/>
                <w:sz w:val="16"/>
                <w:szCs w:val="16"/>
                <w:color w:val="auto"/>
                <w:w w:val="99"/>
              </w:rPr>
              <w:t>TABLE OF CONTENTS</w:t>
            </w:r>
          </w:p>
        </w:tc>
        <w:tc>
          <w:tcPr>
            <w:tcW w:w="620" w:type="dxa"/>
            <w:vAlign w:val="bottom"/>
          </w:tcPr>
          <w:p>
            <w:pPr>
              <w:spacing w:after="0"/>
              <w:rPr>
                <w:sz w:val="15"/>
                <w:szCs w:val="15"/>
                <w:color w:val="auto"/>
              </w:rPr>
            </w:pPr>
          </w:p>
        </w:tc>
      </w:tr>
      <w:tr>
        <w:trPr>
          <w:trHeight w:val="728"/>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01"/>
              <w:spacing w:after="0"/>
              <w:rPr>
                <w:sz w:val="20"/>
                <w:szCs w:val="20"/>
                <w:color w:val="auto"/>
              </w:rPr>
            </w:pPr>
            <w:r>
              <w:rPr>
                <w:rFonts w:ascii="Courier New" w:cs="Courier New" w:eastAsia="Courier New" w:hAnsi="Courier New"/>
                <w:sz w:val="16"/>
                <w:szCs w:val="16"/>
                <w:color w:val="auto"/>
                <w:w w:val="99"/>
              </w:rPr>
              <w:t>ARTICLE 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81"/>
              <w:spacing w:after="0"/>
              <w:rPr>
                <w:sz w:val="20"/>
                <w:szCs w:val="20"/>
                <w:color w:val="auto"/>
              </w:rPr>
            </w:pPr>
            <w:r>
              <w:rPr>
                <w:rFonts w:ascii="Courier New" w:cs="Courier New" w:eastAsia="Courier New" w:hAnsi="Courier New"/>
                <w:sz w:val="16"/>
                <w:szCs w:val="16"/>
                <w:color w:val="auto"/>
                <w:w w:val="97"/>
              </w:rPr>
              <w:t>THE MERGER</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The Merger........................................................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Effective Time of the Merger......................................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w:t>
            </w: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81"/>
              <w:spacing w:after="0"/>
              <w:rPr>
                <w:sz w:val="20"/>
                <w:szCs w:val="20"/>
                <w:color w:val="auto"/>
              </w:rPr>
            </w:pPr>
            <w:r>
              <w:rPr>
                <w:rFonts w:ascii="Courier New" w:cs="Courier New" w:eastAsia="Courier New" w:hAnsi="Courier New"/>
                <w:sz w:val="16"/>
                <w:szCs w:val="16"/>
                <w:color w:val="auto"/>
                <w:w w:val="97"/>
              </w:rPr>
              <w:t>ARTICLE II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01"/>
              <w:spacing w:after="0"/>
              <w:rPr>
                <w:sz w:val="20"/>
                <w:szCs w:val="20"/>
                <w:color w:val="auto"/>
              </w:rPr>
            </w:pPr>
            <w:r>
              <w:rPr>
                <w:rFonts w:ascii="Courier New" w:cs="Courier New" w:eastAsia="Courier New" w:hAnsi="Courier New"/>
                <w:sz w:val="16"/>
                <w:szCs w:val="16"/>
                <w:color w:val="auto"/>
                <w:w w:val="98"/>
              </w:rPr>
              <w:t>THE SURVIVING AND PARENT CORPORATIONS</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Certificate of Incorporation......................................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By-Laws...........................................................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2.3.</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Directors.........................................................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2.4.</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Officers..........................................................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8"/>
              </w:rPr>
              <w:t>ARTICLE III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81"/>
              <w:spacing w:after="0"/>
              <w:rPr>
                <w:sz w:val="20"/>
                <w:szCs w:val="20"/>
                <w:color w:val="auto"/>
              </w:rPr>
            </w:pPr>
            <w:r>
              <w:rPr>
                <w:rFonts w:ascii="Courier New" w:cs="Courier New" w:eastAsia="Courier New" w:hAnsi="Courier New"/>
                <w:sz w:val="16"/>
                <w:szCs w:val="16"/>
                <w:color w:val="auto"/>
                <w:w w:val="98"/>
              </w:rPr>
              <w:t>CONVERSION OF SHARES</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Conversion of Company Shares in the Merger........................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Conversion of Subsidiary Shares...................................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3.3.</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Exchange of Certificates..........................................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3.4.</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No Fractional Securities..........................................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3.5.</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Closing...........................................................</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3.6.</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Closing of the Company's Transfer Books...........................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81"/>
              <w:spacing w:after="0"/>
              <w:rPr>
                <w:sz w:val="20"/>
                <w:szCs w:val="20"/>
                <w:color w:val="auto"/>
              </w:rPr>
            </w:pPr>
            <w:r>
              <w:rPr>
                <w:rFonts w:ascii="Courier New" w:cs="Courier New" w:eastAsia="Courier New" w:hAnsi="Courier New"/>
                <w:sz w:val="16"/>
                <w:szCs w:val="16"/>
                <w:color w:val="auto"/>
                <w:w w:val="97"/>
              </w:rPr>
              <w:t>ARTICLE IV</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7220" w:type="dxa"/>
            <w:vAlign w:val="bottom"/>
            <w:gridSpan w:val="2"/>
          </w:tcPr>
          <w:p>
            <w:pPr>
              <w:jc w:val="center"/>
              <w:ind w:right="1181"/>
              <w:spacing w:after="0"/>
              <w:rPr>
                <w:sz w:val="20"/>
                <w:szCs w:val="20"/>
                <w:color w:val="auto"/>
              </w:rPr>
            </w:pPr>
            <w:r>
              <w:rPr>
                <w:rFonts w:ascii="Courier New" w:cs="Courier New" w:eastAsia="Courier New" w:hAnsi="Courier New"/>
                <w:sz w:val="16"/>
                <w:szCs w:val="16"/>
                <w:color w:val="auto"/>
                <w:w w:val="98"/>
              </w:rPr>
              <w:t>REPRESENTATIONS AND WARRANTIES OF PARENT AND SUBSIDIARY</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Organization and Qualification....................................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Capitalization....................................................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4.3.</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Subsidiaries......................................................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4.4.</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Authority; Non-Contravention; Approvals...........................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4.5.</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Reports and Financial Statements..................................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4.6.</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Absence of Undisclosed Liabilities................................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4.7.</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Absence of Certain Changes or Events..............................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4.8.</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Litigation........................................................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4.9.</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Registration Statement and Proxy Statement........................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4.10.</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No Violation of Law...............................................</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Compliance with Agreements........................................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Taxes.............................................................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4.13.</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Employee Benefit Plans; ERISA.....................................</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AA-9</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4.14.</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Labor Controversies...............................................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AA-10</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4.15.</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Environmental Matters.............................................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AA-10</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4.16.</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Non-competition Agreements........................................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4.17.</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Title to Assets...................................................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4.18.</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Parent Stockholders' Approval.....................................</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AA-12</w:t>
            </w:r>
          </w:p>
        </w:tc>
      </w:tr>
    </w:tbl>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AA-i</w:t>
      </w:r>
    </w:p>
    <w:p>
      <w:pPr>
        <w:sectPr>
          <w:pgSz w:w="11900" w:h="16838" w:orient="portrait"/>
          <w:cols w:equalWidth="0" w:num="1">
            <w:col w:w="10219"/>
          </w:cols>
          <w:pgMar w:left="240" w:top="295" w:right="1440"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181"/>
        </w:trPr>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216</w:t>
            </w: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728"/>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w:t>
            </w:r>
          </w:p>
        </w:tc>
      </w:tr>
      <w:tr>
        <w:trPr>
          <w:trHeight w:val="546"/>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2041"/>
              <w:spacing w:after="0"/>
              <w:rPr>
                <w:sz w:val="20"/>
                <w:szCs w:val="20"/>
                <w:color w:val="auto"/>
              </w:rPr>
            </w:pPr>
            <w:r>
              <w:rPr>
                <w:rFonts w:ascii="Courier New" w:cs="Courier New" w:eastAsia="Courier New" w:hAnsi="Courier New"/>
                <w:sz w:val="16"/>
                <w:szCs w:val="16"/>
                <w:color w:val="auto"/>
                <w:w w:val="97"/>
              </w:rPr>
              <w:t>ARTICLE V</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2041"/>
              <w:spacing w:after="0"/>
              <w:rPr>
                <w:sz w:val="20"/>
                <w:szCs w:val="20"/>
                <w:color w:val="auto"/>
              </w:rPr>
            </w:pPr>
            <w:r>
              <w:rPr>
                <w:rFonts w:ascii="Courier New" w:cs="Courier New" w:eastAsia="Courier New" w:hAnsi="Courier New"/>
                <w:sz w:val="16"/>
                <w:szCs w:val="16"/>
                <w:color w:val="auto"/>
                <w:w w:val="98"/>
              </w:rPr>
              <w:t>REPRESENTATIONS AND WARRANTIES OF THE COMPANY</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Organization and Qualification....................................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Capitalization....................................................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Subsidiaries......................................................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AA-13</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Authority; Non-Contravention; Approvals...........................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AA-13</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Reports and Financial Statements..................................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5.6.</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Absence of Undisclosed Liabilities................................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5.7.</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Absence of Certain Changes or Events..............................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5.8.</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Litigation........................................................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5.9.</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Registration Statement and Proxy Statement........................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5.10.</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 Violation of Law...............................................</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Compliance with Agreements........................................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Taxes.............................................................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Employee Benefit Plans; ERISA.....................................</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Labor Controversies...............................................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Environmental Matters.............................................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5.16.</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Non-competition Agreements........................................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5.17.</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Title to Assets...................................................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AA-19</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5.18.</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Company Stockholders' Approval....................................</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AA-19</w:t>
            </w: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ind w:left="1800"/>
              <w:spacing w:after="0"/>
              <w:rPr>
                <w:sz w:val="20"/>
                <w:szCs w:val="20"/>
                <w:color w:val="auto"/>
              </w:rPr>
            </w:pPr>
            <w:r>
              <w:rPr>
                <w:rFonts w:ascii="Courier New" w:cs="Courier New" w:eastAsia="Courier New" w:hAnsi="Courier New"/>
                <w:sz w:val="16"/>
                <w:szCs w:val="16"/>
                <w:color w:val="auto"/>
              </w:rPr>
              <w:t>ARTICLE VI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CONDUCT OF BUSINESS PENDING THE MERGER</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Conduct of Business by the Company Pending the 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AA-19</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Conduct of Business by Parent and Subsidiary Pending the 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AA-20</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Control of the Company's Operations...............................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Control of Parent's Operations....................................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Acquisition Transactions..........................................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AA-21</w:t>
            </w: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2041"/>
              <w:spacing w:after="0"/>
              <w:rPr>
                <w:sz w:val="20"/>
                <w:szCs w:val="20"/>
                <w:color w:val="auto"/>
              </w:rPr>
            </w:pPr>
            <w:r>
              <w:rPr>
                <w:rFonts w:ascii="Courier New" w:cs="Courier New" w:eastAsia="Courier New" w:hAnsi="Courier New"/>
                <w:sz w:val="16"/>
                <w:szCs w:val="16"/>
                <w:color w:val="auto"/>
                <w:w w:val="98"/>
              </w:rPr>
              <w:t>ARTICLE VII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2041"/>
              <w:spacing w:after="0"/>
              <w:rPr>
                <w:sz w:val="20"/>
                <w:szCs w:val="20"/>
                <w:color w:val="auto"/>
              </w:rPr>
            </w:pPr>
            <w:r>
              <w:rPr>
                <w:rFonts w:ascii="Courier New" w:cs="Courier New" w:eastAsia="Courier New" w:hAnsi="Courier New"/>
                <w:sz w:val="16"/>
                <w:szCs w:val="16"/>
                <w:color w:val="auto"/>
                <w:w w:val="99"/>
              </w:rPr>
              <w:t>ADDITIONAL AGREEMENTS</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Access to Information.............................................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Registration Statement and Proxy Statement........................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AA-23</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Stockholders' Approvals...........................................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AA-23</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Compliance with the Securities Act................................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Exchange Listing..................................................</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7.6.</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Expenses and Fees.................................................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7.7.</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Agreement to Cooperate............................................</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7.8.</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Public Statements.................................................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7.9.</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Option Plans......................................................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7.10.</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Employee Benefits.................................................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Notification of Certain Matters...................................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Directors' and Officers' Indemnification..........................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Corrections to the Joint Proxy Statement/Prospectus and</w:t>
            </w:r>
          </w:p>
        </w:tc>
        <w:tc>
          <w:tcPr>
            <w:tcW w:w="620" w:type="dxa"/>
            <w:vAlign w:val="bottom"/>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Registration Statement............................................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AA-27</w:t>
            </w:r>
          </w:p>
        </w:tc>
      </w:tr>
    </w:tbl>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AA-ii</w:t>
      </w:r>
    </w:p>
    <w:p>
      <w:pPr>
        <w:sectPr>
          <w:pgSz w:w="11900" w:h="16838" w:orient="portrait"/>
          <w:cols w:equalWidth="0" w:num="1">
            <w:col w:w="10219"/>
          </w:cols>
          <w:pgMar w:left="240" w:top="295" w:right="1440"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81"/>
        </w:trPr>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217</w:t>
            </w: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728"/>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w:t>
            </w:r>
          </w:p>
        </w:tc>
      </w:tr>
      <w:tr>
        <w:trPr>
          <w:trHeight w:val="546"/>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1941"/>
              <w:spacing w:after="0"/>
              <w:rPr>
                <w:sz w:val="20"/>
                <w:szCs w:val="20"/>
                <w:color w:val="auto"/>
              </w:rPr>
            </w:pPr>
            <w:r>
              <w:rPr>
                <w:rFonts w:ascii="Courier New" w:cs="Courier New" w:eastAsia="Courier New" w:hAnsi="Courier New"/>
                <w:sz w:val="16"/>
                <w:szCs w:val="16"/>
                <w:color w:val="auto"/>
                <w:w w:val="98"/>
              </w:rPr>
              <w:t>ARTICLE VIII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1941"/>
              <w:spacing w:after="0"/>
              <w:rPr>
                <w:sz w:val="20"/>
                <w:szCs w:val="20"/>
                <w:color w:val="auto"/>
              </w:rPr>
            </w:pPr>
            <w:r>
              <w:rPr>
                <w:rFonts w:ascii="Courier New" w:cs="Courier New" w:eastAsia="Courier New" w:hAnsi="Courier New"/>
                <w:sz w:val="16"/>
                <w:szCs w:val="16"/>
                <w:color w:val="auto"/>
                <w:w w:val="97"/>
              </w:rPr>
              <w:t>CONDITIONS</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Conditions to Each Party's Obligation to Effect the 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Conditions to Obligation of the Company to Effect the 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Conditions to Obligations of Parent and Subsidiary to Effect the</w:t>
            </w:r>
          </w:p>
        </w:tc>
        <w:tc>
          <w:tcPr>
            <w:tcW w:w="620" w:type="dxa"/>
            <w:vAlign w:val="bottom"/>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AA-28</w:t>
            </w: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1941"/>
              <w:spacing w:after="0"/>
              <w:rPr>
                <w:sz w:val="20"/>
                <w:szCs w:val="20"/>
                <w:color w:val="auto"/>
              </w:rPr>
            </w:pPr>
            <w:r>
              <w:rPr>
                <w:rFonts w:ascii="Courier New" w:cs="Courier New" w:eastAsia="Courier New" w:hAnsi="Courier New"/>
                <w:sz w:val="16"/>
                <w:szCs w:val="16"/>
                <w:color w:val="auto"/>
                <w:w w:val="97"/>
              </w:rPr>
              <w:t>ARTICLE IX</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ind w:left="660"/>
              <w:spacing w:after="0"/>
              <w:rPr>
                <w:sz w:val="20"/>
                <w:szCs w:val="20"/>
                <w:color w:val="auto"/>
              </w:rPr>
            </w:pPr>
            <w:r>
              <w:rPr>
                <w:rFonts w:ascii="Courier New" w:cs="Courier New" w:eastAsia="Courier New" w:hAnsi="Courier New"/>
                <w:sz w:val="16"/>
                <w:szCs w:val="16"/>
                <w:color w:val="auto"/>
              </w:rPr>
              <w:t>TERMINATION, AMENDMENT AND WAIVER</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Termination.......................................................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AA-29</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Effect of Termination.............................................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Amendment.........................................................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Waiver............................................................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ind w:left="1800"/>
              <w:spacing w:after="0"/>
              <w:rPr>
                <w:sz w:val="20"/>
                <w:szCs w:val="20"/>
                <w:color w:val="auto"/>
              </w:rPr>
            </w:pPr>
            <w:r>
              <w:rPr>
                <w:rFonts w:ascii="Courier New" w:cs="Courier New" w:eastAsia="Courier New" w:hAnsi="Courier New"/>
                <w:sz w:val="16"/>
                <w:szCs w:val="16"/>
                <w:color w:val="auto"/>
              </w:rPr>
              <w:t>ARTICLE X</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1941"/>
              <w:spacing w:after="0"/>
              <w:rPr>
                <w:sz w:val="20"/>
                <w:szCs w:val="20"/>
                <w:color w:val="auto"/>
              </w:rPr>
            </w:pPr>
            <w:r>
              <w:rPr>
                <w:rFonts w:ascii="Courier New" w:cs="Courier New" w:eastAsia="Courier New" w:hAnsi="Courier New"/>
                <w:sz w:val="16"/>
                <w:szCs w:val="16"/>
                <w:color w:val="auto"/>
                <w:w w:val="98"/>
              </w:rPr>
              <w:t>GENERAL PROVISIONS</w:t>
            </w:r>
          </w:p>
        </w:tc>
        <w:tc>
          <w:tcPr>
            <w:tcW w:w="620" w:type="dxa"/>
            <w:vAlign w:val="bottom"/>
          </w:tcPr>
          <w:p>
            <w:pPr>
              <w:spacing w:after="0"/>
              <w:rPr>
                <w:sz w:val="24"/>
                <w:szCs w:val="24"/>
                <w:color w:val="auto"/>
              </w:rPr>
            </w:pPr>
          </w:p>
        </w:tc>
      </w:tr>
      <w:tr>
        <w:trPr>
          <w:trHeight w:val="364"/>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Non-Survival of Representations and Warranties....................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Brokers...........................................................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Notices...........................................................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Interpretation....................................................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AA-33</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Miscellaneous.....................................................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AA-33</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10.6.</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Counterparts......................................................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AA-33</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10.7.</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Parties In Interest...............................................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AA-33</w:t>
            </w:r>
          </w:p>
        </w:tc>
      </w:tr>
    </w:tbl>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AA-iii</w:t>
      </w:r>
    </w:p>
    <w:p>
      <w:pPr>
        <w:sectPr>
          <w:pgSz w:w="11900" w:h="16838" w:orient="portrait"/>
          <w:cols w:equalWidth="0" w:num="1">
            <w:col w:w="10219"/>
          </w:cols>
          <w:pgMar w:left="240" w:top="295"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6"/>
          <w:szCs w:val="16"/>
          <w:color w:val="auto"/>
        </w:rPr>
        <w:t>218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AMENDED AND RESTATED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AGREEMENT AND PLAN OF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AMENDED AND RESTATED AGREEMENT AND PLAN OF MERGER, dated as of November 28, 1994 (the "Agreement"), by and among USA Waste Services, Inc., an Oklahoma corporation ("Parent"), Chambers Acquisition Corporation, a Delaware corporation and a wholly-owned subsidiary of Parent ("Subsidiary"), and Chambers Development Company, Inc., a Delaware corporation (the "Company").</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WHEREAS, Parent, Envirofil, Inc., a Delaware corporation ("Envirofil"), and the Company entered into a merger agreement dated as of November 28, 1994 (the "Original Merger Agreement") in order to effectuate the merger of a wholly owned subsidiary of Parent with and into the Company (the "Merger"), as a result of which the Company will become a wholly owned subsidiary of Parent;</w:t>
      </w:r>
    </w:p>
    <w:p>
      <w:pPr>
        <w:spacing w:after="0" w:line="189"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WHEREAS, Parent, Envirofil and the Company agreed to amend the Original Merger Agreement and executed an Amendment to Agreement and Plan of Merger as of December 19, 1994;</w:t>
      </w:r>
    </w:p>
    <w:p>
      <w:pPr>
        <w:spacing w:after="0" w:line="188"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WHEREAS, Envirofil subsequently assigned all of its rights under the Original Merger Agreement to Subsidiary;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WHEREAS, Parent, Subsidiary and the Company intend the Merger to qualify as a tax-free reorganization under the provisions of Section 368 of the Internal Revenue Code of 1986, as amended (the "Code"), and the regulations thereunder; and</w:t>
      </w:r>
    </w:p>
    <w:p>
      <w:pPr>
        <w:spacing w:after="0" w:line="18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WHEREAS, the parties wish to amend and restate the Original Merger Agreement in its entirety and incorporate the previous amendment and assignment and to make certain additional amendments.</w:t>
      </w:r>
    </w:p>
    <w:p>
      <w:pPr>
        <w:spacing w:after="0" w:line="18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the parties hereto, intending to be legally bound, agree as follows:</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MERGER</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1.1. THE MERGER. Upon the terms and subject to the conditions of this Agreement, at the Effective Time (as defined in Section 1.2) in accordance with the Delaware General Corporation Law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77"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use all reasonable efforts to consummate, as soon as practicable, the transactions contemplated by this Agreement in accordance with Section 3.5.</w:t>
      </w:r>
    </w:p>
    <w:p>
      <w:pPr>
        <w:spacing w:after="0" w:line="177"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II</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THE SURVIVING AND PARENT CORPORATIONS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2.1. CERTIFICATE OF INCORPORATION. The Certificate of Incorporation of Subsidiary as in effect immediately prior to the Effective Time shall be the Certificate of Incorporation of the Surviving Corporation after the Effective Time, and thereafter may be amended in accordance with its terms and as provided in the DGCL.</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w:t>
      </w:r>
    </w:p>
    <w:p>
      <w:pPr>
        <w:sectPr>
          <w:pgSz w:w="11900" w:h="16838" w:orient="portrait"/>
          <w:cols w:equalWidth="0" w:num="1">
            <w:col w:w="10219"/>
          </w:cols>
          <w:pgMar w:left="240" w:top="295"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6"/>
          <w:szCs w:val="16"/>
          <w:color w:val="auto"/>
        </w:rPr>
        <w:t>219</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2.2. BY-LAWS. The By-laws of Subsidiary as in effect immediately prior to the Effective Time shall be the By-laws of the Surviving Corporation after the Effective Time, and thereafter may be amended in accordance with their terms and as provided by the Certificate of Incorporation of the Surviving Corporation and the DGCL.</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2.3. DIRECTORS.</w:t>
      </w:r>
    </w:p>
    <w:p>
      <w:pPr>
        <w:spacing w:after="0" w:line="186" w:lineRule="exact"/>
        <w:rPr>
          <w:sz w:val="20"/>
          <w:szCs w:val="20"/>
          <w:color w:val="auto"/>
        </w:rPr>
      </w:pPr>
    </w:p>
    <w:p>
      <w:pPr>
        <w:ind w:right="2659" w:firstLine="470"/>
        <w:spacing w:after="0" w:line="239" w:lineRule="auto"/>
        <w:tabs>
          <w:tab w:leader="none" w:pos="85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Parent shall take such corporate action as may be necessary to cause Parent's Board of Directors immediately following the Effective Time to be composed of five members designated by the Board of Directors of Parent and four members designated by the Board of Directors of the Company.</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Parent shall take such corporate action immediately prior to the Effective Time as may be necessary to appoint an Executive Committee of Parent's Board of Directors immediately following the Effective Time which shall be composed of three members selected by the Board of Directors of Parent and two members selected by the Board of Directors of the Company.</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2.4. OFFICERS. Except as otherwise agreed to by Parent and the Company, the officers of the Company in office immediately prior to the Effective Time shall be the officers of the Surviving Corporation, to serve in accordance with the By-laws of the Surviving Corporation until their respective successors are duly elected or appointed and qualified.</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III</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CONVERSION OF SHARES</w:t>
      </w:r>
    </w:p>
    <w:p>
      <w:pPr>
        <w:spacing w:after="0" w:line="186"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SECTION 3.1. CONVERSION OF COMPANY SHARES IN THE MERGER. At the Effective Time, by virtue of the Merger and without any action on the part of any holder of any capital stock of the Company:</w:t>
      </w:r>
    </w:p>
    <w:p>
      <w:pPr>
        <w:spacing w:after="0" w:line="188" w:lineRule="exact"/>
        <w:rPr>
          <w:sz w:val="20"/>
          <w:szCs w:val="20"/>
          <w:color w:val="auto"/>
        </w:rPr>
      </w:pPr>
    </w:p>
    <w:p>
      <w:pPr>
        <w:ind w:left="460" w:right="2659" w:firstLine="483"/>
        <w:spacing w:after="0" w:line="258" w:lineRule="auto"/>
        <w:tabs>
          <w:tab w:leader="none" w:pos="131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Company's Common Stock, par value $.50 per share (the "Regular Common Stock"), and each share of the Company's Class A Common Stock, par value $.50 per share (the "Class A Common Stock" and, together with the Regular Common Stock, the "Company Common Stock"), shall, subject to Sections 3.3 and 3.4, be converted into the right to receive, without interest, .41667 (the "Exchange Ratio") of a share of the common stock, par value $.01 per share, of Parent ("Parent Common Stock");</w:t>
      </w:r>
    </w:p>
    <w:p>
      <w:pPr>
        <w:spacing w:after="0" w:line="176" w:lineRule="exact"/>
        <w:rPr>
          <w:rFonts w:ascii="Courier New" w:cs="Courier New" w:eastAsia="Courier New" w:hAnsi="Courier New"/>
          <w:sz w:val="15"/>
          <w:szCs w:val="15"/>
          <w:color w:val="auto"/>
        </w:rPr>
      </w:pPr>
    </w:p>
    <w:p>
      <w:pPr>
        <w:ind w:left="460" w:right="2659" w:firstLine="483"/>
        <w:spacing w:after="0" w:line="239" w:lineRule="auto"/>
        <w:tabs>
          <w:tab w:leader="none" w:pos="131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the Company, if any, owned by Parent or any subsidiary of Parent or held in treasury by the Company or any subsidiary of the Company immediately prior to the Effective Time shall be cancelled and shall cease to exist from and after the Effective Time; and</w:t>
      </w:r>
    </w:p>
    <w:p>
      <w:pPr>
        <w:spacing w:after="0" w:line="188"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as more fully provided in Section 7.9, each unexpired option to purchase Company Common Stock that is outstanding at the Effective Time, whether or not exercisable, shall automatically and without any action on the part of the holder thereof be converted into an option to purchase a number of shares of Parent Common Stock equal to the number of shares of Company Common Stock that could be purchased under such option multiplied by the Exchange Ratio, at a price per share of Parent Common Stock equal to the per share exercise price of such option divided by the Exchange Ratio.</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SECTION 3.2. CONVERSION OF SUBSIDIARY SHARES. At the Effective Time, by virtue of the Merger and without any action on the part of Parent as the sole stockholder of Subsidiary, each issued and outstanding share of common stock, par value $.001 per share, of Subsidiary ("Subsidiary Common Stock") shall be converted into one share of common stock, par value $.50 per share, of the Surviving Corporation.</w:t>
      </w:r>
    </w:p>
    <w:p>
      <w:pPr>
        <w:spacing w:after="0" w:line="19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w:t>
      </w:r>
    </w:p>
    <w:p>
      <w:pPr>
        <w:sectPr>
          <w:pgSz w:w="11900" w:h="16838" w:orient="portrait"/>
          <w:cols w:equalWidth="0" w:num="1">
            <w:col w:w="10219"/>
          </w:cols>
          <w:pgMar w:left="240" w:top="295"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6"/>
          <w:szCs w:val="16"/>
          <w:color w:val="auto"/>
        </w:rPr>
        <w:t>220</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191" w:lineRule="exact"/>
        <w:rPr>
          <w:sz w:val="20"/>
          <w:szCs w:val="20"/>
          <w:color w:val="auto"/>
        </w:rPr>
      </w:pPr>
    </w:p>
    <w:p>
      <w:pPr>
        <w:ind w:right="2659" w:firstLine="470"/>
        <w:spacing w:after="0"/>
        <w:tabs>
          <w:tab w:leader="none" w:pos="85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transfer or other taxes required by reason of the issuance of certificates for such shares of Parent Common Stock in a name other than that of the registered holder of the certificate surrendered, or shall establish to the satisfaction of Parent that such tax has been paid or is not applicable.</w:t>
      </w:r>
    </w:p>
    <w:p>
      <w:pPr>
        <w:spacing w:after="0" w:line="186"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87" w:lineRule="exact"/>
        <w:rPr>
          <w:rFonts w:ascii="Courier New" w:cs="Courier New" w:eastAsia="Courier New" w:hAnsi="Courier New"/>
          <w:sz w:val="16"/>
          <w:szCs w:val="16"/>
          <w:color w:val="auto"/>
        </w:rPr>
      </w:pPr>
    </w:p>
    <w:p>
      <w:pPr>
        <w:ind w:right="2659" w:firstLine="470"/>
        <w:spacing w:after="0" w:line="257" w:lineRule="auto"/>
        <w:tabs>
          <w:tab w:leader="none" w:pos="85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the Exchange Agent shall mail to each holder of record of a certificate or certificates that immediately prior to the Effective Time represented outstanding shares of Company Common Stock (the "Company Certificates") (i) a form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forthwith be cancelled.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362" w:lineRule="exact"/>
        <w:rPr>
          <w:rFonts w:ascii="Courier New" w:cs="Courier New" w:eastAsia="Courier New" w:hAnsi="Courier New"/>
          <w:sz w:val="15"/>
          <w:szCs w:val="15"/>
          <w:color w:val="auto"/>
        </w:rPr>
      </w:pPr>
    </w:p>
    <w:p>
      <w:pPr>
        <w:ind w:right="2659" w:firstLine="470"/>
        <w:spacing w:after="0" w:line="257" w:lineRule="auto"/>
        <w:tabs>
          <w:tab w:leader="none" w:pos="85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nine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Company Common Stock for any Parent Common Stock delivered to a public official pursuant to applicable abandoned property, escheat and similar laws.</w:t>
      </w:r>
    </w:p>
    <w:p>
      <w:pPr>
        <w:spacing w:after="0" w:line="180" w:lineRule="exact"/>
        <w:rPr>
          <w:rFonts w:ascii="Courier New" w:cs="Courier New" w:eastAsia="Courier New" w:hAnsi="Courier New"/>
          <w:sz w:val="15"/>
          <w:szCs w:val="15"/>
          <w:color w:val="auto"/>
        </w:rPr>
      </w:pPr>
    </w:p>
    <w:p>
      <w:pPr>
        <w:ind w:right="2659" w:firstLine="470"/>
        <w:spacing w:after="0"/>
        <w:tabs>
          <w:tab w:leader="none" w:pos="85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payment in exchange therefor, the Board of Directors of the Surviving Corporation may, in its discretion and as a condition precedent to the issuance thereof, require the owner of such lost, stolen or</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AA-3</w:t>
      </w:r>
    </w:p>
    <w:p>
      <w:pPr>
        <w:sectPr>
          <w:pgSz w:w="11900" w:h="16838" w:orient="portrait"/>
          <w:cols w:equalWidth="0" w:num="1">
            <w:col w:w="10219"/>
          </w:cols>
          <w:pgMar w:left="240" w:top="295"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6"/>
          <w:szCs w:val="16"/>
          <w:color w:val="auto"/>
        </w:rPr>
        <w:t>221</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closing price per share of Parent Common Stock on the New York Stock Exchange, as reported by the Wall Street Journal, on the last trading day preceding the Effective Time.</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on the fifth business day immediately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3.3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Company Common Stock are presented to the Surviving Corporation, they shall be cancelled and exchanged for Parent Common Stock in accordance with this Article III.</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IV</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REPRESENTATIONS AND WARRANTIES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 PARENT AND SUBSIDIARY</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Parent and Subsidiary each represent and warrant to the Company as follows:</w:t>
      </w:r>
    </w:p>
    <w:p>
      <w:pPr>
        <w:spacing w:after="0" w:line="194"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results of operations or prospects of Parent and its subsidiaries, taken as a whole. True, accurate and complete copies of each of Parent's and Subsidiary's Certificates of Incorporation and By-laws, in each case as in effect on the date hereof, including all amendments thereto, have heretofore been (or, in the case of Subsidiary, will promptly be) delivered to the Company.</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4.2. CAPITALIZATION.</w:t>
      </w:r>
    </w:p>
    <w:p>
      <w:pPr>
        <w:spacing w:after="0" w:line="186" w:lineRule="exact"/>
        <w:rPr>
          <w:sz w:val="20"/>
          <w:szCs w:val="20"/>
          <w:color w:val="auto"/>
        </w:rPr>
      </w:pPr>
    </w:p>
    <w:p>
      <w:pPr>
        <w:ind w:right="2659" w:firstLine="470"/>
        <w:spacing w:after="0" w:line="239" w:lineRule="auto"/>
        <w:tabs>
          <w:tab w:leader="none" w:pos="85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Parent consists of (i) 50,000,000 shares of Parent Common Stock, of which 22,575,263 shares were outstanding as of November 10, 1994, and (ii) 10,000,000 shares of preferred stock, par value $.01 per share, none of which was issued and outstanding as of November 21, 1994. All of the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AA-4</w:t>
      </w:r>
    </w:p>
    <w:p>
      <w:pPr>
        <w:sectPr>
          <w:pgSz w:w="11900" w:h="16838" w:orient="portrait"/>
          <w:cols w:equalWidth="0" w:num="1">
            <w:col w:w="10219"/>
          </w:cols>
          <w:pgMar w:left="240" w:top="295" w:right="1440" w:bottom="1440" w:gutter="0" w:footer="0" w:header="0"/>
        </w:sectPr>
      </w:pPr>
    </w:p>
    <w:bookmarkStart w:id="225" w:name="page226"/>
    <w:bookmarkEnd w:id="225"/>
    <w:p>
      <w:pPr>
        <w:ind w:left="280"/>
        <w:spacing w:after="0"/>
        <w:rPr>
          <w:sz w:val="20"/>
          <w:szCs w:val="20"/>
          <w:color w:val="auto"/>
        </w:rPr>
      </w:pPr>
      <w:r>
        <w:rPr>
          <w:rFonts w:ascii="Courier New" w:cs="Courier New" w:eastAsia="Courier New" w:hAnsi="Courier New"/>
          <w:sz w:val="16"/>
          <w:szCs w:val="16"/>
          <w:color w:val="auto"/>
        </w:rPr>
        <w:t>222</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issued and outstanding shares of Parent Common Stock are validly issued and are fully paid, nonassessable and free of preemptive rights.</w:t>
      </w:r>
    </w:p>
    <w:p>
      <w:pPr>
        <w:spacing w:after="0" w:line="188" w:lineRule="exact"/>
        <w:rPr>
          <w:sz w:val="20"/>
          <w:szCs w:val="20"/>
          <w:color w:val="auto"/>
        </w:rPr>
      </w:pPr>
    </w:p>
    <w:p>
      <w:pPr>
        <w:ind w:right="2759" w:firstLine="470"/>
        <w:spacing w:after="0" w:line="238" w:lineRule="auto"/>
        <w:tabs>
          <w:tab w:leader="none" w:pos="85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88"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(as defined in Section 4.5) or as set forth on Schedule 4.2 attached hereto,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There are no voting trusts, proxies or other agreements or understandings to which Parent or any subsidiary of Parent is a party or is bound with respect to the voting of any shares of capital stock of Parent. The shares of Parent Common Stock issued to stockholders of the Company in the Merger will be at the Effective Time duly authorized, validly issued, fully paid and nonassessable and free of preemptive rights.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 in good standing would not, when taken together with all such other failures, have a material adverse effect on the business, operations, properties, assets, condition (financial or other), results of operations or prospects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which such person or entity, directly or indirectly, controls or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 Parent does not own any shares of Company Common Stock.</w:t>
      </w:r>
    </w:p>
    <w:p>
      <w:pPr>
        <w:spacing w:after="0" w:line="19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4.4. AUTHORITY; NON-CONTRAVENTION; APPROVALS.</w:t>
      </w:r>
    </w:p>
    <w:p>
      <w:pPr>
        <w:spacing w:after="0" w:line="186" w:lineRule="exact"/>
        <w:rPr>
          <w:sz w:val="20"/>
          <w:szCs w:val="20"/>
          <w:color w:val="auto"/>
        </w:rPr>
      </w:pPr>
    </w:p>
    <w:p>
      <w:pPr>
        <w:ind w:right="2659" w:firstLine="470"/>
        <w:spacing w:after="0"/>
        <w:tabs>
          <w:tab w:leader="none" w:pos="85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AA-5</w:t>
      </w:r>
    </w:p>
    <w:p>
      <w:pPr>
        <w:sectPr>
          <w:pgSz w:w="11900" w:h="16838" w:orient="portrait"/>
          <w:cols w:equalWidth="0" w:num="1">
            <w:col w:w="10219"/>
          </w:cols>
          <w:pgMar w:left="240" w:top="295" w:right="1440"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6"/>
          <w:szCs w:val="16"/>
          <w:color w:val="auto"/>
        </w:rPr>
        <w:t>223</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foregoing, each of the covenants and obligations of Parent set forth in Sections 6.2, 6.5, 7.3, 7.6, 7.7, 7.8 and 7.11 is valid, legally binding and enforceable notwithstanding the absence of the Parent Stockholders' Approval.</w:t>
      </w:r>
    </w:p>
    <w:p>
      <w:pPr>
        <w:spacing w:after="0" w:line="188" w:lineRule="exact"/>
        <w:rPr>
          <w:sz w:val="20"/>
          <w:szCs w:val="20"/>
          <w:color w:val="auto"/>
        </w:rPr>
      </w:pPr>
    </w:p>
    <w:p>
      <w:pPr>
        <w:ind w:right="2659" w:firstLine="470"/>
        <w:spacing w:after="0" w:line="257" w:lineRule="auto"/>
        <w:tabs>
          <w:tab w:leader="none" w:pos="85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Parent and its subsidiaries, taken as a whole.</w:t>
      </w:r>
    </w:p>
    <w:p>
      <w:pPr>
        <w:spacing w:after="0" w:line="361" w:lineRule="exact"/>
        <w:rPr>
          <w:rFonts w:ascii="Courier New" w:cs="Courier New" w:eastAsia="Courier New" w:hAnsi="Courier New"/>
          <w:sz w:val="15"/>
          <w:szCs w:val="15"/>
          <w:color w:val="auto"/>
        </w:rPr>
      </w:pPr>
    </w:p>
    <w:p>
      <w:pPr>
        <w:ind w:right="2659" w:firstLine="470"/>
        <w:spacing w:after="0" w:line="257" w:lineRule="auto"/>
        <w:tabs>
          <w:tab w:leader="none" w:pos="85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Parent and the Company required by the Hart-Scott-Rodino Antitrust Improvements Act of 1976, as amended (the "HSR Act"), (ii) the filing of the Joint Proxy Statement/Prospectus (as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results of operations or prospects of Parent and its subsidiaries, taken as a whole.</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4.5. REPORTS AND FINANCIAL STATEMENTS. Since December 31, 1990, Parent has filed with the SEC all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Parent has previously delivered to the Company copies of its (a) Annual Reports on Form 10-K for the fiscal year ended December 31, 1993 and for each of the two immediately preceding fiscal years, as filed with the SEC, (b) proxy and information statements relating to (i) all meetings of its stockholders (whether annual or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AA-6</w:t>
      </w:r>
    </w:p>
    <w:p>
      <w:pPr>
        <w:sectPr>
          <w:pgSz w:w="11900" w:h="16838" w:orient="portrait"/>
          <w:cols w:equalWidth="0" w:num="1">
            <w:col w:w="10219"/>
          </w:cols>
          <w:pgMar w:left="240" w:top="295" w:right="1440" w:bottom="1440" w:gutter="0" w:footer="0" w:header="0"/>
        </w:sectPr>
      </w:pPr>
    </w:p>
    <w:bookmarkStart w:id="227" w:name="page228"/>
    <w:bookmarkEnd w:id="227"/>
    <w:p>
      <w:pPr>
        <w:ind w:left="283"/>
        <w:spacing w:after="0"/>
        <w:rPr>
          <w:sz w:val="20"/>
          <w:szCs w:val="20"/>
          <w:color w:val="auto"/>
        </w:rPr>
      </w:pPr>
      <w:r>
        <w:rPr>
          <w:rFonts w:ascii="Courier New" w:cs="Courier New" w:eastAsia="Courier New" w:hAnsi="Courier New"/>
          <w:sz w:val="16"/>
          <w:szCs w:val="16"/>
          <w:color w:val="auto"/>
        </w:rPr>
        <w:t>224</w:t>
      </w:r>
    </w:p>
    <w:p>
      <w:pPr>
        <w:spacing w:after="0" w:line="186"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special) and (ii) actions by written consent in lieu of a stockholders' meeting from December 31, 1990, until the date hereof, and (c) all other reports, including quarterly reports, or registration statements filed by Parent with the SEC since December 31, 1990 (other than Registration Statements filed on Form S-8) (collectively, the "Parent SEC Reports"). As of their respective dates, the Parent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362"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SECTION 4.6. ABSENCE OF UNDISCLOSED LIABILITIES. Except as disclosed in the Parent SEC Reports or with respect to acquisitions or potential transactions or commitments heretofore disclosed to the Company in writing, neither Parent nor any of its subsidiaries had at September 30, 1994, or has incurred since that date, any liabilities or obligations (whether absolute, accrued, contingent or otherwise) of any nature, except (a) liabilities, obligations or contingencies</w:t>
      </w:r>
    </w:p>
    <w:p>
      <w:pPr>
        <w:spacing w:after="0" w:line="4" w:lineRule="exact"/>
        <w:rPr>
          <w:sz w:val="20"/>
          <w:szCs w:val="20"/>
          <w:color w:val="auto"/>
        </w:rPr>
      </w:pPr>
    </w:p>
    <w:p>
      <w:pPr>
        <w:ind w:left="3" w:right="2759" w:hanging="3"/>
        <w:spacing w:after="0" w:line="239" w:lineRule="auto"/>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accrued or reserved against in the Parent Financial Statements or reflected in the notes thereto or (ii) which were incurred after September 30, 1994 and were incurred in the ordinary course of business and consistent with past practices, (b) liabilities, obligations or contingencies which (i) would not, in the aggregate, have a material adverse effect on the business, operations, properties, assets, condition (financial or other), results of operations or prospects of Parent and its subsidiaries, taken as a whole, or</w:t>
      </w:r>
    </w:p>
    <w:p>
      <w:pPr>
        <w:spacing w:after="0" w:line="9" w:lineRule="exact"/>
        <w:rPr>
          <w:rFonts w:ascii="Courier New" w:cs="Courier New" w:eastAsia="Courier New" w:hAnsi="Courier New"/>
          <w:sz w:val="16"/>
          <w:szCs w:val="16"/>
          <w:color w:val="auto"/>
        </w:rPr>
      </w:pPr>
    </w:p>
    <w:p>
      <w:pPr>
        <w:ind w:left="3" w:right="2659" w:hanging="3"/>
        <w:spacing w:after="0" w:line="258" w:lineRule="auto"/>
        <w:tabs>
          <w:tab w:leader="none" w:pos="47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discharged or paid in full prior to the date hereof, (c) liabilities and obligations which are of a nature not required to be reflected in the consolidated financial statements of Parent and its subsidiaries prepared in accordance with generally accepted accounting principles consistently applied and which were incurred in the normal course of business and (d) that the Company acknowledges that (i) Parent is in the process of increasing the size of its revolving credit facility with a group of banks for whom the First National Bank of Boston is acting as agent and (ii) Parent has disclosed to the Company that certain Home Value Guarantee Agreement between Parent and Homeowners Association of Prairie Crossing in Lake County, Illinois.</w:t>
      </w:r>
    </w:p>
    <w:p>
      <w:pPr>
        <w:spacing w:after="0" w:line="174"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4.7. ABSENCE OF CERTAIN CHANGES OR EVENTS. Since the date of the most recent Parent SEC Report, there has not been any material adverse change in the business, operations, properties, assets, liabilities, condition (financial or other), results of operations or prospects of Parent and its subsidiaries, taken as a whole.</w:t>
      </w:r>
    </w:p>
    <w:p>
      <w:pPr>
        <w:spacing w:after="0" w:line="18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4.8. LITIGATION. Except as disclosed in the Parent SEC Reports or in Schedule 4.8 attached hereto,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results of operations or prospects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results of operations or prospects of Parent and its subsidiaries, taken as a whole.</w:t>
      </w:r>
    </w:p>
    <w:p>
      <w:pPr>
        <w:spacing w:after="0" w:line="193"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w:t>
      </w:r>
    </w:p>
    <w:p>
      <w:pPr>
        <w:spacing w:after="0" w:line="186"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AA-7</w:t>
      </w:r>
    </w:p>
    <w:p>
      <w:pPr>
        <w:sectPr>
          <w:pgSz w:w="11900" w:h="16838" w:orient="portrait"/>
          <w:cols w:equalWidth="0" w:num="1">
            <w:col w:w="10222"/>
          </w:cols>
          <w:pgMar w:left="237" w:top="295"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6"/>
          <w:szCs w:val="16"/>
          <w:color w:val="auto"/>
        </w:rPr>
        <w:t>225</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as of its effective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Majority Stockholders for inclusion therein.</w:t>
      </w:r>
    </w:p>
    <w:p>
      <w:pPr>
        <w:spacing w:after="0" w:line="194"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results of operations or prospects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results of operations or prospects of the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results of operations or prospects of the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results of operations or prospects of the Parent and its subsidiaries, taken as a whole.</w:t>
      </w:r>
    </w:p>
    <w:p>
      <w:pPr>
        <w:spacing w:after="0" w:line="20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which breaches, violations and defaults, in the case of clause (b) of this Section 4.11, would have, in the aggregate, a material adverse effect on the business, operations, properties, assets, condition (financial or other), results of operations or prospects of Parent and its subsidiaries, taken as a whole.</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4.12. TAXES.</w:t>
      </w:r>
    </w:p>
    <w:p>
      <w:pPr>
        <w:spacing w:after="0" w:line="186" w:lineRule="exact"/>
        <w:rPr>
          <w:sz w:val="20"/>
          <w:szCs w:val="20"/>
          <w:color w:val="auto"/>
        </w:rPr>
      </w:pPr>
    </w:p>
    <w:p>
      <w:pPr>
        <w:ind w:right="2659" w:firstLine="470"/>
        <w:spacing w:after="0" w:line="239" w:lineRule="auto"/>
        <w:tabs>
          <w:tab w:leader="none" w:pos="85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AA-8</w:t>
      </w:r>
    </w:p>
    <w:p>
      <w:pPr>
        <w:sectPr>
          <w:pgSz w:w="11900" w:h="16838" w:orient="portrait"/>
          <w:cols w:equalWidth="0" w:num="1">
            <w:col w:w="10219"/>
          </w:cols>
          <w:pgMar w:left="240" w:top="295" w:right="1440" w:bottom="1440" w:gutter="0" w:footer="0" w:header="0"/>
        </w:sectPr>
      </w:pPr>
    </w:p>
    <w:bookmarkStart w:id="229" w:name="page230"/>
    <w:bookmarkEnd w:id="229"/>
    <w:p>
      <w:pPr>
        <w:ind w:left="283"/>
        <w:spacing w:after="0"/>
        <w:rPr>
          <w:sz w:val="20"/>
          <w:szCs w:val="20"/>
          <w:color w:val="auto"/>
        </w:rPr>
      </w:pPr>
      <w:r>
        <w:rPr>
          <w:rFonts w:ascii="Courier New" w:cs="Courier New" w:eastAsia="Courier New" w:hAnsi="Courier New"/>
          <w:sz w:val="16"/>
          <w:szCs w:val="16"/>
          <w:color w:val="auto"/>
        </w:rPr>
        <w:t>226</w:t>
      </w:r>
    </w:p>
    <w:p>
      <w:pPr>
        <w:spacing w:after="0" w:line="186"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effect on the business, operations, properties, assets, condition (financial or other), results of operations or prospects of Parent and its subsidiaries, taken as a whole, and such Tax Returns are true, correct and complete in all material respects and (ii) duly paid in full or made adequate provision for the payment of all Taxes (as defined in Section 4.12(b)) for all periods ending at or prior to the Effective Time. The liabilities and reserves for Taxes reflected in the Parent balance sheet included in the latest Parent SEC Report are adequate to cover all Taxes for all periods ending at or prior to the Effective Time and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results of operations or prospects of Parent and its subsidiaries, taken as a whole.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180" w:lineRule="exact"/>
        <w:rPr>
          <w:sz w:val="20"/>
          <w:szCs w:val="20"/>
          <w:color w:val="auto"/>
        </w:rPr>
      </w:pPr>
    </w:p>
    <w:p>
      <w:pPr>
        <w:ind w:left="3" w:right="2659" w:firstLine="470"/>
        <w:spacing w:after="0"/>
        <w:tabs>
          <w:tab w:leader="none" w:pos="85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"Taxes" shall mean all taxes, including, without limitation, income, gross receipts, excise, property, sales, withholding, social security, occupation, use, service, service use,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89" w:lineRule="exact"/>
        <w:rPr>
          <w:rFonts w:ascii="Courier New" w:cs="Courier New" w:eastAsia="Courier New" w:hAnsi="Courier New"/>
          <w:sz w:val="16"/>
          <w:szCs w:val="16"/>
          <w:color w:val="auto"/>
        </w:rPr>
      </w:pPr>
    </w:p>
    <w:p>
      <w:pPr>
        <w:ind w:left="3" w:right="2939" w:firstLine="470"/>
        <w:spacing w:after="0" w:line="238" w:lineRule="auto"/>
        <w:tabs>
          <w:tab w:leader="none" w:pos="85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 Return" shall mean any return, report or other document or information required to be supplied to a taxing authority in connection with Taxes.</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4.13. EMPLOYEE BENEFIT PLANS; ERISA. (a) Except as set forth in the Parent SEC Reports, at the date hereof, Parent and its subsidiaries do not maintain or contribute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Schedule 4.13 attached hereto lists all Multi-employer Plans and Multiple Employer Plans which any of Parent or its subsidiaries maintains or to which any of them makes contributions. Neither Parent nor its subsidiaries has any obligation to create any additional such plan or to amend any such plan so as to increase benefits thereunder, except as required under the terms of the Parent Plans, under existing collective bargaining agreements or to comply with applicable law.</w:t>
      </w:r>
    </w:p>
    <w:p>
      <w:pPr>
        <w:spacing w:after="0" w:line="193" w:lineRule="exact"/>
        <w:rPr>
          <w:sz w:val="20"/>
          <w:szCs w:val="20"/>
          <w:color w:val="auto"/>
        </w:rPr>
      </w:pPr>
    </w:p>
    <w:p>
      <w:pPr>
        <w:ind w:left="3" w:right="2839" w:firstLine="470"/>
        <w:spacing w:after="0" w:line="256" w:lineRule="auto"/>
        <w:tabs>
          <w:tab w:leader="none" w:pos="85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results of operations or prospects of Parent and its subsidiaries, taken as a whole, (ii) except for premiums due, there is no outstanding material liability, whether measured alone or in the aggregate, under Title IV of ERISA with respect to any of the Parent Plans,</w:t>
      </w:r>
    </w:p>
    <w:p>
      <w:pPr>
        <w:spacing w:after="0" w:line="5" w:lineRule="exact"/>
        <w:rPr>
          <w:rFonts w:ascii="Courier New" w:cs="Courier New" w:eastAsia="Courier New" w:hAnsi="Courier New"/>
          <w:sz w:val="15"/>
          <w:szCs w:val="15"/>
          <w:color w:val="auto"/>
        </w:rPr>
      </w:pPr>
    </w:p>
    <w:p>
      <w:pPr>
        <w:ind w:left="3" w:right="2659" w:hanging="3"/>
        <w:spacing w:after="0" w:line="258" w:lineRule="auto"/>
        <w:tabs>
          <w:tab w:leader="none" w:pos="57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w:t>
      </w:r>
    </w:p>
    <w:p>
      <w:pPr>
        <w:spacing w:after="0" w:line="172"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AA-9</w:t>
      </w:r>
    </w:p>
    <w:p>
      <w:pPr>
        <w:sectPr>
          <w:pgSz w:w="11900" w:h="16838" w:orient="portrait"/>
          <w:cols w:equalWidth="0" w:num="1">
            <w:col w:w="10222"/>
          </w:cols>
          <w:pgMar w:left="237" w:top="295" w:right="1440" w:bottom="1440" w:gutter="0" w:footer="0" w:header="0"/>
        </w:sectPr>
      </w:pPr>
    </w:p>
    <w:bookmarkStart w:id="230" w:name="page231"/>
    <w:bookmarkEnd w:id="230"/>
    <w:p>
      <w:pPr>
        <w:ind w:left="283"/>
        <w:spacing w:after="0"/>
        <w:rPr>
          <w:sz w:val="20"/>
          <w:szCs w:val="20"/>
          <w:color w:val="auto"/>
        </w:rPr>
      </w:pPr>
      <w:r>
        <w:rPr>
          <w:rFonts w:ascii="Courier New" w:cs="Courier New" w:eastAsia="Courier New" w:hAnsi="Courier New"/>
          <w:sz w:val="16"/>
          <w:szCs w:val="16"/>
          <w:color w:val="auto"/>
        </w:rPr>
        <w:t>227</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under each of the Parent Plans which is subject to Title IV of ERISA did not, as of its latest valuation date, exceed the then current value of the assets of such plan allocable to such benefit liabilities by more than the amount, if any, disclosed in the Parent SEC Reports as of September 30, 1994,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 (vii) 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w:t>
      </w:r>
    </w:p>
    <w:p>
      <w:pPr>
        <w:spacing w:after="0" w:line="9" w:lineRule="exact"/>
        <w:rPr>
          <w:sz w:val="20"/>
          <w:szCs w:val="20"/>
          <w:color w:val="auto"/>
        </w:rPr>
      </w:pPr>
    </w:p>
    <w:p>
      <w:pPr>
        <w:ind w:left="3" w:right="2659" w:hanging="3"/>
        <w:spacing w:after="0"/>
        <w:tabs>
          <w:tab w:leader="none" w:pos="66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Multi-employer Plans, neither Parent nor any of its subsidiaries has made or suffered a "complete withdrawal" or a "partial withdrawal,"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and (x) Parent and its subsidiaries have no current material liability for plan termination or withdrawal (complete or partial) under Title IV of ERISA based on any plan to which any entity that would be deemed one employer with Parent and its subsidiaries under Section 4001 of ERISA or Section 414 of the Code contributed during the period of time covered by the applicable statute of limitations (a "Parent Controlled Group Plan"), and Parent and its subsidiaries do not reasonably anticipate that any such liability will be asserted against Parent or any of its subsidiaries. None of the Parent Controlled Group Plans has an "accumulated funding deficiency" (as defined in Section 302 of ERISA and Section 412 of the Code).</w:t>
      </w:r>
    </w:p>
    <w:p>
      <w:pPr>
        <w:spacing w:after="0" w:line="193" w:lineRule="exact"/>
        <w:rPr>
          <w:rFonts w:ascii="Courier New" w:cs="Courier New" w:eastAsia="Courier New" w:hAnsi="Courier New"/>
          <w:sz w:val="16"/>
          <w:szCs w:val="16"/>
          <w:color w:val="auto"/>
        </w:rPr>
      </w:pPr>
    </w:p>
    <w:p>
      <w:pPr>
        <w:ind w:left="3" w:right="2839" w:firstLine="470"/>
        <w:spacing w:after="0" w:line="239" w:lineRule="auto"/>
        <w:tabs>
          <w:tab w:leader="none" w:pos="854"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87"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4.14. LABOR CONTROVERSIES. Except as set forth in the Parent SEC Reports, (a) there are no significant controversies pending or, to the knowledge of Parent, threatened between Parent or its subsidiaries and any representatives of any of their employees, (b) to the knowledge of Parent, there are no material organizational efforts presently being made involving any of the presently unorganized employees of Parent and its subsidiaries, (c) Parent and its subsidiaries have, to the knowledge of Parent, complied in all material respects with all laws relating to the employment of labor, including, without limitation, any provisions thereof relating to wages, hours, collective bargaining, and the payment of social security and similar taxes, and (d) no person has, to the knowledge of Parent, asserted that Parent or any of its subsidiaries is liable in any material amount for any arrears of wages or any taxes or penalties for failure to comply with any of the foregoing, except for such controversies, organizational efforts, non-compliance and liabilities which, singly or in the aggregate, could not reasonably be expected to materially and adversely affect the business, operations, properties, assets, condition (financial or other), results of operations or prospects of Parent and its subsidiaries, taken as a whole.</w:t>
      </w:r>
    </w:p>
    <w:p>
      <w:pPr>
        <w:spacing w:after="0" w:line="193"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SECTION 4.15. ENVIRONMENTAL MATTERS. (a) Except as set forth in the Parent SEC Reports, (i) Parent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w:t>
      </w:r>
    </w:p>
    <w:p>
      <w:pPr>
        <w:spacing w:after="0" w:line="18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AA-10</w:t>
      </w:r>
    </w:p>
    <w:p>
      <w:pPr>
        <w:sectPr>
          <w:pgSz w:w="11900" w:h="16838" w:orient="portrait"/>
          <w:cols w:equalWidth="0" w:num="1">
            <w:col w:w="10222"/>
          </w:cols>
          <w:pgMar w:left="237" w:top="295" w:right="1440" w:bottom="1440" w:gutter="0" w:footer="0" w:header="0"/>
        </w:sectPr>
      </w:pPr>
    </w:p>
    <w:bookmarkStart w:id="231" w:name="page232"/>
    <w:bookmarkEnd w:id="231"/>
    <w:p>
      <w:pPr>
        <w:ind w:left="283"/>
        <w:spacing w:after="0"/>
        <w:rPr>
          <w:sz w:val="20"/>
          <w:szCs w:val="20"/>
          <w:color w:val="auto"/>
        </w:rPr>
      </w:pPr>
      <w:r>
        <w:rPr>
          <w:rFonts w:ascii="Courier New" w:cs="Courier New" w:eastAsia="Courier New" w:hAnsi="Courier New"/>
          <w:sz w:val="16"/>
          <w:szCs w:val="16"/>
          <w:color w:val="auto"/>
        </w:rPr>
        <w:t>228</w:t>
      </w:r>
    </w:p>
    <w:p>
      <w:pPr>
        <w:spacing w:after="0" w:line="186"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there have been no environmental investigations, studies, audits, tests, reviews or other analyses regarding compliance or noncompliance with any applicable Environmental Law conducted by or which are in the possession of Parent or its subsidiaries relating to the activities of Parent or its subsidiaries which have not been delivered to the Company prior to the date hereof, (viii) there are no underground storage tanks on, in or under any properties owned by Parent and any of its subsidiaries and no underground storage tanks have been closed or removed from any of such properties during the time such properties were owned, leased or operated by Parent or any of its subsidiaries, (ix)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(x) neither Parent,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results of operations or prospects of Parent and its subsidiaries considered as one enterprise.</w:t>
      </w:r>
    </w:p>
    <w:p>
      <w:pPr>
        <w:spacing w:after="0" w:line="362" w:lineRule="exact"/>
        <w:rPr>
          <w:sz w:val="20"/>
          <w:szCs w:val="20"/>
          <w:color w:val="auto"/>
        </w:rPr>
      </w:pPr>
    </w:p>
    <w:p>
      <w:pPr>
        <w:ind w:left="3" w:right="2759" w:firstLine="470"/>
        <w:spacing w:after="0" w:line="239" w:lineRule="auto"/>
        <w:tabs>
          <w:tab w:leader="none" w:pos="854"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spacing w:after="0" w:line="5" w:lineRule="exact"/>
        <w:rPr>
          <w:rFonts w:ascii="Courier New" w:cs="Courier New" w:eastAsia="Courier New" w:hAnsi="Courier New"/>
          <w:sz w:val="16"/>
          <w:szCs w:val="16"/>
          <w:color w:val="auto"/>
        </w:rPr>
      </w:pPr>
    </w:p>
    <w:p>
      <w:pPr>
        <w:ind w:left="3" w:right="2659" w:hanging="3"/>
        <w:spacing w:after="0" w:line="257" w:lineRule="auto"/>
        <w:tabs>
          <w:tab w:leader="none" w:pos="38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and the Federal Toxic Substances Control Act, the Federal Insecticide, Fungicide and Rodenticide Act,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180" w:lineRule="exact"/>
        <w:rPr>
          <w:rFonts w:ascii="Courier New" w:cs="Courier New" w:eastAsia="Courier New" w:hAnsi="Courier New"/>
          <w:sz w:val="15"/>
          <w:szCs w:val="15"/>
          <w:color w:val="auto"/>
        </w:rPr>
      </w:pPr>
    </w:p>
    <w:p>
      <w:pPr>
        <w:ind w:left="3" w:right="2659" w:firstLine="470"/>
        <w:spacing w:after="0"/>
        <w:tabs>
          <w:tab w:leader="none" w:pos="854"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88"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4.16. NON-COMPETITION AGREEMENTS. Neither Parent nor any subsidiary of Parent is a party to any agreement which purports to restrict or prohibit in any material respect any of them from, directly or indirectly, engaging in any business of rubbish, garbage, paper, textile wastes, chemical or hazardous wastes, liquid and other waste collection, interim storage, transfer, recovery, processing, recycling, marketing or disposal or any other material business currently engaged in by the Parent or the Company, or any</w:t>
      </w:r>
    </w:p>
    <w:p>
      <w:pPr>
        <w:spacing w:after="0" w:line="18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AA-11</w:t>
      </w:r>
    </w:p>
    <w:p>
      <w:pPr>
        <w:sectPr>
          <w:pgSz w:w="11900" w:h="16838" w:orient="portrait"/>
          <w:cols w:equalWidth="0" w:num="1">
            <w:col w:w="10222"/>
          </w:cols>
          <w:pgMar w:left="237" w:top="295"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6"/>
          <w:szCs w:val="16"/>
          <w:color w:val="auto"/>
        </w:rPr>
        <w:t>229</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results of operations or prospects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Parent and its subsidiaries, taken as a whole.</w:t>
      </w:r>
    </w:p>
    <w:p>
      <w:pPr>
        <w:spacing w:after="0" w:line="197"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SECTION 4.18. PARENT STOCKHOLDERS' APPROVAL. The affirmative vote of stockholders of Parent required for approval and adoption of this Agreement and the Merger is a majority of the outstanding shares of Parent Common Stock.</w:t>
      </w:r>
    </w:p>
    <w:p>
      <w:pPr>
        <w:spacing w:after="0" w:line="16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V</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represents and warrants to Parent and Subsidiary as follows: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results of operations or prospects of the Company and its subsidiaries, taken as a whole. True, accurate and complete copies of the Company's Certificate of Incorporation and By-laws, in each case as in effect on the date hereof, including all amendments thereto, have heretofore been delivered to Parent.</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5.2. CAPITALIZATION.</w:t>
      </w:r>
    </w:p>
    <w:p>
      <w:pPr>
        <w:spacing w:after="0" w:line="186" w:lineRule="exact"/>
        <w:rPr>
          <w:sz w:val="20"/>
          <w:szCs w:val="20"/>
          <w:color w:val="auto"/>
        </w:rPr>
      </w:pPr>
    </w:p>
    <w:p>
      <w:pPr>
        <w:ind w:right="2659" w:firstLine="470"/>
        <w:spacing w:after="0"/>
        <w:tabs>
          <w:tab w:leader="none" w:pos="85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the Company consists of 50,000,000 shares of Regular Common Stock, 100,000,000 shares of Class A Common Stock and 10,000,000 shares of preferred stock. As of November 21, 1994, 15,959,968 shares of Regular Common Stock and 50,829,159 shares of Class A Common Stock were issued and outstanding and no shares of preferred stock were issued and outstanding. All of such issued and outstanding shares are validly issued and are fully paid, nonassessable and free of preemptive rights. No subsidiary of the Company holds any shares of the capital stock of the Company.</w:t>
      </w:r>
    </w:p>
    <w:p>
      <w:pPr>
        <w:spacing w:after="0" w:line="186" w:lineRule="exact"/>
        <w:rPr>
          <w:rFonts w:ascii="Courier New" w:cs="Courier New" w:eastAsia="Courier New" w:hAnsi="Courier New"/>
          <w:sz w:val="16"/>
          <w:szCs w:val="16"/>
          <w:color w:val="auto"/>
        </w:rPr>
      </w:pPr>
    </w:p>
    <w:p>
      <w:pPr>
        <w:ind w:right="3039" w:firstLine="470"/>
        <w:spacing w:after="0" w:line="262" w:lineRule="auto"/>
        <w:tabs>
          <w:tab w:leader="none" w:pos="85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5.2 attached hereto, as of the date hereof there were no outstanding subscriptions, options, calls, contracts, commitments, understandings, restrictions, arrangements, rights or</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AA-12</w:t>
      </w:r>
    </w:p>
    <w:p>
      <w:pPr>
        <w:sectPr>
          <w:pgSz w:w="11900" w:h="16838" w:orient="portrait"/>
          <w:cols w:equalWidth="0" w:num="1">
            <w:col w:w="10219"/>
          </w:cols>
          <w:pgMar w:left="240" w:top="295" w:right="1440"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6"/>
          <w:szCs w:val="16"/>
          <w:color w:val="auto"/>
        </w:rPr>
        <w:t>230</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5.3. SUBSIDIARIES.</w:t>
      </w:r>
    </w:p>
    <w:p>
      <w:pPr>
        <w:spacing w:after="0" w:line="186" w:lineRule="exact"/>
        <w:rPr>
          <w:sz w:val="20"/>
          <w:szCs w:val="20"/>
          <w:color w:val="auto"/>
        </w:rPr>
      </w:pPr>
    </w:p>
    <w:p>
      <w:pPr>
        <w:ind w:right="2659" w:firstLine="470"/>
        <w:spacing w:after="0" w:line="257" w:lineRule="auto"/>
        <w:tabs>
          <w:tab w:leader="none" w:pos="85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5.3,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results of operations or prospects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except as set forth in Schedule 5.3 attached hereto.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3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5.4. AUTHORITY; NON-CONTRAVENTION; APPROVALS.</w:t>
      </w:r>
    </w:p>
    <w:p>
      <w:pPr>
        <w:spacing w:after="0" w:line="186" w:lineRule="exact"/>
        <w:rPr>
          <w:sz w:val="20"/>
          <w:szCs w:val="20"/>
          <w:color w:val="auto"/>
        </w:rPr>
      </w:pPr>
    </w:p>
    <w:p>
      <w:pPr>
        <w:ind w:right="2659" w:firstLine="470"/>
        <w:spacing w:after="0"/>
        <w:tabs>
          <w:tab w:leader="none" w:pos="85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full corporate power and authority to enter into this Agreement and, subject to the Company Stockholders' Approval (as defined in Section 7.3(a))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7.3, 7.6, 7.7, 7.8 and 7.11 is valid, legally binding and enforceable notwithstanding the absence of the Company Stockholders' Approval.</w:t>
      </w:r>
    </w:p>
    <w:p>
      <w:pPr>
        <w:spacing w:after="0" w:line="193" w:lineRule="exact"/>
        <w:rPr>
          <w:rFonts w:ascii="Courier New" w:cs="Courier New" w:eastAsia="Courier New" w:hAnsi="Courier New"/>
          <w:sz w:val="16"/>
          <w:szCs w:val="16"/>
          <w:color w:val="auto"/>
        </w:rPr>
      </w:pPr>
    </w:p>
    <w:p>
      <w:pPr>
        <w:ind w:right="2759" w:firstLine="470"/>
        <w:spacing w:after="0" w:line="257" w:lineRule="auto"/>
        <w:tabs>
          <w:tab w:leader="none" w:pos="85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AA-13</w:t>
      </w:r>
    </w:p>
    <w:p>
      <w:pPr>
        <w:sectPr>
          <w:pgSz w:w="11900" w:h="16838" w:orient="portrait"/>
          <w:cols w:equalWidth="0" w:num="1">
            <w:col w:w="10219"/>
          </w:cols>
          <w:pgMar w:left="240" w:top="295" w:right="1440" w:bottom="1440" w:gutter="0" w:footer="0" w:header="0"/>
        </w:sectPr>
      </w:pPr>
    </w:p>
    <w:bookmarkStart w:id="234" w:name="page235"/>
    <w:bookmarkEnd w:id="234"/>
    <w:p>
      <w:pPr>
        <w:ind w:left="283"/>
        <w:spacing w:after="0"/>
        <w:rPr>
          <w:sz w:val="20"/>
          <w:szCs w:val="20"/>
          <w:color w:val="auto"/>
        </w:rPr>
      </w:pPr>
      <w:r>
        <w:rPr>
          <w:rFonts w:ascii="Courier New" w:cs="Courier New" w:eastAsia="Courier New" w:hAnsi="Courier New"/>
          <w:sz w:val="16"/>
          <w:szCs w:val="16"/>
          <w:color w:val="auto"/>
        </w:rPr>
        <w:t>231</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w:t>
      </w:r>
    </w:p>
    <w:p>
      <w:pPr>
        <w:spacing w:after="0" w:line="6" w:lineRule="exact"/>
        <w:rPr>
          <w:sz w:val="20"/>
          <w:szCs w:val="20"/>
          <w:color w:val="auto"/>
        </w:rPr>
      </w:pPr>
    </w:p>
    <w:p>
      <w:pPr>
        <w:ind w:left="3" w:right="2659" w:hanging="3"/>
        <w:spacing w:after="0"/>
        <w:tabs>
          <w:tab w:leader="none" w:pos="3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the Company and its subsidiaries, taken as a whole.</w:t>
      </w:r>
    </w:p>
    <w:p>
      <w:pPr>
        <w:spacing w:after="0" w:line="188" w:lineRule="exact"/>
        <w:rPr>
          <w:rFonts w:ascii="Courier New" w:cs="Courier New" w:eastAsia="Courier New" w:hAnsi="Courier New"/>
          <w:sz w:val="16"/>
          <w:szCs w:val="16"/>
          <w:color w:val="auto"/>
        </w:rPr>
      </w:pPr>
    </w:p>
    <w:p>
      <w:pPr>
        <w:ind w:left="3" w:right="2659" w:firstLine="470"/>
        <w:spacing w:after="0"/>
        <w:tabs>
          <w:tab w:leader="none" w:pos="854"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and the Company required by the HSR Act, (ii) the filing of the Joint Proxy Statement/Prospectus with the SEC pursuant to the Exchange Act and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results of operations or prospects of the Company and its subsidiaries, taken as a whole.</w:t>
      </w:r>
    </w:p>
    <w:p>
      <w:pPr>
        <w:spacing w:after="0" w:line="194"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SECTION 5.5. REPORTS AND FINANCIAL STATEMENTS. Except as set forth on Schedule 5.5 attached hereto, since December 31, 1990, the Company has filed with the SEC all material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The Company has previously delivered to Parent copies of its (a) Annual Reports on Form 10-K for the fiscal year ended December 31, 1993 and for each of the two immediately preceding fiscal years, as filed with the SEC, (b) proxy and information statements relating to (i) all meetings of its stockholders (whether annual or special) and (ii) actions by written consent in lieu of a stockholders' meeting from December 31, 1990 until the date hereof, and (c) all other reports, including quarterly reports, or registration statements filed by the Company with the SEC since December 31, 1990 (other than Registration Statements filed on Form S-8) and (the documents referred to in clauses (a), (b) and (c) are collectively referred to as the "Company SEC Reports"). Except as set forth in Schedule 5.5 attached hereto, as of their respective dates, the Company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35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AA-14</w:t>
      </w:r>
    </w:p>
    <w:p>
      <w:pPr>
        <w:sectPr>
          <w:pgSz w:w="11900" w:h="16838" w:orient="portrait"/>
          <w:cols w:equalWidth="0" w:num="1">
            <w:col w:w="10222"/>
          </w:cols>
          <w:pgMar w:left="237" w:top="295" w:right="1440" w:bottom="1440" w:gutter="0" w:footer="0" w:header="0"/>
        </w:sectPr>
      </w:pPr>
    </w:p>
    <w:bookmarkStart w:id="235" w:name="page236"/>
    <w:bookmarkEnd w:id="235"/>
    <w:p>
      <w:pPr>
        <w:ind w:left="283"/>
        <w:spacing w:after="0"/>
        <w:rPr>
          <w:sz w:val="20"/>
          <w:szCs w:val="20"/>
          <w:color w:val="auto"/>
        </w:rPr>
      </w:pPr>
      <w:r>
        <w:rPr>
          <w:rFonts w:ascii="Courier New" w:cs="Courier New" w:eastAsia="Courier New" w:hAnsi="Courier New"/>
          <w:sz w:val="16"/>
          <w:szCs w:val="16"/>
          <w:color w:val="auto"/>
        </w:rPr>
        <w:t>232</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5.6. ABSENCE OF UNDISCLOSED LIABILITIES. Except as disclosed in the Company SEC Reports, neither the Company nor any of its subsidiaries had at September 30, 1994, or has incurred since that date,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September 30, 1994 and were incurred in the ordinary course of business and consistent with past practices, (b) liabilities, obligations or contingencies which (i) would not, in the aggregate, have a material adverse effect on the business, operations, properties, assets, condition (financial or other), results of operations or prospects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normal course of business.</w:t>
      </w:r>
    </w:p>
    <w:p>
      <w:pPr>
        <w:spacing w:after="0" w:line="193"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SECTION 5.7. ABSENCE OF CERTAIN CHANGES OR EVENTS. Since the date of the most recent Company SEC Report, there has not been any material adverse change in the business, operations, properties, assets, liabilities, condition (financial or other), results of operations or prospects of the Company and its subsidiaries, taken as a whole.</w:t>
      </w:r>
    </w:p>
    <w:p>
      <w:pPr>
        <w:spacing w:after="0" w:line="18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5.8. LITIGATION. Except as referred to in the Company SEC Reports or in Schedule 5.8 attached hereto,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 proceedings, to materially and adversely affect the business, operations, properties, assets, condition (financial or other), results of operations or prospects of the Company and its subsidiaries, taken as a whole. Except as referred to in the Company SEC Reports or in Schedule 5.8 attached hereto,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results of operations or prospects of the Company and its subsidiaries, taken as a whole. The Company has heretofore delivered to Parent a true and complete copy of each document identified in Schedule 5.8.</w:t>
      </w:r>
    </w:p>
    <w:p>
      <w:pPr>
        <w:spacing w:after="0" w:line="190"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SECTION 5.9. REGISTRATION STATEMENT AND PROXY STATEMENT. None of the</w:t>
      </w:r>
    </w:p>
    <w:p>
      <w:pPr>
        <w:spacing w:after="0" w:line="5"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information to be supplied by the Company or its subsidiaries for inclusion in</w:t>
      </w:r>
    </w:p>
    <w:p>
      <w:pPr>
        <w:spacing w:after="0" w:line="12" w:lineRule="exact"/>
        <w:rPr>
          <w:sz w:val="20"/>
          <w:szCs w:val="20"/>
          <w:color w:val="auto"/>
        </w:rPr>
      </w:pPr>
    </w:p>
    <w:p>
      <w:pPr>
        <w:ind w:left="3" w:right="2659" w:hanging="3"/>
        <w:spacing w:after="0" w:line="257" w:lineRule="auto"/>
        <w:tabs>
          <w:tab w:leader="none" w:pos="38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comply, as of its effective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or Subsidiary for inclusion therein.</w:t>
      </w:r>
    </w:p>
    <w:p>
      <w:pPr>
        <w:spacing w:after="0" w:line="363" w:lineRule="exact"/>
        <w:rPr>
          <w:sz w:val="20"/>
          <w:szCs w:val="20"/>
          <w:color w:val="auto"/>
        </w:rPr>
      </w:pPr>
    </w:p>
    <w:p>
      <w:pPr>
        <w:ind w:left="3" w:right="2759" w:firstLine="473"/>
        <w:spacing w:after="0" w:line="257" w:lineRule="auto"/>
        <w:rPr>
          <w:sz w:val="20"/>
          <w:szCs w:val="20"/>
          <w:color w:val="auto"/>
        </w:rPr>
      </w:pPr>
      <w:r>
        <w:rPr>
          <w:rFonts w:ascii="Courier New" w:cs="Courier New" w:eastAsia="Courier New" w:hAnsi="Courier New"/>
          <w:sz w:val="15"/>
          <w:szCs w:val="15"/>
          <w:color w:val="auto"/>
        </w:rPr>
        <w:t>SECTION 5.10. NO VIOLATION OF LAW. Except as disclosed in the Company SEC Reports or in Schedule 5.8 attached hereto,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results of operations or prospects of the Company and its subsidiaries, taken as a whole. Except as disclosed in the Company SEC Reports, as of the date of this Agreement, to the knowledge</w:t>
      </w:r>
    </w:p>
    <w:p>
      <w:pPr>
        <w:spacing w:after="0" w:line="17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AA-15</w:t>
      </w:r>
    </w:p>
    <w:p>
      <w:pPr>
        <w:sectPr>
          <w:pgSz w:w="11900" w:h="16838" w:orient="portrait"/>
          <w:cols w:equalWidth="0" w:num="1">
            <w:col w:w="10222"/>
          </w:cols>
          <w:pgMar w:left="237" w:top="295" w:right="1440" w:bottom="1440" w:gutter="0" w:footer="0" w:header="0"/>
        </w:sectPr>
      </w:pPr>
    </w:p>
    <w:bookmarkStart w:id="236" w:name="page237"/>
    <w:bookmarkEnd w:id="236"/>
    <w:p>
      <w:pPr>
        <w:ind w:left="280"/>
        <w:spacing w:after="0"/>
        <w:rPr>
          <w:sz w:val="20"/>
          <w:szCs w:val="20"/>
          <w:color w:val="auto"/>
        </w:rPr>
      </w:pPr>
      <w:r>
        <w:rPr>
          <w:rFonts w:ascii="Courier New" w:cs="Courier New" w:eastAsia="Courier New" w:hAnsi="Courier New"/>
          <w:sz w:val="16"/>
          <w:szCs w:val="16"/>
          <w:color w:val="auto"/>
        </w:rPr>
        <w:t>233</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results of operations or prospects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results of operations or prospects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or prospects of the Company and its subsidiaries, taken as a whole.</w:t>
      </w:r>
    </w:p>
    <w:p>
      <w:pPr>
        <w:spacing w:after="0" w:line="18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which breaches, violations and defaults, in the case of clause (b) of this Section 5.11, would have, in the aggregate, a material adverse effect on the business, operations, properties, assets, condition (financial or other), results of operations or prospects of the Company and its subsidiaries, taken as a whole.</w:t>
      </w:r>
    </w:p>
    <w:p>
      <w:pPr>
        <w:spacing w:after="0" w:line="19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results of operations or prospects of the Company and its subsidiaries, taken as a whole, and such Tax Returns are true, correct and complete in all material respects, and (ii) duly paid in full or made adequate provision for the payment of all Taxes for all periods ending at or prior to the Effective Time. The liabilities and reserves for Taxes reflected in the Company balance sheet included in the latest Company SEC Report are adequate to cover all Taxes for all periods ending at or prior to the Effective Time and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results of operations or prospects of the Company and its subsidiaries, taken as a whole. Neither the Company nor any of its subsidiaries is a party to any agreement providing for the allocation or sharing of Taxes with any entity that is not, directly or indirectly, a wholly-owned corporate subsidiary of Company. Neither the Company nor any of its corporate subsidiaries has, with regard to any assets or property held, acquired or to be acquired by any of them, filed a consent to the application of Section 341(f) of the Code.</w:t>
      </w:r>
    </w:p>
    <w:p>
      <w:pPr>
        <w:spacing w:after="0" w:line="3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5.13. EMPLOYEE BENEFIT PLANS; ERISA.</w:t>
      </w:r>
    </w:p>
    <w:p>
      <w:pPr>
        <w:spacing w:after="0" w:line="186" w:lineRule="exact"/>
        <w:rPr>
          <w:sz w:val="20"/>
          <w:szCs w:val="20"/>
          <w:color w:val="auto"/>
        </w:rPr>
      </w:pPr>
    </w:p>
    <w:p>
      <w:pPr>
        <w:ind w:right="2659" w:firstLine="470"/>
        <w:spacing w:after="0"/>
        <w:tabs>
          <w:tab w:leader="none" w:pos="85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Company SEC Reports, at the date hereof, the Company and its subsidiaries do not maintain or contribute to any material employee benefit plans, programs, arrangements and practices (such plans, programs, arrangements and practices of the Company and its subsidiaries being referred to as the "Company Plans"), including employee benefit plans within the meaning set forth in Section 3(3) of ERISA, or other similar material arrangements for the provision of benefits (excluding any "Multi-employer Plan" within the meaning of Section 3(37) of ERISA or a "Multiple Employer Plan" within</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AA-16</w:t>
      </w:r>
    </w:p>
    <w:p>
      <w:pPr>
        <w:sectPr>
          <w:pgSz w:w="11900" w:h="16838" w:orient="portrait"/>
          <w:cols w:equalWidth="0" w:num="1">
            <w:col w:w="10219"/>
          </w:cols>
          <w:pgMar w:left="240" w:top="295" w:right="1440" w:bottom="1440" w:gutter="0" w:footer="0" w:header="0"/>
        </w:sectPr>
      </w:pPr>
    </w:p>
    <w:bookmarkStart w:id="237" w:name="page238"/>
    <w:bookmarkEnd w:id="237"/>
    <w:p>
      <w:pPr>
        <w:ind w:left="283"/>
        <w:spacing w:after="0"/>
        <w:rPr>
          <w:sz w:val="20"/>
          <w:szCs w:val="20"/>
          <w:color w:val="auto"/>
        </w:rPr>
      </w:pPr>
      <w:r>
        <w:rPr>
          <w:rFonts w:ascii="Courier New" w:cs="Courier New" w:eastAsia="Courier New" w:hAnsi="Courier New"/>
          <w:sz w:val="16"/>
          <w:szCs w:val="16"/>
          <w:color w:val="auto"/>
        </w:rPr>
        <w:t>234</w:t>
      </w:r>
    </w:p>
    <w:p>
      <w:pPr>
        <w:spacing w:after="0" w:line="186" w:lineRule="exact"/>
        <w:rPr>
          <w:sz w:val="20"/>
          <w:szCs w:val="20"/>
          <w:color w:val="auto"/>
        </w:rPr>
      </w:pPr>
    </w:p>
    <w:p>
      <w:pPr>
        <w:ind w:left="3" w:right="2939"/>
        <w:spacing w:after="0"/>
        <w:rPr>
          <w:sz w:val="20"/>
          <w:szCs w:val="20"/>
          <w:color w:val="auto"/>
        </w:rPr>
      </w:pPr>
      <w:r>
        <w:rPr>
          <w:rFonts w:ascii="Courier New" w:cs="Courier New" w:eastAsia="Courier New" w:hAnsi="Courier New"/>
          <w:sz w:val="16"/>
          <w:szCs w:val="16"/>
          <w:color w:val="auto"/>
        </w:rPr>
        <w:t>the meaning of Section 413(c) of the Code). Schedule 5.13(a) attached hereto lists all Multi-employer Plans and Multiple Employer Plans which any of the Company or its subsidiaries maintains or to which any of them makes contributions. Neither the Company nor its subsidiaries has any obligation to create any additional such plan or to amend any such plan so as to increase benefits thereunder, except as required under the terms of the Company Plans, under existing collective bargaining agreements or to comply with applicable law.</w:t>
      </w:r>
    </w:p>
    <w:p>
      <w:pPr>
        <w:spacing w:after="0" w:line="187" w:lineRule="exact"/>
        <w:rPr>
          <w:sz w:val="20"/>
          <w:szCs w:val="20"/>
          <w:color w:val="auto"/>
        </w:rPr>
      </w:pPr>
    </w:p>
    <w:p>
      <w:pPr>
        <w:ind w:left="3" w:right="2659" w:firstLine="470"/>
        <w:spacing w:after="0" w:line="256" w:lineRule="auto"/>
        <w:tabs>
          <w:tab w:leader="none" w:pos="854"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results of operations or prospects of the Company and its subsidiaries, taken as a whole, (ii) except for premiums due, there is no outstanding material liability, whether measured alone or in the aggregate, under Title IV of ERISA with respect to any of the Company Plans,</w:t>
      </w:r>
    </w:p>
    <w:p>
      <w:pPr>
        <w:spacing w:after="0" w:line="5" w:lineRule="exact"/>
        <w:rPr>
          <w:rFonts w:ascii="Courier New" w:cs="Courier New" w:eastAsia="Courier New" w:hAnsi="Courier New"/>
          <w:sz w:val="15"/>
          <w:szCs w:val="15"/>
          <w:color w:val="auto"/>
        </w:rPr>
      </w:pPr>
    </w:p>
    <w:p>
      <w:pPr>
        <w:ind w:left="3" w:right="2659" w:hanging="3"/>
        <w:spacing w:after="0" w:line="257" w:lineRule="auto"/>
        <w:tabs>
          <w:tab w:leader="none" w:pos="57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September 30, 1994,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w:t>
      </w:r>
    </w:p>
    <w:p>
      <w:pPr>
        <w:spacing w:after="0" w:line="180" w:lineRule="exact"/>
        <w:rPr>
          <w:rFonts w:ascii="Courier New" w:cs="Courier New" w:eastAsia="Courier New" w:hAnsi="Courier New"/>
          <w:sz w:val="15"/>
          <w:szCs w:val="15"/>
          <w:color w:val="auto"/>
        </w:rPr>
      </w:pPr>
    </w:p>
    <w:p>
      <w:pPr>
        <w:ind w:left="3" w:right="2659" w:hanging="3"/>
        <w:spacing w:after="0" w:line="257" w:lineRule="auto"/>
        <w:tabs>
          <w:tab w:leader="none" w:pos="66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and (x) the Company and its subsidiaries have no current material liability, whether measured alone or in the aggregate, for plan termination or withdrawal (complete or partial) under Title IV of ERISA based on any plan to which any entity that would be deemed one employer with the Company and its subsidiaries under Section 4001 of ERISA or Section 414 of the Code contributed during the period of time covered by the applicable statute of limitations (the "Company Controlled Group Plans"), and the Company and its subsidiaries do not reasonably anticipate that any such liability will be asserted against the Company or any of its subsidiaries. None of the Company Controlled Group Plans has an "accumulated funding deficiency" (as defined in Section 302 of ERISA and 412 of the Code).</w:t>
      </w:r>
    </w:p>
    <w:p>
      <w:pPr>
        <w:spacing w:after="0" w:line="180" w:lineRule="exact"/>
        <w:rPr>
          <w:rFonts w:ascii="Courier New" w:cs="Courier New" w:eastAsia="Courier New" w:hAnsi="Courier New"/>
          <w:sz w:val="15"/>
          <w:szCs w:val="15"/>
          <w:color w:val="auto"/>
        </w:rPr>
      </w:pPr>
    </w:p>
    <w:p>
      <w:pPr>
        <w:ind w:left="3" w:right="2759" w:firstLine="470"/>
        <w:spacing w:after="0" w:line="239" w:lineRule="auto"/>
        <w:tabs>
          <w:tab w:leader="none" w:pos="854"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87"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5.14. LABOR CONTROVERSIES. Except as set forth in the Company SEC Reports, (a) there are no significant controversies pending or, to the knowledge of the Company, threatened between the Company or its subsidiaries and any representatives of any of their employees, (b) to the knowledge of the Company, there are no material organizational efforts presently being made involving any of the presently unorganized employees of the Company or its subsidiaries, (c) the Company and its subsidiaries have, to the knowledge of</w:t>
      </w:r>
    </w:p>
    <w:p>
      <w:pPr>
        <w:spacing w:after="0" w:line="18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AA-17</w:t>
      </w:r>
    </w:p>
    <w:p>
      <w:pPr>
        <w:sectPr>
          <w:pgSz w:w="11900" w:h="16838" w:orient="portrait"/>
          <w:cols w:equalWidth="0" w:num="1">
            <w:col w:w="10222"/>
          </w:cols>
          <w:pgMar w:left="237" w:top="295" w:right="1440"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6"/>
          <w:szCs w:val="16"/>
          <w:color w:val="auto"/>
        </w:rPr>
        <w:t>235</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Company, complied in all material respects with all laws relating to the employment of labor, including, without limitation, any provisions thereof relating to wages, hours, collective bargaining, and the payment of social security and similar taxes, and (d) no person has, to the knowledge of the Company, asserted that the Company or any of its subsidiaries is liable in any material amount for any arrears of wages or any taxes or penalties for failure to comply with any of the foregoing, except for such controversies, organizational efforts, non-compliance and liabilities which, singly or in the aggregate, could not reasonably be expected to materially and adversely affect the business, operations, properties, assets, condition (financial or other), results of operations or prospects of the Company and its subsidiaries, taken as a whole.</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5.15. ENVIRONMENTAL MATTERS. Except as set forth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there have been no environmental investigations, studies, audits, tests, reviews or other analyses regarding compliance or noncompliance with any applicable Environmental Law conducted by or which are in the possession of the Company or its subsidiaries relating to the activities of the Company or its subsidiaries which have not been delivered to Parent prior to the date hereof, (viii) there are no underground storage tanks on, in or under any properties owned by the Company or any of its subsidiaries and no underground storage tanks have been closed or removed from any of such properties during the time such properties were owned, leased or operated by the Company or any of its subsidiaries, (ix)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results of operations or prospects of the Company and its subsidiaries considered as one enterprise.</w:t>
      </w:r>
    </w:p>
    <w:p>
      <w:pPr>
        <w:spacing w:after="0" w:line="200" w:lineRule="exact"/>
        <w:rPr>
          <w:sz w:val="20"/>
          <w:szCs w:val="20"/>
          <w:color w:val="auto"/>
        </w:rPr>
      </w:pPr>
    </w:p>
    <w:p>
      <w:pPr>
        <w:spacing w:after="0" w:line="34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5.16. NON-COMPETITION AGREEMENTS. Neither the Company nor any subsidiary of the Company is a party to any agreement which purports to restrict or prohibit in any material respect any of them from, directly or indirectly, engaging in any business of rubbish, garbage, paper, textile wastes, chemical or hazardous wastes, liquid and other waste collection, interim storage, transfer, recovery, processing, recycling, marketing or disposal or any other material business currently engaged in by the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of the Company from, directly or indirectly, engaging in any of the businesses described above.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AA-18</w:t>
      </w:r>
    </w:p>
    <w:p>
      <w:pPr>
        <w:sectPr>
          <w:pgSz w:w="11900" w:h="16838" w:orient="portrait"/>
          <w:cols w:equalWidth="0" w:num="1">
            <w:col w:w="10219"/>
          </w:cols>
          <w:pgMar w:left="240" w:top="295" w:right="1440" w:bottom="1440" w:gutter="0" w:footer="0" w:header="0"/>
        </w:sectPr>
      </w:pPr>
    </w:p>
    <w:bookmarkStart w:id="239" w:name="page240"/>
    <w:bookmarkEnd w:id="239"/>
    <w:p>
      <w:pPr>
        <w:ind w:left="280"/>
        <w:spacing w:after="0"/>
        <w:rPr>
          <w:sz w:val="20"/>
          <w:szCs w:val="20"/>
          <w:color w:val="auto"/>
        </w:rPr>
      </w:pPr>
      <w:r>
        <w:rPr>
          <w:rFonts w:ascii="Courier New" w:cs="Courier New" w:eastAsia="Courier New" w:hAnsi="Courier New"/>
          <w:sz w:val="16"/>
          <w:szCs w:val="16"/>
          <w:color w:val="auto"/>
        </w:rPr>
        <w:t>236</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of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results of operations or prospects of the Company and its subsidiaries, taken as a whole. All leases under which the Company leases any substantial amount of real or personal property have been delivered to Parent and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condition of the Company.</w:t>
      </w:r>
    </w:p>
    <w:p>
      <w:pPr>
        <w:spacing w:after="0" w:line="36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SECTION 5.18. COMPANY STOCKHOLDERS' APPROVAL. The affirmative vote of stockholders of the Company required for approval and adoption of this Agreement and the Merger is a majority of the votes to which holders of outstanding shares of Regular Common Stock and Class A Common Stock, voting together as a single class, are entitled. If all the shares of Company Common Stock as to which irrevocable proxies have been granted were voted (whether pursuant to such irrevocable proxies or otherwise) at a meeting of the Company's stockholders in favor of the approval of this Agreement and the Merger, such vote would constitute the requisite approval of the Company's stockholders for the approval and adoption of this Agreement and the Merger under the DGCL.</w:t>
      </w:r>
    </w:p>
    <w:p>
      <w:pPr>
        <w:spacing w:after="0" w:line="17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VI</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CONDUCT OF BUSINESS PENDING THE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contemplated by this Agreement, after the date hereof and prior to the Closing Date or earlier termination of this Agreement, unless Parent shall otherwise agree in writing, the Company shall, and shall cause its subsidiaries, to:</w:t>
      </w:r>
    </w:p>
    <w:p>
      <w:pPr>
        <w:spacing w:after="0" w:line="189" w:lineRule="exact"/>
        <w:rPr>
          <w:sz w:val="20"/>
          <w:szCs w:val="20"/>
          <w:color w:val="auto"/>
        </w:rPr>
      </w:pPr>
    </w:p>
    <w:p>
      <w:pPr>
        <w:ind w:left="460" w:right="3119" w:firstLine="483"/>
        <w:spacing w:after="0" w:line="237" w:lineRule="auto"/>
        <w:tabs>
          <w:tab w:leader="none" w:pos="131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7"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188"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the Company may issue shares upon conversion of convertible securities and exercise of options outstanding on the date hereof;</w:t>
      </w:r>
    </w:p>
    <w:p>
      <w:pPr>
        <w:spacing w:after="0" w:line="191" w:lineRule="exact"/>
        <w:rPr>
          <w:rFonts w:ascii="Courier New" w:cs="Courier New" w:eastAsia="Courier New" w:hAnsi="Courier New"/>
          <w:sz w:val="16"/>
          <w:szCs w:val="16"/>
          <w:color w:val="auto"/>
        </w:rPr>
      </w:pPr>
    </w:p>
    <w:p>
      <w:pPr>
        <w:ind w:left="460" w:right="2839" w:firstLine="483"/>
        <w:spacing w:after="0" w:line="256" w:lineRule="auto"/>
        <w:tabs>
          <w:tab w:leader="none" w:pos="1311"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w:t>
      </w:r>
    </w:p>
    <w:p>
      <w:pPr>
        <w:spacing w:after="0" w:line="1" w:lineRule="exact"/>
        <w:rPr>
          <w:rFonts w:ascii="Courier New" w:cs="Courier New" w:eastAsia="Courier New" w:hAnsi="Courier New"/>
          <w:sz w:val="15"/>
          <w:szCs w:val="15"/>
          <w:color w:val="auto"/>
        </w:rPr>
      </w:pPr>
    </w:p>
    <w:p>
      <w:pPr>
        <w:ind w:left="460" w:right="2759" w:firstLine="10"/>
        <w:spacing w:after="0" w:line="239" w:lineRule="auto"/>
        <w:tabs>
          <w:tab w:leader="none" w:pos="93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Opinion No. 16 of the Accounting Principles</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AA-19</w:t>
      </w:r>
    </w:p>
    <w:p>
      <w:pPr>
        <w:sectPr>
          <w:pgSz w:w="11900" w:h="16838" w:orient="portrait"/>
          <w:cols w:equalWidth="0" w:num="1">
            <w:col w:w="10219"/>
          </w:cols>
          <w:pgMar w:left="240" w:top="295" w:right="1440" w:bottom="1440" w:gutter="0" w:footer="0" w:header="0"/>
        </w:sectPr>
      </w:pPr>
    </w:p>
    <w:bookmarkStart w:id="240" w:name="page241"/>
    <w:bookmarkEnd w:id="240"/>
    <w:p>
      <w:pPr>
        <w:ind w:left="280"/>
        <w:spacing w:after="0"/>
        <w:rPr>
          <w:sz w:val="20"/>
          <w:szCs w:val="20"/>
          <w:color w:val="auto"/>
        </w:rPr>
      </w:pPr>
      <w:r>
        <w:rPr>
          <w:rFonts w:ascii="Courier New" w:cs="Courier New" w:eastAsia="Courier New" w:hAnsi="Courier New"/>
          <w:sz w:val="16"/>
          <w:szCs w:val="16"/>
          <w:color w:val="auto"/>
        </w:rPr>
        <w:t>237</w:t>
      </w:r>
    </w:p>
    <w:p>
      <w:pPr>
        <w:spacing w:after="0" w:line="186" w:lineRule="exact"/>
        <w:rPr>
          <w:sz w:val="20"/>
          <w:szCs w:val="20"/>
          <w:color w:val="auto"/>
        </w:rPr>
      </w:pPr>
    </w:p>
    <w:p>
      <w:pPr>
        <w:ind w:left="460" w:right="2659"/>
        <w:spacing w:after="0"/>
        <w:rPr>
          <w:sz w:val="20"/>
          <w:szCs w:val="20"/>
          <w:color w:val="auto"/>
        </w:rPr>
      </w:pPr>
      <w:r>
        <w:rPr>
          <w:rFonts w:ascii="Courier New" w:cs="Courier New" w:eastAsia="Courier New" w:hAnsi="Courier New"/>
          <w:sz w:val="16"/>
          <w:szCs w:val="16"/>
          <w:color w:val="auto"/>
        </w:rPr>
        <w:t>Board ("APB No. 16"), (iv) take or fail to take any action which action or failure to take action would cause the Company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 (vii) enter into any contract, agreement, commitment or arrangement with respect to any of the foregoing;</w:t>
      </w:r>
    </w:p>
    <w:p>
      <w:pPr>
        <w:spacing w:after="0" w:line="188" w:lineRule="exact"/>
        <w:rPr>
          <w:sz w:val="20"/>
          <w:szCs w:val="20"/>
          <w:color w:val="auto"/>
        </w:rPr>
      </w:pPr>
    </w:p>
    <w:p>
      <w:pPr>
        <w:ind w:left="460" w:right="2839" w:firstLine="483"/>
        <w:spacing w:after="0" w:line="239" w:lineRule="auto"/>
        <w:tabs>
          <w:tab w:leader="none" w:pos="131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91" w:lineRule="exact"/>
        <w:rPr>
          <w:rFonts w:ascii="Courier New" w:cs="Courier New" w:eastAsia="Courier New" w:hAnsi="Courier New"/>
          <w:sz w:val="16"/>
          <w:szCs w:val="16"/>
          <w:color w:val="auto"/>
        </w:rPr>
      </w:pPr>
    </w:p>
    <w:p>
      <w:pPr>
        <w:ind w:left="460" w:right="2759" w:firstLine="483"/>
        <w:spacing w:after="0" w:line="238" w:lineRule="auto"/>
        <w:tabs>
          <w:tab w:leader="none" w:pos="131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confer on a regular and frequent basis with one or more representatives of Parent to report operational matters of materiality and the general status of ongoing operations;</w:t>
      </w:r>
    </w:p>
    <w:p>
      <w:pPr>
        <w:spacing w:after="0" w:line="188"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 which provides for an annual base salary in excess of $125,000 and has a term in excess of one year or enter into or amend any severance or termination arrangement;</w:t>
      </w:r>
    </w:p>
    <w:p>
      <w:pPr>
        <w:spacing w:after="0" w:line="186" w:lineRule="exact"/>
        <w:rPr>
          <w:rFonts w:ascii="Courier New" w:cs="Courier New" w:eastAsia="Courier New" w:hAnsi="Courier New"/>
          <w:sz w:val="16"/>
          <w:szCs w:val="16"/>
          <w:color w:val="auto"/>
        </w:rPr>
      </w:pPr>
    </w:p>
    <w:p>
      <w:pPr>
        <w:ind w:left="460" w:right="2759" w:firstLine="483"/>
        <w:spacing w:after="0" w:line="259" w:lineRule="auto"/>
        <w:tabs>
          <w:tab w:leader="none" w:pos="131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74" w:lineRule="exact"/>
        <w:rPr>
          <w:rFonts w:ascii="Courier New" w:cs="Courier New" w:eastAsia="Courier New" w:hAnsi="Courier New"/>
          <w:sz w:val="15"/>
          <w:szCs w:val="15"/>
          <w:color w:val="auto"/>
        </w:rPr>
      </w:pPr>
    </w:p>
    <w:p>
      <w:pPr>
        <w:ind w:left="460" w:right="3039" w:firstLine="483"/>
        <w:spacing w:after="0" w:line="262" w:lineRule="auto"/>
        <w:tabs>
          <w:tab w:leader="none" w:pos="131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with financially responsible insurance companies insurance on its tangible assets and its businesses in such amounts and against such risks and losses as are consistent with past practice.</w:t>
      </w:r>
    </w:p>
    <w:p>
      <w:pPr>
        <w:spacing w:after="0" w:line="171"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89" w:lineRule="exact"/>
        <w:rPr>
          <w:sz w:val="20"/>
          <w:szCs w:val="20"/>
          <w:color w:val="auto"/>
        </w:rPr>
      </w:pPr>
    </w:p>
    <w:p>
      <w:pPr>
        <w:ind w:left="460" w:right="3119" w:firstLine="483"/>
        <w:spacing w:after="0" w:line="237" w:lineRule="auto"/>
        <w:tabs>
          <w:tab w:leader="none" w:pos="1311"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7"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wholly-owned subsidiary of Parent;</w:t>
      </w:r>
    </w:p>
    <w:p>
      <w:pPr>
        <w:spacing w:after="0" w:line="190"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shares of Parent Common Stock, or any options, warrants or rights of any kind to acquire any shares of their capital stock of any class or any debt or equity securities convertible into or exchangeable for such capital stock, except for the issuance and sale of shares issuable upon conversion of convertible securities and exercise of options outstanding on the date hereof;</w:t>
      </w:r>
    </w:p>
    <w:p>
      <w:pPr>
        <w:spacing w:after="0" w:line="191" w:lineRule="exact"/>
        <w:rPr>
          <w:rFonts w:ascii="Courier New" w:cs="Courier New" w:eastAsia="Courier New" w:hAnsi="Courier New"/>
          <w:sz w:val="16"/>
          <w:szCs w:val="16"/>
          <w:color w:val="auto"/>
        </w:rPr>
      </w:pPr>
    </w:p>
    <w:p>
      <w:pPr>
        <w:ind w:left="460" w:right="2839" w:firstLine="483"/>
        <w:spacing w:after="0" w:line="256" w:lineRule="auto"/>
        <w:tabs>
          <w:tab w:leader="none" w:pos="1311"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w:t>
      </w:r>
    </w:p>
    <w:p>
      <w:pPr>
        <w:spacing w:after="0" w:line="1" w:lineRule="exact"/>
        <w:rPr>
          <w:rFonts w:ascii="Courier New" w:cs="Courier New" w:eastAsia="Courier New" w:hAnsi="Courier New"/>
          <w:sz w:val="15"/>
          <w:szCs w:val="15"/>
          <w:color w:val="auto"/>
        </w:rPr>
      </w:pPr>
    </w:p>
    <w:p>
      <w:pPr>
        <w:ind w:left="460" w:right="2659" w:firstLine="10"/>
        <w:spacing w:after="0" w:line="239" w:lineRule="auto"/>
        <w:tabs>
          <w:tab w:leader="none" w:pos="93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APB No. 16, (iv) take or fail to take any action which action or failure to take action would cause Parent or its stockholders (except to the extent that</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AA-20</w:t>
      </w:r>
    </w:p>
    <w:p>
      <w:pPr>
        <w:sectPr>
          <w:pgSz w:w="11900" w:h="16838" w:orient="portrait"/>
          <w:cols w:equalWidth="0" w:num="1">
            <w:col w:w="10219"/>
          </w:cols>
          <w:pgMar w:left="240" w:top="295" w:right="1440" w:bottom="1440" w:gutter="0" w:footer="0" w:header="0"/>
        </w:sectPr>
      </w:pPr>
    </w:p>
    <w:bookmarkStart w:id="241" w:name="page242"/>
    <w:bookmarkEnd w:id="241"/>
    <w:p>
      <w:pPr>
        <w:ind w:left="280"/>
        <w:spacing w:after="0"/>
        <w:rPr>
          <w:sz w:val="20"/>
          <w:szCs w:val="20"/>
          <w:color w:val="auto"/>
        </w:rPr>
      </w:pPr>
      <w:r>
        <w:rPr>
          <w:rFonts w:ascii="Courier New" w:cs="Courier New" w:eastAsia="Courier New" w:hAnsi="Courier New"/>
          <w:sz w:val="16"/>
          <w:szCs w:val="16"/>
          <w:color w:val="auto"/>
        </w:rPr>
        <w:t>238</w:t>
      </w:r>
    </w:p>
    <w:p>
      <w:pPr>
        <w:spacing w:after="0" w:line="186" w:lineRule="exact"/>
        <w:rPr>
          <w:sz w:val="20"/>
          <w:szCs w:val="20"/>
          <w:color w:val="auto"/>
        </w:rPr>
      </w:pPr>
    </w:p>
    <w:p>
      <w:pPr>
        <w:ind w:left="460" w:right="2659"/>
        <w:spacing w:after="0" w:line="256" w:lineRule="auto"/>
        <w:rPr>
          <w:sz w:val="20"/>
          <w:szCs w:val="20"/>
          <w:color w:val="auto"/>
        </w:rPr>
      </w:pPr>
      <w:r>
        <w:rPr>
          <w:rFonts w:ascii="Courier New" w:cs="Courier New" w:eastAsia="Courier New" w:hAnsi="Courier New"/>
          <w:sz w:val="15"/>
          <w:szCs w:val="15"/>
          <w:color w:val="auto"/>
        </w:rPr>
        <w:t>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w:t>
      </w:r>
    </w:p>
    <w:p>
      <w:pPr>
        <w:spacing w:after="0" w:line="4" w:lineRule="exact"/>
        <w:rPr>
          <w:sz w:val="20"/>
          <w:szCs w:val="20"/>
          <w:color w:val="auto"/>
        </w:rPr>
      </w:pPr>
    </w:p>
    <w:p>
      <w:pPr>
        <w:ind w:left="460" w:right="2939" w:firstLine="10"/>
        <w:spacing w:after="0" w:line="237" w:lineRule="auto"/>
        <w:tabs>
          <w:tab w:leader="none" w:pos="102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contract, agreement, commitment or arrangement with respect to any of the foregoing;</w:t>
      </w:r>
    </w:p>
    <w:p>
      <w:pPr>
        <w:spacing w:after="0" w:line="187" w:lineRule="exact"/>
        <w:rPr>
          <w:rFonts w:ascii="Courier New" w:cs="Courier New" w:eastAsia="Courier New" w:hAnsi="Courier New"/>
          <w:sz w:val="16"/>
          <w:szCs w:val="16"/>
          <w:color w:val="auto"/>
        </w:rPr>
      </w:pPr>
    </w:p>
    <w:p>
      <w:pPr>
        <w:ind w:left="460" w:right="2839" w:firstLine="483"/>
        <w:spacing w:after="0" w:line="239" w:lineRule="auto"/>
        <w:tabs>
          <w:tab w:leader="none" w:pos="1311"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91" w:lineRule="exact"/>
        <w:rPr>
          <w:rFonts w:ascii="Courier New" w:cs="Courier New" w:eastAsia="Courier New" w:hAnsi="Courier New"/>
          <w:sz w:val="16"/>
          <w:szCs w:val="16"/>
          <w:color w:val="auto"/>
        </w:rPr>
      </w:pPr>
    </w:p>
    <w:p>
      <w:pPr>
        <w:ind w:left="460" w:right="2659" w:firstLine="483"/>
        <w:spacing w:after="0" w:line="238" w:lineRule="auto"/>
        <w:tabs>
          <w:tab w:leader="none" w:pos="1311"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confer on a regular and frequent basis with one or more representatives of the Company to report operational matters of materiality and the general status of ongoing operations;</w:t>
      </w:r>
    </w:p>
    <w:p>
      <w:pPr>
        <w:spacing w:after="0" w:line="188" w:lineRule="exact"/>
        <w:rPr>
          <w:rFonts w:ascii="Courier New" w:cs="Courier New" w:eastAsia="Courier New" w:hAnsi="Courier New"/>
          <w:sz w:val="16"/>
          <w:szCs w:val="16"/>
          <w:color w:val="auto"/>
        </w:rPr>
      </w:pPr>
    </w:p>
    <w:p>
      <w:pPr>
        <w:ind w:left="460" w:right="2759" w:firstLine="483"/>
        <w:spacing w:after="0" w:line="258" w:lineRule="auto"/>
        <w:tabs>
          <w:tab w:leader="none" w:pos="1311"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Parent and its subsidiaries shall in no event enter into any written employment agreement which provides for an annual base salary in excess of $125,000 and has a term in excess of one year or enter into or amend any severance or termination arrangement;</w:t>
      </w:r>
    </w:p>
    <w:p>
      <w:pPr>
        <w:spacing w:after="0" w:line="175" w:lineRule="exact"/>
        <w:rPr>
          <w:rFonts w:ascii="Courier New" w:cs="Courier New" w:eastAsia="Courier New" w:hAnsi="Courier New"/>
          <w:sz w:val="15"/>
          <w:szCs w:val="15"/>
          <w:color w:val="auto"/>
        </w:rPr>
      </w:pPr>
    </w:p>
    <w:p>
      <w:pPr>
        <w:ind w:left="460" w:right="2759" w:firstLine="483"/>
        <w:spacing w:after="0" w:line="259" w:lineRule="auto"/>
        <w:tabs>
          <w:tab w:leader="none" w:pos="1311"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74" w:lineRule="exact"/>
        <w:rPr>
          <w:rFonts w:ascii="Courier New" w:cs="Courier New" w:eastAsia="Courier New" w:hAnsi="Courier New"/>
          <w:sz w:val="15"/>
          <w:szCs w:val="15"/>
          <w:color w:val="auto"/>
        </w:rPr>
      </w:pPr>
    </w:p>
    <w:p>
      <w:pPr>
        <w:ind w:left="460" w:right="3039" w:firstLine="483"/>
        <w:spacing w:after="0" w:line="262" w:lineRule="auto"/>
        <w:tabs>
          <w:tab w:leader="none" w:pos="1311"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with financially responsible insurance companies insurance on its tangible assets and its businesses in such amounts and against such risks and losses as are consistent with past practice.</w:t>
      </w:r>
    </w:p>
    <w:p>
      <w:pPr>
        <w:spacing w:after="0" w:line="17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190"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6.5. ACQUISITION TRANSACTIONS.</w:t>
      </w:r>
    </w:p>
    <w:p>
      <w:pPr>
        <w:spacing w:after="0" w:line="186" w:lineRule="exact"/>
        <w:rPr>
          <w:sz w:val="20"/>
          <w:szCs w:val="20"/>
          <w:color w:val="auto"/>
        </w:rPr>
      </w:pPr>
    </w:p>
    <w:p>
      <w:pPr>
        <w:ind w:right="2759" w:firstLine="470"/>
        <w:spacing w:after="0"/>
        <w:tabs>
          <w:tab w:leader="none" w:pos="85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hereof and prior to the Effective Time or earlier termination of this Agreement, neither the Company nor Parent shall, and shall not permit any of its subsidiaries to, initiate, solicit, negotiate, encourage or provide confidential information to facilitate, and each of the Company and Parent shall, and shall cause each of its subsidiaries to, (i) cause any officer, director or employee of, or any attorney, accountant or other agent retained by it and (ii) use its reasonable best efforts to cause any financial advisor or investment banker retained by it, not to initiate, solicit, negotiate, encourage or provide non-public or confidential information to facilitate, any proposal or offer to acquire all or any substantial part of the business and properties of the Company or Parent or any capital stock of the Company or Parent, whether by merger, purchase of assets, tender offer or otherwise, whether for cash, securities or any other consideration or combination thereof (any such transactions being referred to herein as "Acquisition Transactions").</w:t>
      </w:r>
    </w:p>
    <w:p>
      <w:pPr>
        <w:spacing w:after="0" w:line="191"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the Company or the Parent may, in response to an unsolicited written proposal with respect to an Acquisition Transaction, which proposal (insofar as it relates to the consideration to be paid to the Company or its stockholders) is not subject to a financing</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AA-21</w:t>
      </w:r>
    </w:p>
    <w:p>
      <w:pPr>
        <w:sectPr>
          <w:pgSz w:w="11900" w:h="16838" w:orient="portrait"/>
          <w:cols w:equalWidth="0" w:num="1">
            <w:col w:w="10219"/>
          </w:cols>
          <w:pgMar w:left="240" w:top="295" w:right="1440" w:bottom="1440" w:gutter="0" w:footer="0" w:header="0"/>
        </w:sectPr>
      </w:pPr>
    </w:p>
    <w:bookmarkStart w:id="242" w:name="page243"/>
    <w:bookmarkEnd w:id="242"/>
    <w:p>
      <w:pPr>
        <w:ind w:left="283"/>
        <w:spacing w:after="0"/>
        <w:rPr>
          <w:sz w:val="20"/>
          <w:szCs w:val="20"/>
          <w:color w:val="auto"/>
        </w:rPr>
      </w:pPr>
      <w:r>
        <w:rPr>
          <w:rFonts w:ascii="Courier New" w:cs="Courier New" w:eastAsia="Courier New" w:hAnsi="Courier New"/>
          <w:sz w:val="16"/>
          <w:szCs w:val="16"/>
          <w:color w:val="auto"/>
        </w:rPr>
        <w:t>239</w:t>
      </w:r>
    </w:p>
    <w:p>
      <w:pPr>
        <w:spacing w:after="0" w:line="186"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condition, furnish (subject to a confidentiality agreement reasonably acceptable to the Company and Parent) confidential or non-public information concerning its business, properties or assets to a financially capable corporation, partnership, person or other entity or group (a "Potential Acquirer") or negotiate with such Potential Acquirer if (i) the Company or the Parent, as the case may be, shall have given not less than five business days' advance written notice of its intention to do so to the other party, (ii) the board of directors of the Company or the Parent, as the case may be, is advised by one or more of its independent financial advisors that providing confidential or non-public information to the Potential Acquirer is likely to lead to an Acquisition Transaction on terms that would yield a materially higher value to the Company's or the Parent's stockholders, as the case may be, than the Merger and (iii) based upon advice of its independent legal counsel, its board of directors determines in good faith that there is a significant risk that the failure to provide such confidential or non-public information to such Potential Acquirer would constitute a breach of its fiduciary duty to its stockholders.</w:t>
      </w:r>
    </w:p>
    <w:p>
      <w:pPr>
        <w:spacing w:after="0" w:line="181" w:lineRule="exact"/>
        <w:rPr>
          <w:sz w:val="20"/>
          <w:szCs w:val="20"/>
          <w:color w:val="auto"/>
        </w:rPr>
      </w:pPr>
    </w:p>
    <w:p>
      <w:pPr>
        <w:ind w:left="3" w:right="2759" w:firstLine="470"/>
        <w:spacing w:after="0"/>
        <w:tabs>
          <w:tab w:leader="none" w:pos="854"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either party hereto shall determine to provide any information or negotiate as described in paragraph (b) above, or shall receive any offer of the type referred to in paragraph (b) above, it shall promptly inform the other party hereto that information is to be provided, that negotiations are to take place or that an offer has been received and shall furnish to the other party hereto the identity of the person receiving such information or the proponent of such offer, if applicable, and, if an offer has been received, a description of the material terms thereof.</w:t>
      </w:r>
    </w:p>
    <w:p>
      <w:pPr>
        <w:spacing w:after="0" w:line="186" w:lineRule="exact"/>
        <w:rPr>
          <w:rFonts w:ascii="Courier New" w:cs="Courier New" w:eastAsia="Courier New" w:hAnsi="Courier New"/>
          <w:sz w:val="16"/>
          <w:szCs w:val="16"/>
          <w:color w:val="auto"/>
        </w:rPr>
      </w:pPr>
    </w:p>
    <w:p>
      <w:pPr>
        <w:ind w:left="3" w:right="2659" w:firstLine="470"/>
        <w:spacing w:after="0" w:line="256" w:lineRule="auto"/>
        <w:tabs>
          <w:tab w:leader="none" w:pos="854"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party hereto may enter into a definitive agreement for an Acquisition Transaction which meets the requirements set forth above with a Potential Acquirer with which it is permitted to negotiate pursuant to paragraph (b) above, but only if (i) the board of directors of such party shall have duly determined that such Acquisition Transaction would yield a materially higher value to such party's stockholders than the Merger and that the execution of such definitive agreement is in the best interests of such party's stockholders,</w:t>
      </w:r>
    </w:p>
    <w:p>
      <w:pPr>
        <w:spacing w:after="0" w:line="4" w:lineRule="exact"/>
        <w:rPr>
          <w:rFonts w:ascii="Courier New" w:cs="Courier New" w:eastAsia="Courier New" w:hAnsi="Courier New"/>
          <w:sz w:val="15"/>
          <w:szCs w:val="15"/>
          <w:color w:val="auto"/>
        </w:rPr>
      </w:pPr>
    </w:p>
    <w:p>
      <w:pPr>
        <w:ind w:left="3" w:right="2659" w:hanging="3"/>
        <w:spacing w:after="0" w:line="257" w:lineRule="auto"/>
        <w:tabs>
          <w:tab w:leader="none" w:pos="47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ten business days prior to the execution of such definitive agreement, such party shall have furnished the other party hereto with a copy of such definitive agreement and (iii) such other party shall have failed within such ten-day period to offer to amend the terms of this Agreement in order that the Merger would yield a value to such party's stockholders at least equal to the Acquisition Transaction. In making the determination required by clause (i) above, the board of directors referred to therein shall consider all relevant considerations and factors, including, without limitation, the form and value of the consideration, the extent to which the economic benefits of the Acquisition Transaction differ from the economic benefits contemplated by this Agreement, the likelihood that the Potential Acquirer will be able to obtain financing to consummate the Acquisition Transaction, the proposed closing date, the certainty of consummation, antitrust issues and closing conditions.</w:t>
      </w:r>
    </w:p>
    <w:p>
      <w:pPr>
        <w:spacing w:after="0" w:line="180" w:lineRule="exact"/>
        <w:rPr>
          <w:rFonts w:ascii="Courier New" w:cs="Courier New" w:eastAsia="Courier New" w:hAnsi="Courier New"/>
          <w:sz w:val="15"/>
          <w:szCs w:val="15"/>
          <w:color w:val="auto"/>
        </w:rPr>
      </w:pPr>
    </w:p>
    <w:p>
      <w:pPr>
        <w:ind w:left="3" w:right="2659" w:firstLine="470"/>
        <w:spacing w:after="0" w:line="239" w:lineRule="auto"/>
        <w:tabs>
          <w:tab w:leader="none" w:pos="854"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(i) acknowledges that a breach of any of its covenants contained in this Section 6.5 will result in irreparable harm to the other party which will not be compensable in money damages and (ii) agrees that such covenant shall be specifically enforceable and that specific performance and injunctive relief shall be a remedy properly available to the other party for a breach of such covenant.</w:t>
      </w:r>
    </w:p>
    <w:p>
      <w:pPr>
        <w:spacing w:after="0" w:line="186"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ARTICLE VII</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ADDITIONAL AGREEMENTS</w:t>
      </w:r>
    </w:p>
    <w:p>
      <w:pPr>
        <w:spacing w:after="0" w:line="18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or which may have a material effect on their respective businesses, properties or personnel and (ii) such other information concerning their</w:t>
      </w:r>
    </w:p>
    <w:p>
      <w:pPr>
        <w:spacing w:after="0" w:line="17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AA-22</w:t>
      </w:r>
    </w:p>
    <w:p>
      <w:pPr>
        <w:sectPr>
          <w:pgSz w:w="11900" w:h="16838" w:orient="portrait"/>
          <w:cols w:equalWidth="0" w:num="1">
            <w:col w:w="10222"/>
          </w:cols>
          <w:pgMar w:left="237" w:top="295" w:right="1440" w:bottom="1440" w:gutter="0" w:footer="0" w:header="0"/>
        </w:sectPr>
      </w:pPr>
    </w:p>
    <w:bookmarkStart w:id="243" w:name="page244"/>
    <w:bookmarkEnd w:id="243"/>
    <w:p>
      <w:pPr>
        <w:ind w:left="280"/>
        <w:spacing w:after="0"/>
        <w:rPr>
          <w:sz w:val="20"/>
          <w:szCs w:val="20"/>
          <w:color w:val="auto"/>
        </w:rPr>
      </w:pPr>
      <w:r>
        <w:rPr>
          <w:rFonts w:ascii="Courier New" w:cs="Courier New" w:eastAsia="Courier New" w:hAnsi="Courier New"/>
          <w:sz w:val="16"/>
          <w:szCs w:val="16"/>
          <w:color w:val="auto"/>
        </w:rPr>
        <w:t>240</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respective businesses, properties and personnel as Parent or Subsidiary or the Company, as the case may be, shall reasonably request; provided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193" w:lineRule="exact"/>
        <w:rPr>
          <w:sz w:val="20"/>
          <w:szCs w:val="20"/>
          <w:color w:val="auto"/>
        </w:rPr>
      </w:pPr>
    </w:p>
    <w:p>
      <w:pPr>
        <w:ind w:right="2659" w:firstLine="470"/>
        <w:spacing w:after="0"/>
        <w:tabs>
          <w:tab w:leader="none" w:pos="85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results of operations or prospects of the Company and its subsidiaries or Parent and its subsidiaries, as the case may be, taken as a whole.</w:t>
      </w:r>
    </w:p>
    <w:p>
      <w:pPr>
        <w:spacing w:after="0" w:line="192"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be true and correct in all material respects without omission of any material fact which is required to make such information not false or misleading as of the date thereof and in light of the circumstances under which given or made.</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7.3. STOCKHOLDERS' APPROVALS.</w:t>
      </w:r>
    </w:p>
    <w:p>
      <w:pPr>
        <w:spacing w:after="0" w:line="186" w:lineRule="exact"/>
        <w:rPr>
          <w:sz w:val="20"/>
          <w:szCs w:val="20"/>
          <w:color w:val="auto"/>
        </w:rPr>
      </w:pPr>
    </w:p>
    <w:p>
      <w:pPr>
        <w:ind w:right="2659" w:firstLine="470"/>
        <w:spacing w:after="0"/>
        <w:tabs>
          <w:tab w:leader="none" w:pos="85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 The Company (i) acknowledges that a breach of its covenant contained in this Section 7.3(a) to convene a meeting of its stockholders and call for a vote thereat with respect to the approval of this Agreement and the Merger will result in irreparable harm to Parent which will not be compensable in money damages and (ii) agrees that such covenant shall be specifically enforceable and that specific performance and injunctive relief shall be a remedy properly available to Parent for a breach of such covenant.</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AA-23</w:t>
      </w:r>
    </w:p>
    <w:p>
      <w:pPr>
        <w:sectPr>
          <w:pgSz w:w="11900" w:h="16838" w:orient="portrait"/>
          <w:cols w:equalWidth="0" w:num="1">
            <w:col w:w="10219"/>
          </w:cols>
          <w:pgMar w:left="240" w:top="295" w:right="1440" w:bottom="1440" w:gutter="0" w:footer="0" w:header="0"/>
        </w:sectPr>
      </w:pPr>
    </w:p>
    <w:bookmarkStart w:id="244" w:name="page245"/>
    <w:bookmarkEnd w:id="244"/>
    <w:p>
      <w:pPr>
        <w:ind w:left="283"/>
        <w:spacing w:after="0"/>
        <w:rPr>
          <w:sz w:val="20"/>
          <w:szCs w:val="20"/>
          <w:color w:val="auto"/>
        </w:rPr>
      </w:pPr>
      <w:r>
        <w:rPr>
          <w:rFonts w:ascii="Courier New" w:cs="Courier New" w:eastAsia="Courier New" w:hAnsi="Courier New"/>
          <w:sz w:val="16"/>
          <w:szCs w:val="16"/>
          <w:color w:val="auto"/>
        </w:rPr>
        <w:t>241</w:t>
      </w:r>
    </w:p>
    <w:p>
      <w:pPr>
        <w:spacing w:after="0" w:line="186" w:lineRule="exact"/>
        <w:rPr>
          <w:sz w:val="20"/>
          <w:szCs w:val="20"/>
          <w:color w:val="auto"/>
        </w:rPr>
      </w:pPr>
    </w:p>
    <w:p>
      <w:pPr>
        <w:ind w:left="3" w:right="2659" w:firstLine="470"/>
        <w:spacing w:after="0" w:line="256" w:lineRule="auto"/>
        <w:tabs>
          <w:tab w:leader="none" w:pos="854"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but subject to the fiduciary duties of the members thereof,</w:t>
      </w:r>
    </w:p>
    <w:p>
      <w:pPr>
        <w:spacing w:after="0" w:line="5" w:lineRule="exact"/>
        <w:rPr>
          <w:rFonts w:ascii="Courier New" w:cs="Courier New" w:eastAsia="Courier New" w:hAnsi="Courier New"/>
          <w:sz w:val="15"/>
          <w:szCs w:val="15"/>
          <w:color w:val="auto"/>
        </w:rPr>
      </w:pPr>
    </w:p>
    <w:p>
      <w:pPr>
        <w:ind w:left="3" w:right="2659" w:hanging="3"/>
        <w:spacing w:after="0"/>
        <w:tabs>
          <w:tab w:leader="none" w:pos="38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 Parent (i) acknowledges that a breach of its covenant contained in this Section 7.3(b) to convene a meeting of its stockholders and call for a vote thereat with respect to the approval of this Agreement and the Merger will result in irreparable harm to the Company which will not be compensable in money damages and (ii) agrees that such covenant shall be specifically enforceable and that specific performance and injunctive relief shall be a remedy properly available to the Company for a breach of such covenant.</w:t>
      </w:r>
    </w:p>
    <w:p>
      <w:pPr>
        <w:spacing w:after="0" w:line="190"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81" w:lineRule="exact"/>
        <w:rPr>
          <w:sz w:val="20"/>
          <w:szCs w:val="20"/>
          <w:color w:val="auto"/>
        </w:rPr>
      </w:pPr>
    </w:p>
    <w:p>
      <w:pPr>
        <w:jc w:val="both"/>
        <w:ind w:left="3" w:right="2659" w:firstLine="473"/>
        <w:spacing w:after="0" w:line="260" w:lineRule="auto"/>
        <w:rPr>
          <w:sz w:val="20"/>
          <w:szCs w:val="20"/>
          <w:color w:val="auto"/>
        </w:rPr>
      </w:pPr>
      <w:r>
        <w:rPr>
          <w:rFonts w:ascii="Courier New" w:cs="Courier New" w:eastAsia="Courier New" w:hAnsi="Courier New"/>
          <w:sz w:val="15"/>
          <w:szCs w:val="15"/>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w:t>
      </w:r>
    </w:p>
    <w:p>
      <w:pPr>
        <w:spacing w:after="0" w:line="169"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SECTION 7.6. EXPENSES AND FEES.</w:t>
      </w:r>
    </w:p>
    <w:p>
      <w:pPr>
        <w:spacing w:after="0" w:line="186" w:lineRule="exact"/>
        <w:rPr>
          <w:sz w:val="20"/>
          <w:szCs w:val="20"/>
          <w:color w:val="auto"/>
        </w:rPr>
      </w:pPr>
    </w:p>
    <w:p>
      <w:pPr>
        <w:ind w:left="3" w:right="2839" w:firstLine="470"/>
        <w:spacing w:after="0" w:line="259" w:lineRule="auto"/>
        <w:tabs>
          <w:tab w:leader="none" w:pos="85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7.6(b) or Section 7.6(c), all costs and expenses incurred in connection with this Agreement and the transactions contemplated hereby shall be paid by the party incurring such expenses, except that those expenses incurred in connection with printing the Joint Proxy Statement/Prospectus shall be shared equally by Parent and the Company.</w:t>
      </w:r>
    </w:p>
    <w:p>
      <w:pPr>
        <w:spacing w:after="0" w:line="174" w:lineRule="exact"/>
        <w:rPr>
          <w:rFonts w:ascii="Courier New" w:cs="Courier New" w:eastAsia="Courier New" w:hAnsi="Courier New"/>
          <w:sz w:val="15"/>
          <w:szCs w:val="15"/>
          <w:color w:val="auto"/>
        </w:rPr>
      </w:pPr>
    </w:p>
    <w:p>
      <w:pPr>
        <w:ind w:left="3" w:right="2659" w:firstLine="470"/>
        <w:spacing w:after="0" w:line="238" w:lineRule="auto"/>
        <w:tabs>
          <w:tab w:leader="none" w:pos="85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Parent a fee equal to $28,000,000 plus the reasonable out-of-pocket expenses incurred by Parent in connection with this Agreement and the transactions contemplated hereby:</w:t>
      </w:r>
    </w:p>
    <w:p>
      <w:pPr>
        <w:spacing w:after="0" w:line="188" w:lineRule="exact"/>
        <w:rPr>
          <w:rFonts w:ascii="Courier New" w:cs="Courier New" w:eastAsia="Courier New" w:hAnsi="Courier New"/>
          <w:sz w:val="16"/>
          <w:szCs w:val="16"/>
          <w:color w:val="auto"/>
        </w:rPr>
      </w:pPr>
    </w:p>
    <w:p>
      <w:pPr>
        <w:ind w:left="463" w:right="2659" w:firstLine="483"/>
        <w:spacing w:after="0" w:line="237" w:lineRule="auto"/>
        <w:tabs>
          <w:tab w:leader="none" w:pos="1314"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terminates this Agreement pursuant to clause (v) or (vi) of Section 9.1(a);</w:t>
      </w:r>
    </w:p>
    <w:p>
      <w:pPr>
        <w:spacing w:after="0" w:line="187" w:lineRule="exact"/>
        <w:rPr>
          <w:rFonts w:ascii="Courier New" w:cs="Courier New" w:eastAsia="Courier New" w:hAnsi="Courier New"/>
          <w:sz w:val="16"/>
          <w:szCs w:val="16"/>
          <w:color w:val="auto"/>
        </w:rPr>
      </w:pPr>
    </w:p>
    <w:p>
      <w:pPr>
        <w:ind w:left="463" w:right="2839" w:firstLine="483"/>
        <w:spacing w:after="0" w:line="260" w:lineRule="auto"/>
        <w:tabs>
          <w:tab w:leader="none" w:pos="1409"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either the Company terminates this Agreement pursuant to clause (i) or (ii) of Section 9.1(a) or Parent terminates this Agreement pursuant to clause (vii) of Section 9.1(b) and (B) one or more of the following events shall occur prior to one year after such termination:</w:t>
      </w:r>
    </w:p>
    <w:p>
      <w:pPr>
        <w:spacing w:after="0" w:line="173" w:lineRule="exact"/>
        <w:rPr>
          <w:rFonts w:ascii="Courier New" w:cs="Courier New" w:eastAsia="Courier New" w:hAnsi="Courier New"/>
          <w:sz w:val="15"/>
          <w:szCs w:val="15"/>
          <w:color w:val="auto"/>
        </w:rPr>
      </w:pPr>
    </w:p>
    <w:p>
      <w:pPr>
        <w:ind w:left="763" w:right="2659" w:firstLine="466"/>
        <w:spacing w:after="0" w:line="239" w:lineRule="auto"/>
        <w:tabs>
          <w:tab w:leader="none" w:pos="1614" w:val="left"/>
        </w:tabs>
        <w:numPr>
          <w:ilvl w:val="2"/>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acquired by merger or otherwise by another person under terms which provide for the Company and/or its stockholders to receive consideration having a fair value on the date of the first public announcement of such merger or other acquisition transaction equal to or greater than that provided in Section 3.1(a) of this Agreement;</w:t>
      </w:r>
    </w:p>
    <w:p>
      <w:pPr>
        <w:spacing w:after="0" w:line="190" w:lineRule="exact"/>
        <w:rPr>
          <w:rFonts w:ascii="Courier New" w:cs="Courier New" w:eastAsia="Courier New" w:hAnsi="Courier New"/>
          <w:sz w:val="16"/>
          <w:szCs w:val="16"/>
          <w:color w:val="auto"/>
        </w:rPr>
      </w:pPr>
    </w:p>
    <w:p>
      <w:pPr>
        <w:ind w:left="763" w:right="2839" w:firstLine="466"/>
        <w:spacing w:after="0" w:line="239" w:lineRule="auto"/>
        <w:tabs>
          <w:tab w:leader="none" w:pos="1614" w:val="left"/>
        </w:tabs>
        <w:numPr>
          <w:ilvl w:val="2"/>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enters into a merger or other agreement which contemplates the acquisition of the Company by another person under terms which provide for the Company and/or its stockholders to receive consideration having a fair value on the date of the first public announcement</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AA-24</w:t>
      </w:r>
    </w:p>
    <w:p>
      <w:pPr>
        <w:sectPr>
          <w:pgSz w:w="11900" w:h="16838" w:orient="portrait"/>
          <w:cols w:equalWidth="0" w:num="1">
            <w:col w:w="10222"/>
          </w:cols>
          <w:pgMar w:left="237" w:top="295" w:right="1440" w:bottom="1440" w:gutter="0" w:footer="0" w:header="0"/>
        </w:sectPr>
      </w:pPr>
    </w:p>
    <w:bookmarkStart w:id="245" w:name="page246"/>
    <w:bookmarkEnd w:id="245"/>
    <w:p>
      <w:pPr>
        <w:ind w:left="280"/>
        <w:spacing w:after="0"/>
        <w:rPr>
          <w:sz w:val="20"/>
          <w:szCs w:val="20"/>
          <w:color w:val="auto"/>
        </w:rPr>
      </w:pPr>
      <w:r>
        <w:rPr>
          <w:rFonts w:ascii="Courier New" w:cs="Courier New" w:eastAsia="Courier New" w:hAnsi="Courier New"/>
          <w:sz w:val="16"/>
          <w:szCs w:val="16"/>
          <w:color w:val="auto"/>
        </w:rPr>
        <w:t>242</w:t>
      </w:r>
    </w:p>
    <w:p>
      <w:pPr>
        <w:spacing w:after="0" w:line="186" w:lineRule="exact"/>
        <w:rPr>
          <w:sz w:val="20"/>
          <w:szCs w:val="20"/>
          <w:color w:val="auto"/>
        </w:rPr>
      </w:pPr>
    </w:p>
    <w:p>
      <w:pPr>
        <w:ind w:left="760" w:right="2659"/>
        <w:spacing w:after="0" w:line="237" w:lineRule="auto"/>
        <w:rPr>
          <w:sz w:val="20"/>
          <w:szCs w:val="20"/>
          <w:color w:val="auto"/>
        </w:rPr>
      </w:pPr>
      <w:r>
        <w:rPr>
          <w:rFonts w:ascii="Courier New" w:cs="Courier New" w:eastAsia="Courier New" w:hAnsi="Courier New"/>
          <w:sz w:val="16"/>
          <w:szCs w:val="16"/>
          <w:color w:val="auto"/>
        </w:rPr>
        <w:t>of such merger or other agreement equal to or greater than that provided in Section 3.1(a) of this Agreement;</w:t>
      </w:r>
    </w:p>
    <w:p>
      <w:pPr>
        <w:spacing w:after="0" w:line="188" w:lineRule="exact"/>
        <w:rPr>
          <w:sz w:val="20"/>
          <w:szCs w:val="20"/>
          <w:color w:val="auto"/>
        </w:rPr>
      </w:pPr>
    </w:p>
    <w:p>
      <w:pPr>
        <w:ind w:left="760" w:right="2659" w:firstLine="466"/>
        <w:spacing w:after="0" w:line="239" w:lineRule="auto"/>
        <w:tabs>
          <w:tab w:leader="none" w:pos="161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another person acquires or becomes the beneficial owner of more than 50% of the outstanding shares of Company Common Stock for consideration having a fair value on the date of such acquisition greater than that provided in Section 3.1(a) of this Agreement;</w:t>
      </w:r>
    </w:p>
    <w:p>
      <w:pPr>
        <w:spacing w:after="0" w:line="187" w:lineRule="exact"/>
        <w:rPr>
          <w:rFonts w:ascii="Courier New" w:cs="Courier New" w:eastAsia="Courier New" w:hAnsi="Courier New"/>
          <w:sz w:val="16"/>
          <w:szCs w:val="16"/>
          <w:color w:val="auto"/>
        </w:rPr>
      </w:pPr>
    </w:p>
    <w:p>
      <w:pPr>
        <w:ind w:left="760" w:right="2659" w:firstLine="466"/>
        <w:spacing w:after="0" w:line="259" w:lineRule="auto"/>
        <w:tabs>
          <w:tab w:leader="none" w:pos="1611"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another person acquires all or any substantial portion of the Company's assets under terms which provide for the Company and/or its stockholders to receive consideration having a fair value on the date of the first public announcement of such acquisition transaction equal to or greater than that provided in Section 3.1(a) of this Agreement; or</w:t>
      </w:r>
    </w:p>
    <w:p>
      <w:pPr>
        <w:spacing w:after="0" w:line="174" w:lineRule="exact"/>
        <w:rPr>
          <w:rFonts w:ascii="Courier New" w:cs="Courier New" w:eastAsia="Courier New" w:hAnsi="Courier New"/>
          <w:sz w:val="15"/>
          <w:szCs w:val="15"/>
          <w:color w:val="auto"/>
        </w:rPr>
      </w:pPr>
    </w:p>
    <w:p>
      <w:pPr>
        <w:ind w:left="760" w:right="2759" w:firstLine="466"/>
        <w:spacing w:after="0" w:line="239" w:lineRule="auto"/>
        <w:tabs>
          <w:tab w:leader="none" w:pos="161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adopts a plan of liquidation relating to all or a substantial portion of its assets or declares a distribution to its stockholders of all or a substantial portion of its assets and in connection therewith the stockholders receive consideration having a fair value on the date of the first public announcement of such plan of liquidation or dividend declaration equal to or greater than that provided in Section 3.1(a) of this Agreement.</w:t>
      </w:r>
    </w:p>
    <w:p>
      <w:pPr>
        <w:spacing w:after="0" w:line="191"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to the Company a fee equal to $21,000,000 plus the reasonable out-of-pocket expenses incurred by the Company in connection with this Agreement and the transactions contemplated hereby if Parent terminates this Agreement pursuant to clause (v) or (vi) of Section 9.1(b).</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7.7. AGREEMENT TO COOPERATE.</w:t>
      </w:r>
    </w:p>
    <w:p>
      <w:pPr>
        <w:spacing w:after="0" w:line="186" w:lineRule="exact"/>
        <w:rPr>
          <w:sz w:val="20"/>
          <w:szCs w:val="20"/>
          <w:color w:val="auto"/>
        </w:rPr>
      </w:pPr>
    </w:p>
    <w:p>
      <w:pPr>
        <w:ind w:right="2659" w:firstLine="470"/>
        <w:spacing w:after="0"/>
        <w:tabs>
          <w:tab w:leader="none" w:pos="85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herein provided,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 subject, however, to the requisite votes of the stockholders and boards of directors of the Company and Parent.</w:t>
      </w:r>
    </w:p>
    <w:p>
      <w:pPr>
        <w:spacing w:after="0" w:line="188"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as soon as practicable after the date hereof a Notification and Report Form under the HSR Act with the Federal Trade Commission (the "FTC") and the Antitrust Division of the Department of Justice (the "Antitrust Division"). Each of Parent and the Company shall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consent of the other parties hereto.</w:t>
      </w:r>
    </w:p>
    <w:p>
      <w:pPr>
        <w:spacing w:after="0" w:line="188" w:lineRule="exact"/>
        <w:rPr>
          <w:rFonts w:ascii="Courier New" w:cs="Courier New" w:eastAsia="Courier New" w:hAnsi="Courier New"/>
          <w:sz w:val="16"/>
          <w:szCs w:val="16"/>
          <w:color w:val="auto"/>
        </w:rPr>
      </w:pPr>
    </w:p>
    <w:p>
      <w:pPr>
        <w:ind w:right="2659" w:firstLine="470"/>
        <w:spacing w:after="0" w:line="259" w:lineRule="auto"/>
        <w:tabs>
          <w:tab w:leader="none" w:pos="85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174" w:lineRule="exact"/>
        <w:rPr>
          <w:rFonts w:ascii="Courier New" w:cs="Courier New" w:eastAsia="Courier New" w:hAnsi="Courier New"/>
          <w:sz w:val="15"/>
          <w:szCs w:val="15"/>
          <w:color w:val="auto"/>
        </w:rPr>
      </w:pPr>
    </w:p>
    <w:p>
      <w:pPr>
        <w:ind w:right="2659" w:firstLine="470"/>
        <w:spacing w:after="0" w:line="267" w:lineRule="auto"/>
        <w:tabs>
          <w:tab w:leader="none" w:pos="85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Parent approve that certain financing plan set forth in the letter agreement between the Company and Parent dated December 19, 1994.</w:t>
      </w:r>
    </w:p>
    <w:p>
      <w:pPr>
        <w:spacing w:after="0" w:line="168"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7.9. OPTION PLANS. Prior to the Effective Time, the Company and Parent shall take such action as may be necessary to cause each unexpired and unexercised option (each a "Company Option") to be automatically converted at the Effective Time into an option (each a "Parent Option") to purchase a number of shares of Parent Common Stock equal to the number of shares of Company Common Stock that could</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AA-25</w:t>
      </w:r>
    </w:p>
    <w:p>
      <w:pPr>
        <w:sectPr>
          <w:pgSz w:w="11900" w:h="16838" w:orient="portrait"/>
          <w:cols w:equalWidth="0" w:num="1">
            <w:col w:w="10219"/>
          </w:cols>
          <w:pgMar w:left="240" w:top="295" w:right="1440" w:bottom="1440" w:gutter="0" w:footer="0" w:header="0"/>
        </w:sectPr>
      </w:pPr>
    </w:p>
    <w:bookmarkStart w:id="246" w:name="page247"/>
    <w:bookmarkEnd w:id="246"/>
    <w:p>
      <w:pPr>
        <w:ind w:left="280"/>
        <w:spacing w:after="0"/>
        <w:rPr>
          <w:sz w:val="20"/>
          <w:szCs w:val="20"/>
          <w:color w:val="auto"/>
        </w:rPr>
      </w:pPr>
      <w:r>
        <w:rPr>
          <w:rFonts w:ascii="Courier New" w:cs="Courier New" w:eastAsia="Courier New" w:hAnsi="Courier New"/>
          <w:sz w:val="16"/>
          <w:szCs w:val="16"/>
          <w:color w:val="auto"/>
        </w:rPr>
        <w:t>243</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have been purchased under the Company Option multiplied by the Exchange Ratio, at a price per share of Parent Common Stock equal to the option exercise price determined pursuant to the Company Option divided by the Exchange Ratio and subject to the same terms and conditions as the Company Option. The date of grant of the substituted Parent Option shall be the date on which the corresponding Company Option was granted.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to cover the additional shares of Parent Common Stock subject to Parent Options granted in replacement of Company Options.</w:t>
      </w:r>
    </w:p>
    <w:p>
      <w:pPr>
        <w:spacing w:after="0" w:line="363"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7.10. EMPLOYEE BENEFITS. Parent acknowledges its intention, after the Effective Time, that employees of the Company who continue after the Merger shall be provided with benefits which are no less favorable than those provided by Parent to its own employees.</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7.11.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7.11 shall not limit or otherwise affect the remedies available hereunder to the party receiving such notice.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7.12. DIRECTORS' AND OFFICERS' INDEMNIFICATION.</w:t>
      </w:r>
    </w:p>
    <w:p>
      <w:pPr>
        <w:spacing w:after="0" w:line="186" w:lineRule="exact"/>
        <w:rPr>
          <w:sz w:val="20"/>
          <w:szCs w:val="20"/>
          <w:color w:val="auto"/>
        </w:rPr>
      </w:pPr>
    </w:p>
    <w:p>
      <w:pPr>
        <w:ind w:right="2659" w:firstLine="470"/>
        <w:spacing w:after="0"/>
        <w:tabs>
          <w:tab w:leader="none" w:pos="85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(ii) the Parent and the Surviving Corporation will cooperate in the defense of any such matter, and (iii) any determination required to be made with respect to whether an indemnified Party's conduct complies with the standards set forth under the DGCL and the Parent's or the Surviving Corporation's respective Certificates of Incorporation or By-Laws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w:t>
      </w:r>
    </w:p>
    <w:p>
      <w:pPr>
        <w:spacing w:after="0" w:line="200" w:lineRule="exact"/>
        <w:rPr>
          <w:rFonts w:ascii="Courier New" w:cs="Courier New" w:eastAsia="Courier New" w:hAnsi="Courier New"/>
          <w:sz w:val="16"/>
          <w:szCs w:val="16"/>
          <w:color w:val="auto"/>
        </w:rPr>
      </w:pPr>
    </w:p>
    <w:p>
      <w:pPr>
        <w:ind w:right="2759" w:firstLine="470"/>
        <w:spacing w:after="0"/>
        <w:tabs>
          <w:tab w:leader="none" w:pos="85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7.12.</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AA-26</w:t>
      </w:r>
    </w:p>
    <w:p>
      <w:pPr>
        <w:sectPr>
          <w:pgSz w:w="11900" w:h="16838" w:orient="portrait"/>
          <w:cols w:equalWidth="0" w:num="1">
            <w:col w:w="10219"/>
          </w:cols>
          <w:pgMar w:left="240" w:top="295" w:right="1440" w:bottom="1440" w:gutter="0" w:footer="0" w:header="0"/>
        </w:sectPr>
      </w:pPr>
    </w:p>
    <w:bookmarkStart w:id="247" w:name="page248"/>
    <w:bookmarkEnd w:id="247"/>
    <w:p>
      <w:pPr>
        <w:ind w:left="280"/>
        <w:spacing w:after="0"/>
        <w:rPr>
          <w:sz w:val="20"/>
          <w:szCs w:val="20"/>
          <w:color w:val="auto"/>
        </w:rPr>
      </w:pPr>
      <w:r>
        <w:rPr>
          <w:rFonts w:ascii="Courier New" w:cs="Courier New" w:eastAsia="Courier New" w:hAnsi="Courier New"/>
          <w:sz w:val="16"/>
          <w:szCs w:val="16"/>
          <w:color w:val="auto"/>
        </w:rPr>
        <w:t>244</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7.13.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VIII</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CONDITIONS</w:t>
      </w:r>
    </w:p>
    <w:p>
      <w:pPr>
        <w:spacing w:after="0" w:line="186"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1" w:lineRule="exact"/>
        <w:rPr>
          <w:sz w:val="20"/>
          <w:szCs w:val="20"/>
          <w:color w:val="auto"/>
        </w:rPr>
      </w:pPr>
    </w:p>
    <w:p>
      <w:pPr>
        <w:ind w:left="460" w:right="2659" w:firstLine="483"/>
        <w:spacing w:after="0" w:line="239" w:lineRule="auto"/>
        <w:tabs>
          <w:tab w:leader="none" w:pos="131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187" w:lineRule="exact"/>
        <w:rPr>
          <w:rFonts w:ascii="Courier New" w:cs="Courier New" w:eastAsia="Courier New" w:hAnsi="Courier New"/>
          <w:sz w:val="16"/>
          <w:szCs w:val="16"/>
          <w:color w:val="auto"/>
        </w:rPr>
      </w:pPr>
    </w:p>
    <w:p>
      <w:pPr>
        <w:ind w:left="460" w:right="3039" w:firstLine="483"/>
        <w:spacing w:after="0" w:line="238" w:lineRule="auto"/>
        <w:tabs>
          <w:tab w:leader="none" w:pos="131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issuable in the Merger shall have been authorized for listing on the NYSE upon official notice of issuance;</w:t>
      </w:r>
    </w:p>
    <w:p>
      <w:pPr>
        <w:spacing w:after="0" w:line="188" w:lineRule="exact"/>
        <w:rPr>
          <w:rFonts w:ascii="Courier New" w:cs="Courier New" w:eastAsia="Courier New" w:hAnsi="Courier New"/>
          <w:sz w:val="16"/>
          <w:szCs w:val="16"/>
          <w:color w:val="auto"/>
        </w:rPr>
      </w:pPr>
    </w:p>
    <w:p>
      <w:pPr>
        <w:ind w:left="460" w:right="2939" w:firstLine="483"/>
        <w:spacing w:after="0" w:line="237" w:lineRule="auto"/>
        <w:tabs>
          <w:tab w:leader="none" w:pos="131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waiting period applicable to the consummation of the Merger under the HSR Act shall have expired or been terminated;</w:t>
      </w:r>
    </w:p>
    <w:p>
      <w:pPr>
        <w:spacing w:after="0" w:line="187"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88" w:lineRule="exact"/>
        <w:rPr>
          <w:rFonts w:ascii="Courier New" w:cs="Courier New" w:eastAsia="Courier New" w:hAnsi="Courier New"/>
          <w:sz w:val="16"/>
          <w:szCs w:val="16"/>
          <w:color w:val="auto"/>
        </w:rPr>
      </w:pPr>
    </w:p>
    <w:p>
      <w:pPr>
        <w:ind w:left="460" w:right="2659" w:firstLine="483"/>
        <w:spacing w:after="0" w:line="260" w:lineRule="auto"/>
        <w:tabs>
          <w:tab w:leader="none" w:pos="131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3" w:lineRule="exact"/>
        <w:rPr>
          <w:rFonts w:ascii="Courier New" w:cs="Courier New" w:eastAsia="Courier New" w:hAnsi="Courier New"/>
          <w:sz w:val="15"/>
          <w:szCs w:val="15"/>
          <w:color w:val="auto"/>
        </w:rPr>
      </w:pPr>
    </w:p>
    <w:p>
      <w:pPr>
        <w:ind w:left="460" w:right="2759" w:firstLine="483"/>
        <w:spacing w:after="0" w:line="260" w:lineRule="auto"/>
        <w:tabs>
          <w:tab w:leader="none" w:pos="131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73" w:lineRule="exact"/>
        <w:rPr>
          <w:rFonts w:ascii="Courier New" w:cs="Courier New" w:eastAsia="Courier New" w:hAnsi="Courier New"/>
          <w:sz w:val="15"/>
          <w:szCs w:val="15"/>
          <w:color w:val="auto"/>
        </w:rPr>
      </w:pPr>
    </w:p>
    <w:p>
      <w:pPr>
        <w:ind w:left="460" w:right="2839" w:firstLine="483"/>
        <w:spacing w:after="0" w:line="239" w:lineRule="auto"/>
        <w:tabs>
          <w:tab w:leader="none" w:pos="131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and</w:t>
      </w:r>
    </w:p>
    <w:p>
      <w:pPr>
        <w:spacing w:after="0" w:line="188"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certified public accountants for Parent, shall have delivered a letter, dated the Closing Date, addressed to Parent, in form and substance reasonably satisfactory to Parent and the Company, stating that the Merger will qualify as a pooling of interests transaction under APB No. 16.</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87" w:lineRule="exact"/>
        <w:rPr>
          <w:sz w:val="20"/>
          <w:szCs w:val="20"/>
          <w:color w:val="auto"/>
        </w:rPr>
      </w:pPr>
    </w:p>
    <w:p>
      <w:pPr>
        <w:ind w:left="460" w:right="2659" w:firstLine="483"/>
        <w:spacing w:after="0"/>
        <w:tabs>
          <w:tab w:leader="none" w:pos="131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on and as of the Closing Date as if made at and as of such date, and the Company shall have received a certificate of the Chairman of the Board and Chief Executive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AA-27</w:t>
      </w:r>
    </w:p>
    <w:p>
      <w:pPr>
        <w:sectPr>
          <w:pgSz w:w="11900" w:h="16838" w:orient="portrait"/>
          <w:cols w:equalWidth="0" w:num="1">
            <w:col w:w="10219"/>
          </w:cols>
          <w:pgMar w:left="240" w:top="295" w:right="1440" w:bottom="1440" w:gutter="0" w:footer="0" w:header="0"/>
        </w:sectPr>
      </w:pPr>
    </w:p>
    <w:bookmarkStart w:id="248" w:name="page249"/>
    <w:bookmarkEnd w:id="248"/>
    <w:p>
      <w:pPr>
        <w:ind w:left="280"/>
        <w:spacing w:after="0"/>
        <w:rPr>
          <w:sz w:val="20"/>
          <w:szCs w:val="20"/>
          <w:color w:val="auto"/>
        </w:rPr>
      </w:pPr>
      <w:r>
        <w:rPr>
          <w:rFonts w:ascii="Courier New" w:cs="Courier New" w:eastAsia="Courier New" w:hAnsi="Courier New"/>
          <w:sz w:val="16"/>
          <w:szCs w:val="16"/>
          <w:color w:val="auto"/>
        </w:rPr>
        <w:t>245</w:t>
      </w:r>
    </w:p>
    <w:p>
      <w:pPr>
        <w:spacing w:after="0" w:line="186" w:lineRule="exact"/>
        <w:rPr>
          <w:sz w:val="20"/>
          <w:szCs w:val="20"/>
          <w:color w:val="auto"/>
        </w:rPr>
      </w:pPr>
    </w:p>
    <w:p>
      <w:pPr>
        <w:ind w:left="460" w:right="2839"/>
        <w:spacing w:after="0" w:line="238" w:lineRule="auto"/>
        <w:rPr>
          <w:sz w:val="20"/>
          <w:szCs w:val="20"/>
          <w:color w:val="auto"/>
        </w:rPr>
      </w:pPr>
      <w:r>
        <w:rPr>
          <w:rFonts w:ascii="Courier New" w:cs="Courier New" w:eastAsia="Courier New" w:hAnsi="Courier New"/>
          <w:sz w:val="16"/>
          <w:szCs w:val="16"/>
          <w:color w:val="auto"/>
        </w:rPr>
        <w:t>Officer, the President or a Vice President of Parent and of the President and Chief Executive Officer or a Vice President of Subsidiary to that effect;</w:t>
      </w:r>
    </w:p>
    <w:p>
      <w:pPr>
        <w:spacing w:after="0" w:line="188" w:lineRule="exact"/>
        <w:rPr>
          <w:sz w:val="20"/>
          <w:szCs w:val="20"/>
          <w:color w:val="auto"/>
        </w:rPr>
      </w:pPr>
    </w:p>
    <w:p>
      <w:pPr>
        <w:ind w:left="460" w:right="2659" w:firstLine="483"/>
        <w:spacing w:after="0" w:line="239" w:lineRule="auto"/>
        <w:tabs>
          <w:tab w:leader="none" w:pos="1311"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Sullivan &amp; Cromwell and/or Thorp, Reed &amp; Armstrong,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191" w:lineRule="exact"/>
        <w:rPr>
          <w:rFonts w:ascii="Courier New" w:cs="Courier New" w:eastAsia="Courier New" w:hAnsi="Courier New"/>
          <w:sz w:val="16"/>
          <w:szCs w:val="16"/>
          <w:color w:val="auto"/>
        </w:rPr>
      </w:pPr>
    </w:p>
    <w:p>
      <w:pPr>
        <w:ind w:left="1320" w:hanging="377"/>
        <w:spacing w:after="0"/>
        <w:tabs>
          <w:tab w:leader="none" w:pos="132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or opinions from Snell</w:t>
      </w:r>
    </w:p>
    <w:p>
      <w:pPr>
        <w:spacing w:after="0" w:line="11" w:lineRule="exact"/>
        <w:rPr>
          <w:rFonts w:ascii="Courier New" w:cs="Courier New" w:eastAsia="Courier New" w:hAnsi="Courier New"/>
          <w:sz w:val="15"/>
          <w:szCs w:val="15"/>
          <w:color w:val="auto"/>
        </w:rPr>
      </w:pPr>
    </w:p>
    <w:p>
      <w:pPr>
        <w:ind w:left="460" w:right="2659" w:firstLine="10"/>
        <w:spacing w:after="0" w:line="258" w:lineRule="auto"/>
        <w:tabs>
          <w:tab w:leader="none" w:pos="6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and/or Andrews &amp; Kurth L.L.P., special counsel to Parent and Subsidiary, dated the Closing Date, reasonably satisfactory to the Company and covering the due incorporation of Parent and Subsidiary, the binding nature of this Agreement, the effectiveness of the Merger, the validity of the Parent Common Stock to be issued in connection with the Merger and such other matters as may be reasonably requested by the Company;</w:t>
      </w:r>
    </w:p>
    <w:p>
      <w:pPr>
        <w:spacing w:after="0" w:line="177" w:lineRule="exact"/>
        <w:rPr>
          <w:rFonts w:ascii="Courier New" w:cs="Courier New" w:eastAsia="Courier New" w:hAnsi="Courier New"/>
          <w:sz w:val="15"/>
          <w:szCs w:val="15"/>
          <w:color w:val="auto"/>
        </w:rPr>
      </w:pPr>
    </w:p>
    <w:p>
      <w:pPr>
        <w:ind w:left="460" w:right="2659" w:firstLine="483"/>
        <w:spacing w:after="0"/>
        <w:tabs>
          <w:tab w:leader="none" w:pos="1311"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"comfort" letters in customary form from Coopers &amp; Lybrand, certified public accountants for Parent and Subsidiary, dated the date of the Proxy Statement, the effective date of the Registration Statement and the Closing Date (or such other date reasonably acceptable to the Company) with respect to certain financial statements and other financial information included in the Registration Statement and any subsequent changes in specified balance sheet and income statement items, including total assets, working capital, total stockholders' equity, total revenues and the total and per share amounts of net income;</w:t>
      </w:r>
    </w:p>
    <w:p>
      <w:pPr>
        <w:spacing w:after="0" w:line="188" w:lineRule="exact"/>
        <w:rPr>
          <w:rFonts w:ascii="Courier New" w:cs="Courier New" w:eastAsia="Courier New" w:hAnsi="Courier New"/>
          <w:sz w:val="16"/>
          <w:szCs w:val="16"/>
          <w:color w:val="auto"/>
        </w:rPr>
      </w:pPr>
    </w:p>
    <w:p>
      <w:pPr>
        <w:ind w:left="460" w:right="2759" w:firstLine="483"/>
        <w:spacing w:after="0" w:line="259" w:lineRule="auto"/>
        <w:tabs>
          <w:tab w:leader="none" w:pos="131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shall have occurred which have resulted in or constitute, a material adverse change in the business, operations, properties, assets, condition (financial or other), results of operations or prospects of Parent and its subsidiaries, taken as a whole;</w:t>
      </w:r>
    </w:p>
    <w:p>
      <w:pPr>
        <w:spacing w:after="0" w:line="174" w:lineRule="exact"/>
        <w:rPr>
          <w:rFonts w:ascii="Courier New" w:cs="Courier New" w:eastAsia="Courier New" w:hAnsi="Courier New"/>
          <w:sz w:val="15"/>
          <w:szCs w:val="15"/>
          <w:color w:val="auto"/>
        </w:rPr>
      </w:pPr>
    </w:p>
    <w:p>
      <w:pPr>
        <w:ind w:left="460" w:right="2759" w:firstLine="483"/>
        <w:spacing w:after="0" w:line="239" w:lineRule="auto"/>
        <w:tabs>
          <w:tab w:leader="none" w:pos="1311"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 and</w:t>
      </w:r>
    </w:p>
    <w:p>
      <w:pPr>
        <w:spacing w:after="0" w:line="191"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from J.P. Morgan Securities Inc. (or other nationally recognized investment banking firm reasonably acceptable to Parent) an opinion, dated as of the date on which the Joint Proxy Statement/Prospectus is first distributed to the stockholders of the Company, to the effect that the consideration to be received by the stockholders of the Company in the Merger is fair, from a financial point of view, to the holders of Company Common Stock, and such opinion shall not have been withdrawn.</w:t>
      </w:r>
    </w:p>
    <w:p>
      <w:pPr>
        <w:spacing w:after="0" w:line="187"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73" w:lineRule="exact"/>
        <w:rPr>
          <w:sz w:val="20"/>
          <w:szCs w:val="20"/>
          <w:color w:val="auto"/>
        </w:rPr>
      </w:pPr>
    </w:p>
    <w:p>
      <w:pPr>
        <w:ind w:left="460" w:right="2659" w:firstLine="483"/>
        <w:spacing w:after="0"/>
        <w:tabs>
          <w:tab w:leader="none" w:pos="131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86"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AA-28</w:t>
      </w:r>
    </w:p>
    <w:p>
      <w:pPr>
        <w:sectPr>
          <w:pgSz w:w="11900" w:h="16838" w:orient="portrait"/>
          <w:cols w:equalWidth="0" w:num="1">
            <w:col w:w="10219"/>
          </w:cols>
          <w:pgMar w:left="240" w:top="295" w:right="1440" w:bottom="1440" w:gutter="0" w:footer="0" w:header="0"/>
        </w:sectPr>
      </w:pPr>
    </w:p>
    <w:bookmarkStart w:id="249" w:name="page250"/>
    <w:bookmarkEnd w:id="249"/>
    <w:p>
      <w:pPr>
        <w:ind w:left="280"/>
        <w:spacing w:after="0"/>
        <w:rPr>
          <w:sz w:val="20"/>
          <w:szCs w:val="20"/>
          <w:color w:val="auto"/>
        </w:rPr>
      </w:pPr>
      <w:r>
        <w:rPr>
          <w:rFonts w:ascii="Courier New" w:cs="Courier New" w:eastAsia="Courier New" w:hAnsi="Courier New"/>
          <w:sz w:val="16"/>
          <w:szCs w:val="16"/>
          <w:color w:val="auto"/>
        </w:rPr>
        <w:t>246</w:t>
      </w:r>
    </w:p>
    <w:p>
      <w:pPr>
        <w:spacing w:after="0" w:line="186" w:lineRule="exact"/>
        <w:rPr>
          <w:sz w:val="20"/>
          <w:szCs w:val="20"/>
          <w:color w:val="auto"/>
        </w:rPr>
      </w:pPr>
    </w:p>
    <w:p>
      <w:pPr>
        <w:ind w:left="460" w:right="2659" w:firstLine="483"/>
        <w:spacing w:after="0" w:line="239" w:lineRule="auto"/>
        <w:tabs>
          <w:tab w:leader="none" w:pos="131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or opinions from Sullivan &amp; Cromwell and/or Thorp, Reed &amp; Armstrong, special counsel to the Company, dated the Closing Date, reasonably satisfactory to Parent and covering the due incorporation of the Company, the binding nature of this Agreement, the effectiveness of the Merger and such other matters as may be reasonably requested by Parent;</w:t>
      </w:r>
    </w:p>
    <w:p>
      <w:pPr>
        <w:spacing w:after="0" w:line="190"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"comfort" letters from Deloitte &amp; Touche, certified public accountants for the Company, dated the date of the Proxy Statement, the effective date of the Registration Statement and the Closing Date (or such other date reasonably acceptable to Parent) with respect to certain financial statements and other financial information included in the Registration Statement in customary form and any subsequent changes in specified balance sheet and income statement items, including total assets, working capital, total stockholders' equity, total revenues and the total and per share amounts of net income;</w:t>
      </w:r>
    </w:p>
    <w:p>
      <w:pPr>
        <w:spacing w:after="0" w:line="187" w:lineRule="exact"/>
        <w:rPr>
          <w:rFonts w:ascii="Courier New" w:cs="Courier New" w:eastAsia="Courier New" w:hAnsi="Courier New"/>
          <w:sz w:val="16"/>
          <w:szCs w:val="16"/>
          <w:color w:val="auto"/>
        </w:rPr>
      </w:pPr>
    </w:p>
    <w:p>
      <w:pPr>
        <w:ind w:left="460" w:right="2939" w:firstLine="483"/>
        <w:spacing w:after="0" w:line="238" w:lineRule="auto"/>
        <w:tabs>
          <w:tab w:leader="none" w:pos="131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Affiliate Agreements required to be delivered to Parent pursuant to Section 7.4 shall have been furnished as required by Section 7.4;</w:t>
      </w:r>
    </w:p>
    <w:p>
      <w:pPr>
        <w:spacing w:after="0" w:line="188" w:lineRule="exact"/>
        <w:rPr>
          <w:rFonts w:ascii="Courier New" w:cs="Courier New" w:eastAsia="Courier New" w:hAnsi="Courier New"/>
          <w:sz w:val="16"/>
          <w:szCs w:val="16"/>
          <w:color w:val="auto"/>
        </w:rPr>
      </w:pPr>
    </w:p>
    <w:p>
      <w:pPr>
        <w:ind w:left="460" w:right="2759" w:firstLine="483"/>
        <w:spacing w:after="0" w:line="259" w:lineRule="auto"/>
        <w:tabs>
          <w:tab w:leader="none" w:pos="131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shall have occurred which have resulted in or constitute, a material adverse change in the business, operations, properties, assets, condition (financial or other), results of operations or prospects of the Company and its subsidiaries, taken as a whole;</w:t>
      </w:r>
    </w:p>
    <w:p>
      <w:pPr>
        <w:spacing w:after="0" w:line="174" w:lineRule="exact"/>
        <w:rPr>
          <w:rFonts w:ascii="Courier New" w:cs="Courier New" w:eastAsia="Courier New" w:hAnsi="Courier New"/>
          <w:sz w:val="15"/>
          <w:szCs w:val="15"/>
          <w:color w:val="auto"/>
        </w:rPr>
      </w:pPr>
    </w:p>
    <w:p>
      <w:pPr>
        <w:ind w:left="460" w:right="2839" w:firstLine="483"/>
        <w:spacing w:after="0" w:line="258" w:lineRule="auto"/>
        <w:tabs>
          <w:tab w:leader="none" w:pos="131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77" w:lineRule="exact"/>
        <w:rPr>
          <w:rFonts w:ascii="Courier New" w:cs="Courier New" w:eastAsia="Courier New" w:hAnsi="Courier New"/>
          <w:sz w:val="15"/>
          <w:szCs w:val="15"/>
          <w:color w:val="auto"/>
        </w:rPr>
      </w:pPr>
    </w:p>
    <w:p>
      <w:pPr>
        <w:ind w:left="460" w:right="2659" w:firstLine="483"/>
        <w:spacing w:after="0"/>
        <w:tabs>
          <w:tab w:leader="none" w:pos="131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litigation and proceedings described or referred to in each Memorandum of Understanding identified in Schedule 5.8 shall have been fully and irrevocably settled, a final, nonappealable order shall have been entered and all claims, demands and causes of action pertaining in any way to such litigation or proceedings shall have been fully and irrevocably released and discharged, all substantially upon the terms and conditions set forth in such Memoranda of Understanding or otherwise upon terms and conditions satisfactory to Parent in its sole discretion;</w:t>
      </w:r>
    </w:p>
    <w:p>
      <w:pPr>
        <w:spacing w:after="0" w:line="186"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 shall have agreed to a consent order as to the matter referred to in the letter described in Item 1 of Schedule 5.8 and Parent shall have determined within fifteen business days after being notified of the terms and conditions thereof that such consent decree is satisfactory to Parent in its sole discretion; and</w:t>
      </w:r>
    </w:p>
    <w:p>
      <w:pPr>
        <w:spacing w:after="0" w:line="188" w:lineRule="exact"/>
        <w:rPr>
          <w:rFonts w:ascii="Courier New" w:cs="Courier New" w:eastAsia="Courier New" w:hAnsi="Courier New"/>
          <w:sz w:val="16"/>
          <w:szCs w:val="16"/>
          <w:color w:val="auto"/>
        </w:rPr>
      </w:pPr>
    </w:p>
    <w:p>
      <w:pPr>
        <w:ind w:left="460" w:right="2659" w:firstLine="483"/>
        <w:spacing w:after="0" w:line="258" w:lineRule="auto"/>
        <w:tabs>
          <w:tab w:leader="none" w:pos="131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from Donaldson, Lufkin &amp; Jenrette Securities Corporation (or other nationally recognized investment banking firm reasonably acceptable to the Company) an opinion reasonably acceptable to the Company, dated as of the date on which the Joint Proxy Statement/Prospectus is first distributed to the shareholders of Parent, to the effect that the Exchange Ratio is fair, from a financial point of view, to Parent's stockholders, and such opinion shall not have been withdrawn.</w:t>
      </w:r>
    </w:p>
    <w:p>
      <w:pPr>
        <w:spacing w:after="0" w:line="17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IX</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SECTION 9.1. TERMINATION. This Agreement may be terminated at any time prior to the Closing Date, whether before or after approval by the stockholders of the Company or Parent, as follows:</w:t>
      </w:r>
    </w:p>
    <w:p>
      <w:pPr>
        <w:spacing w:after="0" w:line="184" w:lineRule="exact"/>
        <w:rPr>
          <w:sz w:val="20"/>
          <w:szCs w:val="20"/>
          <w:color w:val="auto"/>
        </w:rPr>
      </w:pPr>
    </w:p>
    <w:p>
      <w:pPr>
        <w:ind w:left="1320" w:hanging="377"/>
        <w:spacing w:after="0"/>
        <w:tabs>
          <w:tab w:leader="none" w:pos="13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terminate this Agreement:</w:t>
      </w:r>
    </w:p>
    <w:p>
      <w:pPr>
        <w:spacing w:after="0" w:line="186" w:lineRule="exact"/>
        <w:rPr>
          <w:rFonts w:ascii="Courier New" w:cs="Courier New" w:eastAsia="Courier New" w:hAnsi="Courier New"/>
          <w:sz w:val="16"/>
          <w:szCs w:val="16"/>
          <w:color w:val="auto"/>
        </w:rPr>
      </w:pPr>
    </w:p>
    <w:p>
      <w:pPr>
        <w:ind w:left="760" w:right="3319" w:firstLine="466"/>
        <w:spacing w:after="0" w:line="237" w:lineRule="auto"/>
        <w:tabs>
          <w:tab w:leader="none" w:pos="1611"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21 days after the date of this Agreement, the Company's Board of Directors: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AA-29</w:t>
      </w:r>
    </w:p>
    <w:p>
      <w:pPr>
        <w:sectPr>
          <w:pgSz w:w="11900" w:h="16838" w:orient="portrait"/>
          <w:cols w:equalWidth="0" w:num="1">
            <w:col w:w="10219"/>
          </w:cols>
          <w:pgMar w:left="240" w:top="295"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6"/>
          <w:szCs w:val="16"/>
          <w:color w:val="auto"/>
        </w:rPr>
        <w:t>247</w:t>
      </w:r>
    </w:p>
    <w:p>
      <w:pPr>
        <w:spacing w:after="0" w:line="186" w:lineRule="exact"/>
        <w:rPr>
          <w:sz w:val="20"/>
          <w:szCs w:val="20"/>
          <w:color w:val="auto"/>
        </w:rPr>
      </w:pPr>
    </w:p>
    <w:p>
      <w:pPr>
        <w:ind w:left="760" w:right="2659" w:firstLine="470"/>
        <w:spacing w:after="0" w:line="239" w:lineRule="auto"/>
        <w:tabs>
          <w:tab w:leader="none" w:pos="1611" w:val="left"/>
        </w:tabs>
        <w:numPr>
          <w:ilvl w:val="3"/>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receive from J.P. Morgan Securities Inc. an opinion to the effect that the consideration to be received by the stockholders of the Company in the Merger is fair, from a financial point of view, to the holders of Company Common Stock, with such limitations and qualifications as are customary in such opinions;</w:t>
      </w:r>
    </w:p>
    <w:p>
      <w:pPr>
        <w:spacing w:after="0" w:line="188" w:lineRule="exact"/>
        <w:rPr>
          <w:rFonts w:ascii="Courier New" w:cs="Courier New" w:eastAsia="Courier New" w:hAnsi="Courier New"/>
          <w:sz w:val="16"/>
          <w:szCs w:val="16"/>
          <w:color w:val="auto"/>
        </w:rPr>
      </w:pPr>
    </w:p>
    <w:p>
      <w:pPr>
        <w:ind w:left="760" w:right="2839" w:firstLine="470"/>
        <w:spacing w:after="0" w:line="239" w:lineRule="auto"/>
        <w:tabs>
          <w:tab w:leader="none" w:pos="1611" w:val="left"/>
        </w:tabs>
        <w:numPr>
          <w:ilvl w:val="3"/>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that the representations and warranties of Parent and Subsidiary contained in this Agreement are not true and correct in any material respect on and as of the date made and on and as of the date of the Board's determination;</w:t>
      </w:r>
    </w:p>
    <w:p>
      <w:pPr>
        <w:spacing w:after="0" w:line="187" w:lineRule="exact"/>
        <w:rPr>
          <w:rFonts w:ascii="Courier New" w:cs="Courier New" w:eastAsia="Courier New" w:hAnsi="Courier New"/>
          <w:sz w:val="16"/>
          <w:szCs w:val="16"/>
          <w:color w:val="auto"/>
        </w:rPr>
      </w:pPr>
    </w:p>
    <w:p>
      <w:pPr>
        <w:ind w:left="760" w:right="2759" w:firstLine="470"/>
        <w:spacing w:after="0" w:line="239" w:lineRule="auto"/>
        <w:tabs>
          <w:tab w:leader="none" w:pos="1611" w:val="left"/>
        </w:tabs>
        <w:numPr>
          <w:ilvl w:val="3"/>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after consultation with Deloitte &amp; Touche, certified public accountants for the Company, and Coopers &amp; Lybrand, certified public accountants for Parent, that the Merger will not qualify as a pooling of interests transaction under APB No. 16, provided that the Company is not in default of the covenant contained in Section 6.1(d)(iii); or</w:t>
      </w:r>
    </w:p>
    <w:p>
      <w:pPr>
        <w:spacing w:after="0" w:line="190" w:lineRule="exact"/>
        <w:rPr>
          <w:rFonts w:ascii="Courier New" w:cs="Courier New" w:eastAsia="Courier New" w:hAnsi="Courier New"/>
          <w:sz w:val="16"/>
          <w:szCs w:val="16"/>
          <w:color w:val="auto"/>
        </w:rPr>
      </w:pPr>
    </w:p>
    <w:p>
      <w:pPr>
        <w:ind w:left="760" w:right="2839" w:firstLine="470"/>
        <w:spacing w:after="0" w:line="238" w:lineRule="auto"/>
        <w:tabs>
          <w:tab w:leader="none" w:pos="1611" w:val="left"/>
        </w:tabs>
        <w:numPr>
          <w:ilvl w:val="3"/>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that the condition set forth in Section 8.1(g) above will not be satisfied in all material respects on or prior to the Closing Date;</w:t>
      </w:r>
    </w:p>
    <w:p>
      <w:pPr>
        <w:spacing w:after="0" w:line="188" w:lineRule="exact"/>
        <w:rPr>
          <w:rFonts w:ascii="Courier New" w:cs="Courier New" w:eastAsia="Courier New" w:hAnsi="Courier New"/>
          <w:sz w:val="16"/>
          <w:szCs w:val="16"/>
          <w:color w:val="auto"/>
        </w:rPr>
      </w:pPr>
    </w:p>
    <w:p>
      <w:pPr>
        <w:ind w:left="480" w:right="2659" w:firstLine="466"/>
        <w:spacing w:after="0" w:line="239" w:lineRule="auto"/>
        <w:tabs>
          <w:tab w:leader="none" w:pos="1426"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21 days after the date of this Agreement, the Company and Parent have not reached mutual agreement on the financing plan contemplated by Section 7.7(d) (the Company agreeing that it will not unreasonably withhold its approval of any such financing plan and acknowledging its acceptance of those aspects of such financing plan set forth in each Memorandum of Understanding referred to in Section 8.3(h));</w:t>
      </w:r>
    </w:p>
    <w:p>
      <w:pPr>
        <w:spacing w:after="0" w:line="191" w:lineRule="exact"/>
        <w:rPr>
          <w:rFonts w:ascii="Courier New" w:cs="Courier New" w:eastAsia="Courier New" w:hAnsi="Courier New"/>
          <w:sz w:val="16"/>
          <w:szCs w:val="16"/>
          <w:color w:val="auto"/>
        </w:rPr>
      </w:pPr>
    </w:p>
    <w:p>
      <w:pPr>
        <w:ind w:left="480" w:right="2939" w:firstLine="466"/>
        <w:spacing w:after="0" w:line="238" w:lineRule="auto"/>
        <w:tabs>
          <w:tab w:leader="none" w:pos="1520"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July 31, 1995 otherwise than account of delay or default on the part of the Company or any of its 5% stockholders or any of their affiliates or associates;</w:t>
      </w:r>
    </w:p>
    <w:p>
      <w:pPr>
        <w:spacing w:after="0" w:line="188" w:lineRule="exact"/>
        <w:rPr>
          <w:rFonts w:ascii="Courier New" w:cs="Courier New" w:eastAsia="Courier New" w:hAnsi="Courier New"/>
          <w:sz w:val="16"/>
          <w:szCs w:val="16"/>
          <w:color w:val="auto"/>
        </w:rPr>
      </w:pPr>
    </w:p>
    <w:p>
      <w:pPr>
        <w:ind w:left="480" w:right="2659" w:firstLine="466"/>
        <w:spacing w:after="0" w:line="238" w:lineRule="auto"/>
        <w:tabs>
          <w:tab w:leader="none" w:pos="1426"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the Company or any of its 5% stockholders or any of their affiliates or associates;</w:t>
      </w:r>
    </w:p>
    <w:p>
      <w:pPr>
        <w:spacing w:after="0" w:line="188" w:lineRule="exact"/>
        <w:rPr>
          <w:rFonts w:ascii="Courier New" w:cs="Courier New" w:eastAsia="Courier New" w:hAnsi="Courier New"/>
          <w:sz w:val="16"/>
          <w:szCs w:val="16"/>
          <w:color w:val="auto"/>
        </w:rPr>
      </w:pPr>
    </w:p>
    <w:p>
      <w:pPr>
        <w:ind w:left="480" w:right="2759" w:firstLine="466"/>
        <w:spacing w:after="0" w:line="256" w:lineRule="auto"/>
        <w:tabs>
          <w:tab w:leader="none" w:pos="1331"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the Company receives an offer from any third party (excluding any affiliate of the Company or any group of which any affiliate of the Company is a member) with respect to a merger, sale of substantial assets or other business combination involving the Company,</w:t>
      </w:r>
    </w:p>
    <w:p>
      <w:pPr>
        <w:spacing w:after="0" w:line="2" w:lineRule="exact"/>
        <w:rPr>
          <w:rFonts w:ascii="Courier New" w:cs="Courier New" w:eastAsia="Courier New" w:hAnsi="Courier New"/>
          <w:sz w:val="15"/>
          <w:szCs w:val="15"/>
          <w:color w:val="auto"/>
        </w:rPr>
      </w:pPr>
    </w:p>
    <w:p>
      <w:pPr>
        <w:ind w:left="480" w:right="2659" w:hanging="6"/>
        <w:spacing w:after="0" w:line="239" w:lineRule="auto"/>
        <w:tabs>
          <w:tab w:leader="none" w:pos="858"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Board of Directors determines, in good faith and after consultation with an independent financial advisor, that such offer would yield a materially higher value to the Company or its stockholders than the Merger and (C) Parent fails, within ten business days after Parent is notified of such determination and of the terms and conditions of such offer, to make an offer which is substantially equivalent to, or more favorable than, such offer;</w:t>
      </w:r>
    </w:p>
    <w:p>
      <w:pPr>
        <w:spacing w:after="0" w:line="191" w:lineRule="exact"/>
        <w:rPr>
          <w:rFonts w:ascii="Courier New" w:cs="Courier New" w:eastAsia="Courier New" w:hAnsi="Courier New"/>
          <w:sz w:val="16"/>
          <w:szCs w:val="16"/>
          <w:color w:val="auto"/>
        </w:rPr>
      </w:pPr>
    </w:p>
    <w:p>
      <w:pPr>
        <w:ind w:left="480" w:right="2659" w:firstLine="466"/>
        <w:spacing w:after="0"/>
        <w:tabs>
          <w:tab w:leader="none" w:pos="1426" w:val="left"/>
        </w:tabs>
        <w:numPr>
          <w:ilvl w:val="2"/>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tender/exchange offer is commenced by a third party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would yield a materially higher value to the Company or its stockholders than the Merger and (C) Parent fails, within ten business days after Parent is notified of such determination, to make an offer which is substantially equivalent to, or more favorable than, such tender/exchange offer; or</w:t>
      </w:r>
    </w:p>
    <w:p>
      <w:pPr>
        <w:spacing w:after="0" w:line="188" w:lineRule="exact"/>
        <w:rPr>
          <w:rFonts w:ascii="Courier New" w:cs="Courier New" w:eastAsia="Courier New" w:hAnsi="Courier New"/>
          <w:sz w:val="16"/>
          <w:szCs w:val="16"/>
          <w:color w:val="auto"/>
        </w:rPr>
      </w:pPr>
    </w:p>
    <w:p>
      <w:pPr>
        <w:ind w:left="480" w:right="2659" w:firstLine="466"/>
        <w:spacing w:after="0" w:line="239" w:lineRule="auto"/>
        <w:tabs>
          <w:tab w:leader="none" w:pos="1520" w:val="left"/>
        </w:tabs>
        <w:numPr>
          <w:ilvl w:val="2"/>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(A) fails to perform in any material respect any of its material covenants in this Agreement and (B) does not cure such default in all material respects within 30 days after notice of such default is given to Parent by the Company.</w:t>
      </w:r>
    </w:p>
    <w:p>
      <w:pPr>
        <w:spacing w:after="0" w:line="183" w:lineRule="exact"/>
        <w:rPr>
          <w:rFonts w:ascii="Courier New" w:cs="Courier New" w:eastAsia="Courier New" w:hAnsi="Courier New"/>
          <w:sz w:val="16"/>
          <w:szCs w:val="16"/>
          <w:color w:val="auto"/>
        </w:rPr>
      </w:pPr>
    </w:p>
    <w:p>
      <w:pPr>
        <w:ind w:left="1040" w:hanging="377"/>
        <w:spacing w:after="0"/>
        <w:tabs>
          <w:tab w:leader="none" w:pos="104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the right to terminate this Agreement:</w:t>
      </w:r>
    </w:p>
    <w:p>
      <w:pPr>
        <w:spacing w:after="0" w:line="186" w:lineRule="exact"/>
        <w:rPr>
          <w:rFonts w:ascii="Courier New" w:cs="Courier New" w:eastAsia="Courier New" w:hAnsi="Courier New"/>
          <w:sz w:val="16"/>
          <w:szCs w:val="16"/>
          <w:color w:val="auto"/>
        </w:rPr>
      </w:pPr>
    </w:p>
    <w:p>
      <w:pPr>
        <w:ind w:left="480" w:right="2839" w:firstLine="466"/>
        <w:spacing w:after="0" w:line="237" w:lineRule="auto"/>
        <w:tabs>
          <w:tab w:leader="none" w:pos="1331" w:val="left"/>
        </w:tabs>
        <w:numPr>
          <w:ilvl w:val="2"/>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21 days after the date of this Agreement, Parent's Board of Directors:</w:t>
      </w:r>
    </w:p>
    <w:p>
      <w:pPr>
        <w:spacing w:after="0" w:line="187" w:lineRule="exact"/>
        <w:rPr>
          <w:rFonts w:ascii="Courier New" w:cs="Courier New" w:eastAsia="Courier New" w:hAnsi="Courier New"/>
          <w:sz w:val="16"/>
          <w:szCs w:val="16"/>
          <w:color w:val="auto"/>
        </w:rPr>
      </w:pPr>
    </w:p>
    <w:p>
      <w:pPr>
        <w:ind w:left="760" w:right="3039" w:firstLine="470"/>
        <w:spacing w:after="0" w:line="239" w:lineRule="auto"/>
        <w:tabs>
          <w:tab w:leader="none" w:pos="1611" w:val="left"/>
        </w:tabs>
        <w:numPr>
          <w:ilvl w:val="3"/>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receive from Donaldson, Lufkin &amp; Jenrette Securities Corporation an opinion to the effect that the Exchange Ratio is fair, from a financial point of view, to Parent's stockholders, with such limitations and qualifications as are customary in such opinions;</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AA-30</w:t>
      </w:r>
    </w:p>
    <w:p>
      <w:pPr>
        <w:sectPr>
          <w:pgSz w:w="11900" w:h="16838" w:orient="portrait"/>
          <w:cols w:equalWidth="0" w:num="1">
            <w:col w:w="9939"/>
          </w:cols>
          <w:pgMar w:left="520" w:top="295" w:right="1440" w:bottom="1440" w:gutter="0" w:footer="0" w:header="0"/>
        </w:sectPr>
      </w:pPr>
    </w:p>
    <w:bookmarkStart w:id="251" w:name="page252"/>
    <w:bookmarkEnd w:id="251"/>
    <w:p>
      <w:pPr>
        <w:ind w:left="280"/>
        <w:spacing w:after="0"/>
        <w:rPr>
          <w:sz w:val="20"/>
          <w:szCs w:val="20"/>
          <w:color w:val="auto"/>
        </w:rPr>
      </w:pPr>
      <w:r>
        <w:rPr>
          <w:rFonts w:ascii="Courier New" w:cs="Courier New" w:eastAsia="Courier New" w:hAnsi="Courier New"/>
          <w:sz w:val="16"/>
          <w:szCs w:val="16"/>
          <w:color w:val="auto"/>
        </w:rPr>
        <w:t>248</w:t>
      </w:r>
    </w:p>
    <w:p>
      <w:pPr>
        <w:spacing w:after="0" w:line="186" w:lineRule="exact"/>
        <w:rPr>
          <w:sz w:val="20"/>
          <w:szCs w:val="20"/>
          <w:color w:val="auto"/>
        </w:rPr>
      </w:pPr>
    </w:p>
    <w:p>
      <w:pPr>
        <w:ind w:left="1040" w:right="2659" w:firstLine="470"/>
        <w:spacing w:after="0" w:line="239" w:lineRule="auto"/>
        <w:tabs>
          <w:tab w:leader="none" w:pos="1891"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that the representations and warranties of the Company contained in this Agreement are not true and correct in any material respect on and as of the date made and on and as of the date of the Board's determination;</w:t>
      </w:r>
    </w:p>
    <w:p>
      <w:pPr>
        <w:spacing w:after="0" w:line="187" w:lineRule="exact"/>
        <w:rPr>
          <w:rFonts w:ascii="Courier New" w:cs="Courier New" w:eastAsia="Courier New" w:hAnsi="Courier New"/>
          <w:sz w:val="16"/>
          <w:szCs w:val="16"/>
          <w:color w:val="auto"/>
        </w:rPr>
      </w:pPr>
    </w:p>
    <w:p>
      <w:pPr>
        <w:ind w:left="1040" w:right="2759" w:firstLine="470"/>
        <w:spacing w:after="0" w:line="239" w:lineRule="auto"/>
        <w:tabs>
          <w:tab w:leader="none" w:pos="1891"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after consultation with Deloitte &amp; Touche, certified public accountants for the Company, and Coopers &amp; Lybrand, certified public accountants for Parent, that the Merger will not qualify as a pooling of interests transaction under APB No. 16, provided that Parent is not in default of the covenant contained in Section 6.2(d)(iii); or</w:t>
      </w:r>
    </w:p>
    <w:p>
      <w:pPr>
        <w:spacing w:after="0" w:line="190" w:lineRule="exact"/>
        <w:rPr>
          <w:rFonts w:ascii="Courier New" w:cs="Courier New" w:eastAsia="Courier New" w:hAnsi="Courier New"/>
          <w:sz w:val="16"/>
          <w:szCs w:val="16"/>
          <w:color w:val="auto"/>
        </w:rPr>
      </w:pPr>
    </w:p>
    <w:p>
      <w:pPr>
        <w:ind w:left="1040" w:right="2839" w:firstLine="470"/>
        <w:spacing w:after="0" w:line="238" w:lineRule="auto"/>
        <w:tabs>
          <w:tab w:leader="none" w:pos="1891"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that the condition set forth in Section 8.1(g) above will not be satisfied in all material respects on or prior to the Closing Date;</w:t>
      </w:r>
    </w:p>
    <w:p>
      <w:pPr>
        <w:spacing w:after="0" w:line="188" w:lineRule="exact"/>
        <w:rPr>
          <w:rFonts w:ascii="Courier New" w:cs="Courier New" w:eastAsia="Courier New" w:hAnsi="Courier New"/>
          <w:sz w:val="16"/>
          <w:szCs w:val="16"/>
          <w:color w:val="auto"/>
        </w:rPr>
      </w:pPr>
    </w:p>
    <w:p>
      <w:pPr>
        <w:ind w:left="760" w:right="2659" w:firstLine="466"/>
        <w:spacing w:after="0" w:line="258" w:lineRule="auto"/>
        <w:tabs>
          <w:tab w:leader="none" w:pos="1706"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21 days after the date of this Agreement, the Company and Parent have not reached mutual agreement on the financing plan contemplated by Section 7.7(d) (Parent agreeing that it will not unreasonably withhold its approval of any such financing plan and acknowledging its acceptance of those aspects of such financing plan set forth in each Memorandum of Understanding identified in Schedule 5.8);</w:t>
      </w:r>
    </w:p>
    <w:p>
      <w:pPr>
        <w:spacing w:after="0" w:line="177" w:lineRule="exact"/>
        <w:rPr>
          <w:rFonts w:ascii="Courier New" w:cs="Courier New" w:eastAsia="Courier New" w:hAnsi="Courier New"/>
          <w:sz w:val="15"/>
          <w:szCs w:val="15"/>
          <w:color w:val="auto"/>
        </w:rPr>
      </w:pPr>
    </w:p>
    <w:p>
      <w:pPr>
        <w:ind w:left="760" w:right="2759" w:firstLine="466"/>
        <w:spacing w:after="0" w:line="238" w:lineRule="auto"/>
        <w:tabs>
          <w:tab w:leader="none" w:pos="180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July 31, 1995 otherwise than account of delay or default on the part of Parent or any of its 5% stockholders or any of their affiliates or associates;</w:t>
      </w:r>
    </w:p>
    <w:p>
      <w:pPr>
        <w:spacing w:after="0" w:line="188" w:lineRule="exact"/>
        <w:rPr>
          <w:rFonts w:ascii="Courier New" w:cs="Courier New" w:eastAsia="Courier New" w:hAnsi="Courier New"/>
          <w:sz w:val="16"/>
          <w:szCs w:val="16"/>
          <w:color w:val="auto"/>
        </w:rPr>
      </w:pPr>
    </w:p>
    <w:p>
      <w:pPr>
        <w:ind w:left="760" w:right="2659" w:firstLine="466"/>
        <w:spacing w:after="0" w:line="238" w:lineRule="auto"/>
        <w:tabs>
          <w:tab w:leader="none" w:pos="1706"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Parent or any of its 5% stockholders or any of their affiliates or associates;</w:t>
      </w:r>
    </w:p>
    <w:p>
      <w:pPr>
        <w:spacing w:after="0" w:line="188" w:lineRule="exact"/>
        <w:rPr>
          <w:rFonts w:ascii="Courier New" w:cs="Courier New" w:eastAsia="Courier New" w:hAnsi="Courier New"/>
          <w:sz w:val="16"/>
          <w:szCs w:val="16"/>
          <w:color w:val="auto"/>
        </w:rPr>
      </w:pPr>
    </w:p>
    <w:p>
      <w:pPr>
        <w:ind w:left="760" w:right="2659" w:firstLine="466"/>
        <w:spacing w:after="0" w:line="257" w:lineRule="auto"/>
        <w:tabs>
          <w:tab w:leader="none" w:pos="1611"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Parent receives an offer from any third party (excluding any affiliate of Parent or any group of which any affiliate of Parent is a member) with respect to a merger, sale of substantial assets or other business combination involving Parent, (B) Parent's Board of Directors determines, in good faith and after consultation with an independent financial advisor, that such offer would yield a materially higher value to Parent or its stockholders than the Merger and (C) the Company fails, within ten business days after the Company is notified of such determination and of the terms and conditions of such offer, to offer to amend this Agreement in order to make the Merger substantially equivalent to, or more favorable than, such offer;</w:t>
      </w:r>
    </w:p>
    <w:p>
      <w:pPr>
        <w:spacing w:after="0" w:line="181" w:lineRule="exact"/>
        <w:rPr>
          <w:rFonts w:ascii="Courier New" w:cs="Courier New" w:eastAsia="Courier New" w:hAnsi="Courier New"/>
          <w:sz w:val="15"/>
          <w:szCs w:val="15"/>
          <w:color w:val="auto"/>
        </w:rPr>
      </w:pPr>
    </w:p>
    <w:p>
      <w:pPr>
        <w:ind w:left="760" w:right="2839" w:firstLine="466"/>
        <w:spacing w:after="0" w:line="258" w:lineRule="auto"/>
        <w:tabs>
          <w:tab w:leader="none" w:pos="1706"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 tender/exchange offer is commenced by a third party (excluding any affiliate of Parent or any group of which any affiliate of Parent is a member) for all outstanding shares of Parent Common Stock, (B) Parent's Board of Directors determines, in good faith and after consultation with an independent financial advisor, that such offer would yield a materially higher value to Parent or its stockholders than the Merger and (C) the Company fails, within ten business days after the Company is notified of such determination, to make an offer which is substantially equivalent to, or more favorable than, such tender/exchange offer; or</w:t>
      </w:r>
    </w:p>
    <w:p>
      <w:pPr>
        <w:spacing w:after="0" w:line="174" w:lineRule="exact"/>
        <w:rPr>
          <w:rFonts w:ascii="Courier New" w:cs="Courier New" w:eastAsia="Courier New" w:hAnsi="Courier New"/>
          <w:sz w:val="15"/>
          <w:szCs w:val="15"/>
          <w:color w:val="auto"/>
        </w:rPr>
      </w:pPr>
    </w:p>
    <w:p>
      <w:pPr>
        <w:ind w:left="760" w:right="2839" w:firstLine="466"/>
        <w:spacing w:after="0" w:line="239" w:lineRule="auto"/>
        <w:tabs>
          <w:tab w:leader="none" w:pos="180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(A) fails to perform in any material respect any of its material covenants in this Agreement and (B) does not cure such default in all material respects within 30 days after notice of such default is given to the Company by Parent.</w:t>
      </w:r>
    </w:p>
    <w:p>
      <w:pPr>
        <w:spacing w:after="0" w:line="187" w:lineRule="exact"/>
        <w:rPr>
          <w:rFonts w:ascii="Courier New" w:cs="Courier New" w:eastAsia="Courier New" w:hAnsi="Courier New"/>
          <w:sz w:val="16"/>
          <w:szCs w:val="16"/>
          <w:color w:val="auto"/>
        </w:rPr>
      </w:pPr>
    </w:p>
    <w:p>
      <w:pPr>
        <w:ind w:left="460" w:right="2659" w:firstLine="483"/>
        <w:spacing w:after="0" w:line="262" w:lineRule="auto"/>
        <w:tabs>
          <w:tab w:leader="none" w:pos="131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1"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9.2. EFFECT OF TERMINATION. In the event of termination of this Agreement by either Parent or the Company, as provided in Section 9.1, this Agreement shall forthwith become void and there shall be no further obligation on the part of the Company, Parent, Subsidiary or their respective officers or directors (except as set forth in this Section 9.2 and in Sections 7.1, 7.6 and 7.8, all of which shall survive the termination). Nothing in this Section 9.2 shall relieve any party from liability for any breach of this Agreement.</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AA-31</w:t>
      </w:r>
    </w:p>
    <w:p>
      <w:pPr>
        <w:sectPr>
          <w:pgSz w:w="11900" w:h="16838" w:orient="portrait"/>
          <w:cols w:equalWidth="0" w:num="1">
            <w:col w:w="10219"/>
          </w:cols>
          <w:pgMar w:left="240" w:top="295" w:right="1440" w:bottom="1440" w:gutter="0" w:footer="0" w:header="0"/>
        </w:sectPr>
      </w:pPr>
    </w:p>
    <w:bookmarkStart w:id="252" w:name="page253"/>
    <w:bookmarkEnd w:id="252"/>
    <w:p>
      <w:pPr>
        <w:ind w:left="280"/>
        <w:spacing w:after="0"/>
        <w:rPr>
          <w:sz w:val="20"/>
          <w:szCs w:val="20"/>
          <w:color w:val="auto"/>
        </w:rPr>
      </w:pPr>
      <w:r>
        <w:rPr>
          <w:rFonts w:ascii="Courier New" w:cs="Courier New" w:eastAsia="Courier New" w:hAnsi="Courier New"/>
          <w:sz w:val="16"/>
          <w:szCs w:val="16"/>
          <w:color w:val="auto"/>
        </w:rPr>
        <w:t>249</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9.3. AMENDMENT. This Agreement may not be amended except by action taken by their respective Boards of Directors or duly authorized committee thereof and then only by an instrument in writing signed on behalf of each of the parties hereto and in compliance with applicable law.</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X</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GENERAL PROVISIONS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10.1. NON-SURVIVAL OF REPRESENTATIONS AND WARRANTIES. All representations and warranties in this Agreement shall not survive the Merger, and after effectiveness of the Merger neither the Company, Parent, Subsidiary or their respective officers or directors shall have any further obligation with respect thereto.</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10.2. BROKERS. The Company represents and warrants that no broker, finder or investment banker is entitled to any brokerage, finder's or other fee (except for the fee payable to the investment banking firm described in Section 8.2(g)) or commission in connection with the Merger or the transactions contemplated by this Agreement based upon arrangements made by or on behalf of the Company. Parent and Subsidiary represent and warrant that no broker, finder or investment banker is entitled to any brokerage, finder's or other fee (except for the fee payable to the investment banking firm described in Section 8.3(j)) or commission in connection with the Merger or the transactions contemplated by this Agreement based upon arrangements made by or on behalf of Parent or Subsidiary.</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10.3.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18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 If to Parent or Subsidiary to:</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Dallas, Texas 75240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Attention: Earl DeFrates</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Andrews &amp; Kurth L.L.P.</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4200 Texas Commerce Tower</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Attention: David G. Elkins, Esq.</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AA-32</w:t>
      </w:r>
    </w:p>
    <w:p>
      <w:pPr>
        <w:sectPr>
          <w:pgSz w:w="11900" w:h="16838" w:orient="portrait"/>
          <w:cols w:equalWidth="0" w:num="1">
            <w:col w:w="10219"/>
          </w:cols>
          <w:pgMar w:left="240" w:top="295" w:right="1440" w:bottom="1440" w:gutter="0" w:footer="0" w:header="0"/>
        </w:sectPr>
      </w:pPr>
    </w:p>
    <w:bookmarkStart w:id="253" w:name="page254"/>
    <w:bookmarkEnd w:id="253"/>
    <w:p>
      <w:pPr>
        <w:ind w:left="283"/>
        <w:spacing w:after="0"/>
        <w:rPr>
          <w:sz w:val="20"/>
          <w:szCs w:val="20"/>
          <w:color w:val="auto"/>
        </w:rPr>
      </w:pPr>
      <w:r>
        <w:rPr>
          <w:rFonts w:ascii="Courier New" w:cs="Courier New" w:eastAsia="Courier New" w:hAnsi="Courier New"/>
          <w:sz w:val="16"/>
          <w:szCs w:val="16"/>
          <w:color w:val="auto"/>
        </w:rPr>
        <w:t>250</w:t>
      </w:r>
    </w:p>
    <w:p>
      <w:pPr>
        <w:spacing w:after="0" w:line="183"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(b) If to the Company, to:</w:t>
      </w:r>
    </w:p>
    <w:p>
      <w:pPr>
        <w:spacing w:after="0" w:line="183"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Pittsburgh, Pennsylvania 15235</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Attention: Alexander W. Rangos</w:t>
      </w:r>
    </w:p>
    <w:p>
      <w:pPr>
        <w:spacing w:after="0" w:line="183"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Sullivan &amp; Cromwell</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125 Broad Street</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New York, New York 10004</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Attention: Richard R. Howe, Esq.</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10.4.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188"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SECTION 10.5.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w:t>
      </w:r>
    </w:p>
    <w:p>
      <w:pPr>
        <w:ind w:left="383" w:hanging="383"/>
        <w:spacing w:after="0" w:line="238" w:lineRule="auto"/>
        <w:tabs>
          <w:tab w:leader="none" w:pos="38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intended to confer upon any other person any rights or remedies</w:t>
      </w:r>
    </w:p>
    <w:p>
      <w:pPr>
        <w:spacing w:after="0" w:line="4" w:lineRule="exact"/>
        <w:rPr>
          <w:rFonts w:ascii="Courier New" w:cs="Courier New" w:eastAsia="Courier New" w:hAnsi="Courier New"/>
          <w:sz w:val="16"/>
          <w:szCs w:val="16"/>
          <w:color w:val="auto"/>
        </w:rPr>
      </w:pPr>
    </w:p>
    <w:p>
      <w:pPr>
        <w:ind w:left="3"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hereunder, except for rights of indemnified Parties under Section 7.12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w:t>
      </w:r>
    </w:p>
    <w:p>
      <w:pPr>
        <w:spacing w:after="0" w:line="190"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SECTION 10.6. COUNTERPARTS. This Agreement may be executed in two or more counterparts, each of which shall be deemed to be an original, but all of which shall constitute one and the same agreement.</w:t>
      </w:r>
    </w:p>
    <w:p>
      <w:pPr>
        <w:spacing w:after="0" w:line="188"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10.7. PARTIES IN INTEREST. This Agreement shall be binding upon and inure solely to the benefit of each party hereto, and except as set forth in the exception to Section 10.5(b), nothing in this Agreement, express or implied, is intended to confer upon any other person any rights or remedies of any nature whatsoever under or by reason of this Agreement.</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AA-33</w:t>
      </w:r>
    </w:p>
    <w:p>
      <w:pPr>
        <w:sectPr>
          <w:pgSz w:w="11900" w:h="16838" w:orient="portrait"/>
          <w:cols w:equalWidth="0" w:num="1">
            <w:col w:w="10222"/>
          </w:cols>
          <w:pgMar w:left="237" w:top="295" w:right="1440" w:bottom="1440" w:gutter="0" w:footer="0" w:header="0"/>
        </w:sectPr>
      </w:pPr>
    </w:p>
    <w:bookmarkStart w:id="254" w:name="page255"/>
    <w:bookmarkEnd w:id="254"/>
    <w:p>
      <w:pPr>
        <w:ind w:left="280"/>
        <w:spacing w:after="0"/>
        <w:rPr>
          <w:sz w:val="20"/>
          <w:szCs w:val="20"/>
          <w:color w:val="auto"/>
        </w:rPr>
      </w:pPr>
      <w:r>
        <w:rPr>
          <w:rFonts w:ascii="Courier New" w:cs="Courier New" w:eastAsia="Courier New" w:hAnsi="Courier New"/>
          <w:sz w:val="16"/>
          <w:szCs w:val="16"/>
          <w:color w:val="auto"/>
        </w:rPr>
        <w:t>251</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IN WITNESS WHEREOF, Parent, Subsidiary and the Company have caused this Agreement to be signed by their respective officers as of the date first written above.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John E. Drury</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Chief Executive Officer</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CHAMBERS ACQUISITION CORPORATION</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Donald F. Moorehead, Jr.</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Chairman of the Board</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Alexander W. Rangos</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President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AA-34</w:t>
      </w:r>
    </w:p>
    <w:p>
      <w:pPr>
        <w:sectPr>
          <w:pgSz w:w="11900" w:h="16838" w:orient="portrait"/>
          <w:cols w:equalWidth="0" w:num="1">
            <w:col w:w="10219"/>
          </w:cols>
          <w:pgMar w:left="240" w:top="295" w:right="1440" w:bottom="1440" w:gutter="0" w:footer="0" w:header="0"/>
        </w:sectPr>
      </w:pPr>
    </w:p>
    <w:bookmarkStart w:id="255" w:name="page256"/>
    <w:bookmarkEnd w:id="255"/>
    <w:p>
      <w:pPr>
        <w:ind w:left="280"/>
        <w:spacing w:after="0"/>
        <w:rPr>
          <w:sz w:val="20"/>
          <w:szCs w:val="20"/>
          <w:color w:val="auto"/>
        </w:rPr>
      </w:pPr>
      <w:r>
        <w:rPr>
          <w:rFonts w:ascii="Courier New" w:cs="Courier New" w:eastAsia="Courier New" w:hAnsi="Courier New"/>
          <w:sz w:val="16"/>
          <w:szCs w:val="16"/>
          <w:color w:val="auto"/>
        </w:rPr>
        <w:t>252</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B</w:t>
      </w:r>
    </w:p>
    <w:p>
      <w:pPr>
        <w:spacing w:after="0" w:line="186" w:lineRule="exact"/>
        <w:rPr>
          <w:sz w:val="20"/>
          <w:szCs w:val="20"/>
          <w:color w:val="auto"/>
        </w:rPr>
      </w:pPr>
    </w:p>
    <w:p>
      <w:pPr>
        <w:jc w:val="center"/>
        <w:ind w:right="2839"/>
        <w:spacing w:after="0" w:line="238" w:lineRule="auto"/>
        <w:rPr>
          <w:sz w:val="20"/>
          <w:szCs w:val="20"/>
          <w:color w:val="auto"/>
        </w:rPr>
      </w:pPr>
      <w:r>
        <w:rPr>
          <w:rFonts w:ascii="Courier New" w:cs="Courier New" w:eastAsia="Courier New" w:hAnsi="Courier New"/>
          <w:sz w:val="16"/>
          <w:szCs w:val="16"/>
          <w:color w:val="auto"/>
        </w:rPr>
        <w:t>DONALDSON, LUFKIN &amp; JENRETTE Donaldson, Lufkin &amp; Jenrette Securities Corporation -- 140 Broadway, New York, NY 100005-1285 -- (212) 504-3000</w:t>
      </w:r>
    </w:p>
    <w:p>
      <w:pPr>
        <w:spacing w:after="0" w:line="18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May 19,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TX 75240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USA Waste Services, Inc. ("USA Waste" or the "Company") of the exchange ratio provided for in the Amended and Restated Merger Agreement dated November 28, 1994 (the "Agreement") between USA Waste and Chambers Development Company, Inc. ("Chambers").</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Pursuant to the Agreement, USA Waste is proposing to issue 0.41667 shares of its common stock for each share of Chambers. The total number of Chambers shares outstanding is 66.8 million. USA Waste, which has approximately 23.0 million shares outstanding (26.9 million on a fully diluted basis), will issue 27.8 million new shares.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arriving at our opinion, we have reviewed the Agreement as well as financial and other information that was publicly available or furnished to us by the Company and Chambers including information provided during discussions with their respective managements. Included in the information provided during discussions with the respective managements were certain financial projections of the Company prepared by the management of the Company, certain financial projections of Chambers prepared by the Company in conjunction with the management of Chambers and certain financial information of the Company and Chambers on a combined basis prepared by the Company. In addition, we have compared certain financial and securities data of the Company and Chambers with various other companies whose securities are traded in public markets, reviewed the historical stock prices and trading volumes of the common stock of the Company, reviewed prices and premiums paid in other business combinations and conducted such other financial studies, analyses and investigations as we deemed appropriate for purposes of this opinion.</w:t>
      </w:r>
    </w:p>
    <w:p>
      <w:pPr>
        <w:spacing w:after="0" w:line="19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rendering our opinion, we have relied upon and assumed, without independent verification, the accuracy, completeness and fairness of all of the financial and other information that was available to us from public sources, that was provided to us by the Company, and Chambers and their respective representatives, or that was otherwise reviewed by us. In particular, we have relied, without independent investigation, upon the estimates of the managements of the Company and Chambers of the operating synergies achievable as a result of the proposed merger and upon our discussion of such synergies with the managements of the Company and Chambers. With respect to the financial projections supplied to us, we have assumed that they have been reasonably prepared on the basis reflecting the best currently available estimates and judgments of the management of the Company and Chambers as to the future operating and financial performance of the Company and Chambers. We did not make any independent evaluation of assets or liabilities of the Company or Chambers nor did we verify any of the information reviewed by us.</w:t>
      </w:r>
    </w:p>
    <w:p>
      <w:pPr>
        <w:spacing w:after="0" w:line="363"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Our opinion is necessarily based on economic, market, financial and other conditions as they exist on, and on the information made available to us as of, the date of this letter. It should be understood that, although subsequent developments may affect this opinion, we do not have any obligation to update, revise or reaffirm this opinion. Our opinion does not constitute a recommendation to any shareholder as to how such shareholder should vote on the proposed transaction.</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BB-1</w:t>
      </w:r>
    </w:p>
    <w:p>
      <w:pPr>
        <w:sectPr>
          <w:pgSz w:w="11900" w:h="16838" w:orient="portrait"/>
          <w:cols w:equalWidth="0" w:num="1">
            <w:col w:w="10219"/>
          </w:cols>
          <w:pgMar w:left="240" w:top="295" w:right="1440" w:bottom="1440" w:gutter="0" w:footer="0" w:header="0"/>
        </w:sectPr>
      </w:pPr>
    </w:p>
    <w:bookmarkStart w:id="256" w:name="page257"/>
    <w:bookmarkEnd w:id="256"/>
    <w:p>
      <w:pPr>
        <w:ind w:left="280"/>
        <w:spacing w:after="0"/>
        <w:rPr>
          <w:sz w:val="20"/>
          <w:szCs w:val="20"/>
          <w:color w:val="auto"/>
        </w:rPr>
      </w:pPr>
      <w:r>
        <w:rPr>
          <w:rFonts w:ascii="Courier New" w:cs="Courier New" w:eastAsia="Courier New" w:hAnsi="Courier New"/>
          <w:sz w:val="16"/>
          <w:szCs w:val="16"/>
          <w:color w:val="auto"/>
        </w:rPr>
        <w:t>253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and has received customary compensation for such services.</w:t>
      </w:r>
    </w:p>
    <w:p>
      <w:pPr>
        <w:spacing w:after="0" w:line="192"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Based upon the foregoing and such other factors as we deem relevant, we are of the opinion that the exchange ratio pursuant to the Agreement is fair to the Company from a financial point of view.</w:t>
      </w:r>
    </w:p>
    <w:p>
      <w:pPr>
        <w:spacing w:after="0" w:line="18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DONALDSON, LUFKIN &amp; JENRETTE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SECURITIES CORPORATION</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BB-2</w:t>
      </w:r>
    </w:p>
    <w:p>
      <w:pPr>
        <w:sectPr>
          <w:pgSz w:w="11900" w:h="16838" w:orient="portrait"/>
          <w:cols w:equalWidth="0" w:num="1">
            <w:col w:w="10219"/>
          </w:cols>
          <w:pgMar w:left="240" w:top="295" w:right="1440" w:bottom="1440" w:gutter="0" w:footer="0" w:header="0"/>
        </w:sectPr>
      </w:pPr>
    </w:p>
    <w:bookmarkStart w:id="257" w:name="page258"/>
    <w:bookmarkEnd w:id="257"/>
    <w:p>
      <w:pPr>
        <w:ind w:left="280"/>
        <w:spacing w:after="0"/>
        <w:rPr>
          <w:sz w:val="20"/>
          <w:szCs w:val="20"/>
          <w:color w:val="auto"/>
        </w:rPr>
      </w:pPr>
      <w:r>
        <w:rPr>
          <w:rFonts w:ascii="Courier New" w:cs="Courier New" w:eastAsia="Courier New" w:hAnsi="Courier New"/>
          <w:sz w:val="16"/>
          <w:szCs w:val="16"/>
          <w:color w:val="auto"/>
        </w:rPr>
        <w:t>254</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C</w:t>
      </w:r>
    </w:p>
    <w:p>
      <w:pPr>
        <w:spacing w:after="0" w:line="183"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JP MORGAN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19,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PA 15235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John Rangos, Sr.</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Chairman of the Board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the stockholders of Chambers Development Company, Inc. (the "Company") of the consideration to be received by them pursuant to the terms and subject to the conditions of the proposed merger (the "Merger") contemplated by the Agreement and Plan of Merger dated as of November 28, 1994 (the "Agreement") by and among USA Waste Services, Inc. ("USA Waste"), Envirofil, Inc. and the Company. The Agreement provides that, at the effective time of the Merger, each share of the Company's Common Stock, par value $.50 per share, and each share of the Company's Class A Common Stock, par value $.50 per share, shall be converted into the right to receive, without interest, .41667 (the "Exchange Ratio") of a share of the common stock, par value $.01 per share, of USA Waste.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arriving at our opinion, we have reviewed (i) the Agreement; (ii) certain publicly available information concerning the Company, USA Waste, and of certain other companies engaged in businesses comparable to the Company and USA Waste, and the reported market prices for certain other companies' securities deemed comparable; (iii) publicly available terms of certain transactions involving companies comparable to the Company and USA Waste and the consideration received for such companies; (iv) current and historical market prices of the common stock of the Company and of USA Waste; (v) the audited financial statements of the Company and USA Waste for the fiscal year ended December 31, 1994; (vi) certain agreements with respect to outstanding indebtedness or obligations of the Company and of USA Waste; (vii) certain internal financial analyses and forecasts prepared by the Company and USA Waste and their respective managements; (viii) the terms of other business combinations that we have deemed relevant; and (ix) the currently contemplated capital structure and the anticipated credit standing of the merged companies upon consummation of the Merger.</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we have held discussions with certain members of the management of the Company, and USA Waste, with respect to certain aspects of the Merger, and the past and current business operations of the Company and USA Waste, the financial condition and future prospects and operations of the Company and USA Waste, the effects of the Merger on the financial condition and future prospects of the merged company, and certain other matters we believed necessary or appropriate to our inquiry. We have visited certain representative facilities of the Company, and USA Waste, and reviewed such other financial studies and analyses and considered such other information as we deemed appropriate for the purposes of this opinion. J.P. Morgan was not authorized to and did not solicit any expressions of interest from any other parties with respect to and sales of all or any part of the stock, assets or business of the Company.</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giving our opinion we have assumed, with your consent, that there will not be any material adverse effect on USA Waste or on the trading value of the common stock of USA Waste as a result of (i) the settlement of the litigation and proceedings described or referred to in each Memorandum of Understanding identified in Schedule 5.8 to the Agreement or (ii) the entry by the Company into a consent order as to the matter referred to in the letter described in Item 1 of Schedule 5.8 to the Agreement. We are not in a position to evaluate these matters and assume no responsibility for and express no view with respect to these matters.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CC-1</w:t>
      </w:r>
    </w:p>
    <w:p>
      <w:pPr>
        <w:sectPr>
          <w:pgSz w:w="11900" w:h="16838" w:orient="portrait"/>
          <w:cols w:equalWidth="0" w:num="1">
            <w:col w:w="10219"/>
          </w:cols>
          <w:pgMar w:left="240" w:top="295"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6"/>
          <w:szCs w:val="16"/>
          <w:color w:val="auto"/>
        </w:rPr>
        <w:t>255</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giving our opinion, we have relied upon and assumed, without independent verification, the accuracy and completeness of all information that was publicly available or was furnished to us by the Company and USA Waste or otherwise reviewed by us. We have not verified the accuracy or completeness of any such information and we have not conducted any evaluation or appraisal of any assets or liabilities, nor have any such evaluations or appraisals been provided to us. In relying on financial analyses and forecasts provided to us, we have assumed that they have been reasonably prepared based on assumptions reflecting the best currently available estimates and judgments by management of the Company and USA Waste, respectively as to the expected future results of operations and financial condition of the Company to which such analyses or forecasts relate.</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In particular, we are expressing no opinion herein as to the price at which the common stock of USA Waste will trade at any future time. Because of the mechanism described in the first paragraph of this opinion for determining the Exchange Ratio, the actual value of the shares of common stock of USA Waste to be issued in exchange for each share of common stock of the Company pursuant to the Merger may vary significantly. Because of the large aggregate amount of common stock of USA Waste being issued to stockholders of the Company pursuant to the Merger and other factors, such securities may trade initially at prices below those at which they would trade on a fully distributed basis.</w:t>
      </w:r>
    </w:p>
    <w:p>
      <w:pPr>
        <w:spacing w:after="0" w:line="181"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Our opinion addresses only the fairness from a financial point of view of the consideration to be received by the stockholders of the Company pursuant to the Merger. We do not express any views on any other terms of the Agreement or any related agreements or arrangements, including any transactions which might occur among USA Waste and any stockholders of the Company after the Merger.</w:t>
      </w:r>
    </w:p>
    <w:p>
      <w:pPr>
        <w:spacing w:after="0" w:line="174"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We have acted as financial advisor to the Company with respect to the proposed Merger and will receive a fee from the Company for our services. We will also receive an additional fee if the proposed Merger is consummated. We have acted as financial advisor to the Company since 1992 and advised the Company on the sale of Security Bureau, Inc., a wholly-owned subsidiary of the Company. In the ordinary course of their businesses, affiliates of the undersigned may actively trade the debt and equity securities of the Company or USA Waste, for their own accounts, or for the accounts of customers, and accordingly, may at any time hold a long or short position in such securities.</w:t>
      </w:r>
    </w:p>
    <w:p>
      <w:pPr>
        <w:spacing w:after="0" w:line="175"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On the basis of and subject to the foregoing, it is our opinion as of the date hereof that the consideration to be received by the stockholders of the Company in the proposed Merger is fair, from a financial point of view, to the stockholders of the Company.</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This letter is provided solely for the benefit of the Board of Directors of the Company in connection with and for the purposes of, their consideration of the Merger, and is not on behalf of, and shall not confer rights or remedies upon, any stockholder of the Company or USA Waste, or any other person other than the Board of Directors of the Company or be used for any other purpose. This opinion may not be used or relied upon by, or disclosed, referred to or communicated by you (in whole or in part) to any third party for any purpose whatsoever except with our prior written consent in each instance. This opinion may be reproduced in full in any proxy or information statement mailed to stockholders of the Company but may not otherwise be disclosed publicly in any manner without our prior written approval and must be treated as confidential.</w:t>
      </w:r>
    </w:p>
    <w:p>
      <w:pPr>
        <w:spacing w:after="0" w:line="177"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J.P. MORGAN SECURITIES INC.</w:t>
      </w:r>
    </w:p>
    <w:p>
      <w:pPr>
        <w:spacing w:after="0" w:line="183" w:lineRule="exact"/>
        <w:rPr>
          <w:sz w:val="20"/>
          <w:szCs w:val="20"/>
          <w:color w:val="auto"/>
        </w:rPr>
      </w:pPr>
    </w:p>
    <w:p>
      <w:pPr>
        <w:ind w:left="4160"/>
        <w:spacing w:after="0"/>
        <w:tabs>
          <w:tab w:leader="none" w:pos="4520" w:val="left"/>
        </w:tabs>
        <w:rPr>
          <w:sz w:val="20"/>
          <w:szCs w:val="20"/>
          <w:color w:val="auto"/>
        </w:rPr>
      </w:pPr>
      <w:r>
        <w:rPr>
          <w:rFonts w:ascii="Courier New" w:cs="Courier New" w:eastAsia="Courier New" w:hAnsi="Courier New"/>
          <w:sz w:val="16"/>
          <w:szCs w:val="16"/>
          <w:color w:val="auto"/>
        </w:rPr>
        <w:t>By</w:t>
        <w:tab/>
        <w:t>/s/ FREDERIC A. ESCHERICH</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Name: Frederic A. Escherich</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Title: Managing Director</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CC-2</w:t>
      </w:r>
    </w:p>
    <w:p>
      <w:pPr>
        <w:sectPr>
          <w:pgSz w:w="11900" w:h="16838" w:orient="portrait"/>
          <w:cols w:equalWidth="0" w:num="1">
            <w:col w:w="10219"/>
          </w:cols>
          <w:pgMar w:left="240" w:top="295" w:right="1440" w:bottom="1440" w:gutter="0" w:footer="0" w:header="0"/>
        </w:sectPr>
      </w:pPr>
    </w:p>
    <w:bookmarkStart w:id="259" w:name="page260"/>
    <w:bookmarkEnd w:id="259"/>
    <w:p>
      <w:pPr>
        <w:ind w:left="280"/>
        <w:spacing w:after="0"/>
        <w:rPr>
          <w:sz w:val="20"/>
          <w:szCs w:val="20"/>
          <w:color w:val="auto"/>
        </w:rPr>
      </w:pPr>
      <w:r>
        <w:rPr>
          <w:rFonts w:ascii="Courier New" w:cs="Courier New" w:eastAsia="Courier New" w:hAnsi="Courier New"/>
          <w:sz w:val="16"/>
          <w:szCs w:val="16"/>
          <w:color w:val="auto"/>
        </w:rPr>
        <w:t>256</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D</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AGREEMENT AND PLAN OF MERGER</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AGREEMENT AND PLAN OF MERGER ("Agreement") is entered into this</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day of , 1995, by and between USA Waste Services, Inc., an Oklahoma corporation ("USA Waste Oklahoma"), and USA Waste Services, Inc., a Delaware corporation ("USA Waste Delaware").</w:t>
      </w:r>
    </w:p>
    <w:p>
      <w:pPr>
        <w:spacing w:after="0" w:line="18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WITNESSETH:</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WHEREAS, USA Waste Oklahoma is a corporation organized and existing under the laws of the State of Oklahoma, having been incorporated on September 30, 1987; and</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WHEREAS, USA Waste Oklahoma has authorized the issuance of (i) 50,000,000 shares of Common Stock, par value $.01 per share, of which, as of the date hereof, 22,678,822 shares are issued and outstanding and (ii) 10,000,000 shares of Preferred Stock, par value $.01 per share, of which, as of the date hereof, none of which are issued and outstanding; and</w:t>
      </w:r>
    </w:p>
    <w:p>
      <w:pPr>
        <w:spacing w:after="0" w:line="189"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WHEREAS, USA Waste Delaware is a corporation organized and existing under the laws of the State of Delaware, having been incorporated on April , 1995; and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WHEREAS, USA Waste Delaware has authorized the issuance of (i) 150,000,000 shares of Common Stock, par value $.01 per share, of which, as of the date hereof, 1,000 shares are issued and outstanding and (ii) 10,000,000 shares of Preferred Stock, par value $.01 per share, of which, as of the date hereof, none of which are issued and outstanding; and</w:t>
      </w:r>
    </w:p>
    <w:p>
      <w:pPr>
        <w:spacing w:after="0" w:line="189"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WHEREAS, USA Waste Oklahoma owns all of the issued and outstanding shares of Common Stock of USA Waste Delaware; and</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WHEREAS, the respective Boards of Directors of USA Waste Oklahoma and USA Waste Delaware have determined that, in order to change the domicile of USA Waste Oklahoma from Oklahoma to Delaware, the merger of USA Waste Oklahoma into USA Waste Delaware on the terms and conditions set forth in this Agreement is desirable and in the best interests of the shareholders of USA Waste Oklahoma, the respective Boards of Directors of USA Waste Oklahoma and USA Waste Delaware have approved and adopted this Agreement, and the Board of Directors of USA Waste Oklahoma has directed that this Agreement be submitted to the shareholders of USA Waste Oklahoma for their consideration, approval and adoption;</w:t>
      </w:r>
    </w:p>
    <w:p>
      <w:pPr>
        <w:spacing w:after="0" w:line="175" w:lineRule="exact"/>
        <w:rPr>
          <w:sz w:val="20"/>
          <w:szCs w:val="20"/>
          <w:color w:val="auto"/>
        </w:rPr>
      </w:pPr>
    </w:p>
    <w:p>
      <w:pPr>
        <w:ind w:right="3219" w:firstLine="473"/>
        <w:spacing w:after="0" w:line="239" w:lineRule="auto"/>
        <w:rPr>
          <w:sz w:val="20"/>
          <w:szCs w:val="20"/>
          <w:color w:val="auto"/>
        </w:rPr>
      </w:pPr>
      <w:r>
        <w:rPr>
          <w:rFonts w:ascii="Courier New" w:cs="Courier New" w:eastAsia="Courier New" w:hAnsi="Courier New"/>
          <w:sz w:val="16"/>
          <w:szCs w:val="16"/>
          <w:color w:val="auto"/>
        </w:rPr>
        <w:t>NOW, THEREFORE, in consideration of the mutual covenants, agreements, representations and warranties set forth herein and other valuable consideration, the receipt, adequacy and sufficiency of which are hereby acknowledged, the parties agree as follows:</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1</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MERGER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1.1 The Merger. In accordance with the provisions of this Agreement, at the Effective Time (as hereinafter defined), USA Waste Oklahoma shall be merged with and into USA Waste Delaware (the "Merger"), which shall be the surviving corporation and shall continue its corporate existence under the laws of the State of Delaware under the name "USA Waste Services, Inc." (the "Surviving Corporation") unimpaired and unaffected by the Merger. The separate corporate existence of USA Waste Oklahoma shall cease at the Effective Time. USA Waste Oklahoma and USA Waste Delaware are sometimes hereinafter collectively referred to as the "Constituent Corporations."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5880" w:type="dxa"/>
            <w:vAlign w:val="bottom"/>
            <w:gridSpan w:val="12"/>
          </w:tcPr>
          <w:p>
            <w:pPr>
              <w:jc w:val="right"/>
              <w:spacing w:after="0"/>
              <w:rPr>
                <w:sz w:val="20"/>
                <w:szCs w:val="20"/>
                <w:color w:val="auto"/>
              </w:rPr>
            </w:pPr>
            <w:r>
              <w:rPr>
                <w:rFonts w:ascii="Courier New" w:cs="Courier New" w:eastAsia="Courier New" w:hAnsi="Courier New"/>
                <w:sz w:val="16"/>
                <w:szCs w:val="16"/>
                <w:color w:val="auto"/>
              </w:rPr>
              <w:t>1.2 Effective Time. The Merger shall become effective at the</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time of (a)</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filing</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Certificate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Merger with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Secretary</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State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Delaware in</w:t>
            </w:r>
          </w:p>
        </w:tc>
      </w:tr>
      <w:tr>
        <w:trPr>
          <w:trHeight w:val="182"/>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accordance</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provisions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Delaware</w:t>
            </w:r>
          </w:p>
        </w:tc>
        <w:tc>
          <w:tcPr>
            <w:tcW w:w="31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General Corporation Law, and (b)</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filing</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Certificate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Merger with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Secretary</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State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Oklahoma in</w:t>
            </w:r>
          </w:p>
        </w:tc>
      </w:tr>
      <w:tr>
        <w:trPr>
          <w:trHeight w:val="182"/>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accordance</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provisions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Oklahoma</w:t>
            </w:r>
          </w:p>
        </w:tc>
        <w:tc>
          <w:tcPr>
            <w:tcW w:w="31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General Corporation Act. USA</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Oklahoma and</w:t>
      </w:r>
    </w:p>
    <w:p>
      <w:pPr>
        <w:sectPr>
          <w:pgSz w:w="11900" w:h="16838" w:orient="portrait"/>
          <w:cols w:equalWidth="0" w:num="1">
            <w:col w:w="10219"/>
          </w:cols>
          <w:pgMar w:left="240" w:top="295" w:right="1440" w:bottom="1440" w:gutter="0" w:footer="0" w:header="0"/>
        </w:sectPr>
      </w:pPr>
    </w:p>
    <w:bookmarkStart w:id="260" w:name="page261"/>
    <w:bookmarkEnd w:id="260"/>
    <w:p>
      <w:pPr>
        <w:ind w:left="280"/>
        <w:spacing w:after="0"/>
        <w:rPr>
          <w:sz w:val="20"/>
          <w:szCs w:val="20"/>
          <w:color w:val="auto"/>
        </w:rPr>
      </w:pPr>
      <w:r>
        <w:rPr>
          <w:rFonts w:ascii="Courier New" w:cs="Courier New" w:eastAsia="Courier New" w:hAnsi="Courier New"/>
          <w:sz w:val="16"/>
          <w:szCs w:val="16"/>
          <w:color w:val="auto"/>
        </w:rPr>
        <w:t>257</w:t>
      </w:r>
    </w:p>
    <w:p>
      <w:pPr>
        <w:spacing w:after="0" w:line="186" w:lineRule="exact"/>
        <w:rPr>
          <w:sz w:val="20"/>
          <w:szCs w:val="20"/>
          <w:color w:val="auto"/>
        </w:rPr>
      </w:pPr>
    </w:p>
    <w:p>
      <w:pPr>
        <w:ind w:right="2939"/>
        <w:spacing w:after="0" w:line="262" w:lineRule="auto"/>
        <w:rPr>
          <w:sz w:val="20"/>
          <w:szCs w:val="20"/>
          <w:color w:val="auto"/>
        </w:rPr>
      </w:pPr>
      <w:r>
        <w:rPr>
          <w:rFonts w:ascii="Courier New" w:cs="Courier New" w:eastAsia="Courier New" w:hAnsi="Courier New"/>
          <w:sz w:val="15"/>
          <w:szCs w:val="15"/>
          <w:color w:val="auto"/>
        </w:rPr>
        <w:t>USA Waste Delaware agree to file the aforementioned Certificates of Merger at the time of the Closing, as hereinafter defined. The date and time when the Merger shall become effective is referred to herein as the "Effective Time."</w:t>
      </w:r>
    </w:p>
    <w:p>
      <w:pPr>
        <w:spacing w:after="0" w:line="17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1.3 Effect of the Merger. (a) The Surviving Corporation shall, without transfer, thereupon and thereafter possess all assets and property of every description, and every interest therein, wherever located, and the rights privileges, immunities, powers, franchises and authority, of a public as well as of a private nature, and be subject to all of the restrictions, disabilities, and duties of each of the Constituent Corporations, and all obligations of or belonging to or due to either of the Constituent Corporations, shall be vested in the Surviving Corporation without further act or deed; all assets and property of every description, and every interest therein, wherever located, and the rights privileges, immunities, powers, franchises, and authority shall thereafter be the property of the Surviving Corporation as effectively as when they were the property of the Constituent Corporations, and the title to any real estate or any interest therein vested in either of the Constituent Corporations shall not revert or in any way be impaired by reason of the Merger; all rights of creditors and all liens upon any property of the Constituent Corporations existing as of the Effective Time shall be preserved unimpaired; and all debts, liabilities, and duties of the Constituent Corporations shall thenceforth attach to the Surviving Corporation and may be enforced against it to the same extent as if such debts, liabilities, and duties had been incurred for or by it; and any action or proceeding, whether civil, criminal, or administrative, pending by or against either Constituent Corporation shall be prosecuted as if the Merger had not taken place, or the Surviving Corporation may be substituted in any such action or proceeding.</w:t>
      </w:r>
    </w:p>
    <w:p>
      <w:pPr>
        <w:spacing w:after="0" w:line="362" w:lineRule="exact"/>
        <w:rPr>
          <w:sz w:val="20"/>
          <w:szCs w:val="20"/>
          <w:color w:val="auto"/>
        </w:rPr>
      </w:pPr>
    </w:p>
    <w:p>
      <w:pPr>
        <w:ind w:right="2659" w:firstLine="470"/>
        <w:spacing w:after="0"/>
        <w:tabs>
          <w:tab w:leader="none" w:pos="85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corporate acts, plans, policies, contracts, approvals, and authorizations of USA Waste Oklahoma and its shareholders, Board of Directors, committees elected or appointed by its Board of Directors, officers, and agents that were valid and effective immediately prior to the Effective Time shall be taken for all purposes as the acts, plans, policies, contracts, approvals, and authorizations of the Surviving Corporation and shall be effective and binding thereon as the same were with respect to USA Waste Oklahoma. Any employees of USA Waste Oklahoma at the Effective Time shall become employees of the Surviving Corporation.</w:t>
      </w:r>
    </w:p>
    <w:p>
      <w:pPr>
        <w:spacing w:after="0" w:line="187"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Constituent Corporations do hereby certify and agree that at any time after the Effective Time the Surviving Corporation may be served with process in the State of Oklahoma in any proceeding for enforcement of any obligation of USA Waste Oklahoma, as well as for enforcement of any obligation of the Surviving Corporation arising from the Merger, including any suit or other proceeding to enforce the right of any shareholder as determined in appraisal proceedings pursuant to the provisions of Section 1091 of the Oklahoma General Corporation Act; the Constituent Corporations do hereby irrevocably appoint the Secretary of State of Oklahoma as their agent to accept service of process in any suit or other proceedings; and a copy of any process served on the Secretary of State of Oklahoma shall be mailed to USA Waste Services, Inc., 5000 Quorum Drive, Suite 300, Dallas, Texas 75240, Attention: Chief Financial Officer.</w:t>
      </w:r>
    </w:p>
    <w:p>
      <w:pPr>
        <w:spacing w:after="0" w:line="190" w:lineRule="exact"/>
        <w:rPr>
          <w:sz w:val="20"/>
          <w:szCs w:val="20"/>
          <w:color w:val="auto"/>
        </w:rPr>
      </w:pPr>
    </w:p>
    <w:p>
      <w:pPr>
        <w:jc w:val="both"/>
        <w:ind w:right="2659" w:firstLine="473"/>
        <w:spacing w:after="0" w:line="256" w:lineRule="auto"/>
        <w:rPr>
          <w:sz w:val="20"/>
          <w:szCs w:val="20"/>
          <w:color w:val="auto"/>
        </w:rPr>
      </w:pPr>
      <w:r>
        <w:rPr>
          <w:rFonts w:ascii="Courier New" w:cs="Courier New" w:eastAsia="Courier New" w:hAnsi="Courier New"/>
          <w:sz w:val="15"/>
          <w:szCs w:val="15"/>
          <w:color w:val="auto"/>
        </w:rPr>
        <w:t>1.4 Closing. The Closing of the transactions contemplated by this Agreement (the "Closing") shall take place at the offices of USA Waste Oklahoma at 10:00</w:t>
      </w:r>
    </w:p>
    <w:p>
      <w:pPr>
        <w:spacing w:after="0" w:line="1"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a.m. local time, on , 1995, or at such other place and on such other date as USA Waste Oklahoma and USA Waste Delaware may mutually agree in writing (the "Closing Date").</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1.5 Certificate of Incorporation, Bylaws, and Directors and Officers. The Certificate of Incorporation of USA Waste Delaware, as in effect immediately prior to the Effective Time, shall be the Certificate of Incorporation of the Surviving Corporation until amended as provided by law. The Bylaws of USA Waste Delaware, as in effect immediately prior to the Effective Time, shall be the Bylaws of the Surviving Corporation until amended as provided by law. The directors and officers of USA Waste Oklahoma immediately prior to the Effective Time shall be the directors and officers of the Surviving Corporation, each to hold office in accordance with the Certificate of Incorporation and Bylaws of the Surviving Corporation until their respective successors shall have been elected and qualified.</w:t>
      </w:r>
    </w:p>
    <w:p>
      <w:pPr>
        <w:spacing w:after="0" w:line="189" w:lineRule="exact"/>
        <w:rPr>
          <w:sz w:val="20"/>
          <w:szCs w:val="20"/>
          <w:color w:val="auto"/>
        </w:rPr>
      </w:pPr>
    </w:p>
    <w:p>
      <w:pPr>
        <w:ind w:right="2939" w:firstLine="473"/>
        <w:spacing w:after="0" w:line="260" w:lineRule="auto"/>
        <w:rPr>
          <w:sz w:val="20"/>
          <w:szCs w:val="20"/>
          <w:color w:val="auto"/>
        </w:rPr>
      </w:pPr>
      <w:r>
        <w:rPr>
          <w:rFonts w:ascii="Courier New" w:cs="Courier New" w:eastAsia="Courier New" w:hAnsi="Courier New"/>
          <w:sz w:val="15"/>
          <w:szCs w:val="15"/>
          <w:color w:val="auto"/>
        </w:rPr>
        <w:t>1.6 USA Waste Oklahoma's Shareholders Meeting. USA Waste Oklahoma shall submit for consideration, approval and adoption at its 1995 Annual Meeting of Shareholders the Merger and all other actions contemplated by this Agreement which require approval and adoption by USA Waste Oklahoma's shareholders.</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DD-2</w:t>
      </w:r>
    </w:p>
    <w:p>
      <w:pPr>
        <w:sectPr>
          <w:pgSz w:w="11900" w:h="16838" w:orient="portrait"/>
          <w:cols w:equalWidth="0" w:num="1">
            <w:col w:w="10219"/>
          </w:cols>
          <w:pgMar w:left="240" w:top="295" w:right="1440" w:bottom="1440" w:gutter="0" w:footer="0" w:header="0"/>
        </w:sectPr>
      </w:pPr>
    </w:p>
    <w:bookmarkStart w:id="261" w:name="page262"/>
    <w:bookmarkEnd w:id="261"/>
    <w:p>
      <w:pPr>
        <w:ind w:left="280"/>
        <w:spacing w:after="0"/>
        <w:rPr>
          <w:sz w:val="20"/>
          <w:szCs w:val="20"/>
          <w:color w:val="auto"/>
        </w:rPr>
      </w:pPr>
      <w:r>
        <w:rPr>
          <w:rFonts w:ascii="Courier New" w:cs="Courier New" w:eastAsia="Courier New" w:hAnsi="Courier New"/>
          <w:sz w:val="16"/>
          <w:szCs w:val="16"/>
          <w:color w:val="auto"/>
        </w:rPr>
        <w:t>258</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2</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CONVERSION OF SHARES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2.1 Conversion. At the Effective Time, by virtue of the Merger and without any action on the part of the holders thereof:</w:t>
      </w:r>
    </w:p>
    <w:p>
      <w:pPr>
        <w:spacing w:after="0" w:line="188" w:lineRule="exact"/>
        <w:rPr>
          <w:sz w:val="20"/>
          <w:szCs w:val="20"/>
          <w:color w:val="auto"/>
        </w:rPr>
      </w:pPr>
    </w:p>
    <w:p>
      <w:pPr>
        <w:ind w:left="460" w:right="2839" w:firstLine="483"/>
        <w:spacing w:after="0" w:line="239" w:lineRule="auto"/>
        <w:tabs>
          <w:tab w:leader="none" w:pos="131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Common Stock, par value $.01 per share, of USA Waste Delaware issued and outstanding immediately prior to the Effective Time shall be retired and cancelled without payment of any consideration therefor and without any conversions thereof.</w:t>
      </w:r>
    </w:p>
    <w:p>
      <w:pPr>
        <w:spacing w:after="0" w:line="187"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Common Stock, par value $.01 per share, of USA Waste Oklahoma issued and outstanding immediately prior to the Effective Time ("USA Waste Oklahoma Common Stock") (except for shares of USA Waste Oklahoma Common Stock held as treasury shares of USA Waste Oklahoma, all of which shall be retired and cancelled) shall automatically be converted by reason of the Merger and without any action by the holders thereof into and become one share of Common Stock of the Surviving Corporation ("USA Waste Delaware Common Stock"); the shares of USA Waste Oklahoma Common Stock so converted shall cease to exist as such and shall exist only as shares of USA Waste Delaware Common Stock.</w:t>
      </w:r>
    </w:p>
    <w:p>
      <w:pPr>
        <w:spacing w:after="0" w:line="188"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to purchase shares of USA Waste Oklahoma Common Stock outstanding immediately prior to the Effective Time under or pursuant to USA Waste Oklahoma's 1990 Stock Option Plan, USA Waste Oklahoma's 1993 Stock Incentive Plan and Envirofil's 1993 Stock Option Plan shall continue outstanding as an option to purchase, in lieu of the right to purchase shares of USA Waste Oklahoma Common Stock, the same number of shares of USA Waste Delaware Common Stock upon the same terms and conditions as applicable immediately prior to the Effective Time under the relevant Option Plan. To the extent that USA Waste Oklahoma has obligated itself to issue options prior to the Merger pursuant to the aforementioned Option Plans, the Surviving Corporation shall remain liable to issue such options upon the satisfaction of the conditions precedent to the issuance thereof, until such Option Plans are amended or terminated in accordance with their respective terms.</w:t>
      </w:r>
    </w:p>
    <w:p>
      <w:pPr>
        <w:spacing w:after="0" w:line="186"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warrant or option (other than options included in Section</w:t>
      </w:r>
    </w:p>
    <w:p>
      <w:pPr>
        <w:spacing w:after="0" w:line="5" w:lineRule="exact"/>
        <w:rPr>
          <w:sz w:val="20"/>
          <w:szCs w:val="20"/>
          <w:color w:val="auto"/>
        </w:rPr>
      </w:pPr>
    </w:p>
    <w:p>
      <w:pPr>
        <w:ind w:left="460" w:right="2759"/>
        <w:spacing w:after="0" w:line="239" w:lineRule="auto"/>
        <w:rPr>
          <w:sz w:val="20"/>
          <w:szCs w:val="20"/>
          <w:color w:val="auto"/>
        </w:rPr>
      </w:pPr>
      <w:r>
        <w:rPr>
          <w:rFonts w:ascii="Courier New" w:cs="Courier New" w:eastAsia="Courier New" w:hAnsi="Courier New"/>
          <w:sz w:val="16"/>
          <w:szCs w:val="16"/>
          <w:color w:val="auto"/>
        </w:rPr>
        <w:t>2.1(c)) to purchase shares of USA Waste Oklahoma Common Stock outstanding immediately prior to the Effective Time shall continue outstanding as a warrant or option to purchase, in lieu of the right to purchase each share of USA Waste Oklahoma Common Stock, the same number of shares of USA Waste Delaware Common Stock upon the same terms and conditions as applicable immediately prior to the Effective Time under the relevant warrant or option.</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2.2 Exchange of Certificates. (a) If the Merger is approved by the shareholders of USA Waste Oklahoma as described in Section 3.1(a), after the Effective Time, each holder of an outstanding certificate or certificates representing shares of USA Waste Oklahoma Common Stock may, but is not required to, surrender such certificate or certificates to USA Waste Oklahoma along with such other documents as may be deemed necessary by USA Waste Oklahoma and the Surviving Corporation effectively to surrender and exchange such certificate or certificates. From and after the Effective Time and until certificates representing shares of USA Waste Oklahoma Common Stock are surrendered for exchange or registration of transfer, all certificates that prior to the Effective Time of the Merger represented shares of USA Waste Oklahoma Common Stock shall be deemed for all purposes to represent and evidence the same number of shares of USA Waste Delaware Common Stock into which they were so converted under the terms of Section 2.1(b) of this Agreement.</w:t>
      </w:r>
    </w:p>
    <w:p>
      <w:pPr>
        <w:spacing w:after="0" w:line="181" w:lineRule="exact"/>
        <w:rPr>
          <w:sz w:val="20"/>
          <w:szCs w:val="20"/>
          <w:color w:val="auto"/>
        </w:rPr>
      </w:pPr>
    </w:p>
    <w:p>
      <w:pPr>
        <w:ind w:right="2659" w:firstLine="470"/>
        <w:spacing w:after="0"/>
        <w:tabs>
          <w:tab w:leader="none" w:pos="85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whenever certificates that formerly represented USA Waste Oklahoma Common Stock are presented for exchange or registration of transfer, the Surviving Corporation shall cause to be issued in respect thereof certificates representing an equal number of shares of the USA Waste Delaware Common Stock. If certificates for USA Waste Delaware Common Stock are to be delivered to or in the name of a person other than the person in whose name a surrendered certificate is registered, the surrendered certificate shall be properly endorsed or otherwise be in proper form for transfer and the person requesting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DD-3</w:t>
      </w:r>
    </w:p>
    <w:p>
      <w:pPr>
        <w:sectPr>
          <w:pgSz w:w="11900" w:h="16838" w:orient="portrait"/>
          <w:cols w:equalWidth="0" w:num="1">
            <w:col w:w="10219"/>
          </w:cols>
          <w:pgMar w:left="240" w:top="295" w:right="1440" w:bottom="1440" w:gutter="0" w:footer="0" w:header="0"/>
        </w:sectPr>
      </w:pPr>
    </w:p>
    <w:bookmarkStart w:id="262" w:name="page263"/>
    <w:bookmarkEnd w:id="262"/>
    <w:p>
      <w:pPr>
        <w:ind w:left="280"/>
        <w:spacing w:after="0"/>
        <w:rPr>
          <w:sz w:val="20"/>
          <w:szCs w:val="20"/>
          <w:color w:val="auto"/>
        </w:rPr>
      </w:pPr>
      <w:r>
        <w:rPr>
          <w:rFonts w:ascii="Courier New" w:cs="Courier New" w:eastAsia="Courier New" w:hAnsi="Courier New"/>
          <w:sz w:val="16"/>
          <w:szCs w:val="16"/>
          <w:color w:val="auto"/>
        </w:rPr>
        <w:t>259</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transfer shall pay to USA Waste Delaware all transfer or other taxes required by reason of the change in ownership or establish to USA Waste Delaware's satisfaction that such taxes have been or are not required to be paid.</w:t>
      </w:r>
    </w:p>
    <w:p>
      <w:pPr>
        <w:spacing w:after="0" w:line="188" w:lineRule="exact"/>
        <w:rPr>
          <w:sz w:val="20"/>
          <w:szCs w:val="20"/>
          <w:color w:val="auto"/>
        </w:rPr>
      </w:pPr>
    </w:p>
    <w:p>
      <w:pPr>
        <w:ind w:right="2759" w:firstLine="470"/>
        <w:spacing w:after="0" w:line="257" w:lineRule="auto"/>
        <w:tabs>
          <w:tab w:leader="none" w:pos="85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certificate formerly representing shares of USA Waste Oklahoma Common Stock shall have been lost, stolen, or destroyed, upon the making of an affidavit in form and substance satisfactory to USA Waste Delaware of that fact by the person claiming the certificate to be lost, stolen or destroyed and subject to such other conditions as USA Waste Delaware may reasonably impose, USA Waste Delaware shall issue in exchange for the lost, stolen or destroyed certificate a certificate representing the shares of USA Waste Delaware Common Stock. When authorizing the issuance of the shares of USA Waste Delaware Common Stock in exchange therefor, USA Waste Delaware may, in its discretion and as a condition precedent to the issuance thereof, require the owner of such a certificate to give USA Waste Delaware a bond or other indemnity in any amount reasonably satisfactory to USA Waste Delaware against any claim arising against USA Waste Delaware with respect to the stolen or destroyed certificate.</w:t>
      </w:r>
    </w:p>
    <w:p>
      <w:pPr>
        <w:spacing w:after="0" w:line="180" w:lineRule="exact"/>
        <w:rPr>
          <w:rFonts w:ascii="Courier New" w:cs="Courier New" w:eastAsia="Courier New" w:hAnsi="Courier New"/>
          <w:sz w:val="15"/>
          <w:szCs w:val="15"/>
          <w:color w:val="auto"/>
        </w:rPr>
      </w:pPr>
    </w:p>
    <w:p>
      <w:pPr>
        <w:ind w:right="3039" w:firstLine="470"/>
        <w:spacing w:after="0" w:line="259" w:lineRule="auto"/>
        <w:tabs>
          <w:tab w:leader="none" w:pos="85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USA Waste Delaware Common Stock into which USA Waste Oklahoma Common Stock shall have been converted pursuant to this Section 2.2 shall be deemed to have been issued in full satisfaction of all rights pertaining to such converted shares and shall, when issued pursuant to the provisions hereof, be validly issued, fully paid, and nonassessable.</w:t>
      </w:r>
    </w:p>
    <w:p>
      <w:pPr>
        <w:spacing w:after="0" w:line="17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3</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CONDITIONS TO CLOSING</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respective obligations of USA Waste Oklahoma and USA Waste Delaware to enter into the Merger are subject to the satisfaction at or prior to the Effective Time of the following conditions:</w:t>
      </w:r>
    </w:p>
    <w:p>
      <w:pPr>
        <w:spacing w:after="0" w:line="188" w:lineRule="exact"/>
        <w:rPr>
          <w:sz w:val="20"/>
          <w:szCs w:val="20"/>
          <w:color w:val="auto"/>
        </w:rPr>
      </w:pPr>
    </w:p>
    <w:p>
      <w:pPr>
        <w:ind w:left="460" w:right="2659" w:firstLine="483"/>
        <w:spacing w:after="0"/>
        <w:tabs>
          <w:tab w:leader="none" w:pos="131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This Agreement and the Merger shall have been authorized and approved by the shareholders of USA Waste Oklahoma in accordance with the provisions of Sections 1082 and 1083 of the Oklahoma General Corporation Act and the stockholder of USA Waste Delaware in accordance with Section 252 and 253 of the Delaware General Corporation Law. After approval and adoption of this Agreement by the shareholders of each of the Constituent Corporations, all required documents shall be executed, verified, filed, and recorded and all required acts shall be done in order to accomplish the Merger under the provisions of the applicable statutes of the States of Oklahoma and Delaware.</w:t>
      </w:r>
    </w:p>
    <w:p>
      <w:pPr>
        <w:spacing w:after="0" w:line="188" w:lineRule="exact"/>
        <w:rPr>
          <w:rFonts w:ascii="Courier New" w:cs="Courier New" w:eastAsia="Courier New" w:hAnsi="Courier New"/>
          <w:sz w:val="16"/>
          <w:szCs w:val="16"/>
          <w:color w:val="auto"/>
        </w:rPr>
      </w:pPr>
    </w:p>
    <w:p>
      <w:pPr>
        <w:ind w:left="460" w:right="2839" w:firstLine="483"/>
        <w:spacing w:after="0" w:line="238" w:lineRule="auto"/>
        <w:tabs>
          <w:tab w:leader="none" w:pos="131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The shares of USA Waste Delaware Common Stock to be issued or reserved for issuance shall have been approved for listing upon official notice of issuance by the New York Stock Exchange.</w:t>
      </w:r>
    </w:p>
    <w:p>
      <w:pPr>
        <w:spacing w:after="0" w:line="188" w:lineRule="exact"/>
        <w:rPr>
          <w:rFonts w:ascii="Courier New" w:cs="Courier New" w:eastAsia="Courier New" w:hAnsi="Courier New"/>
          <w:sz w:val="16"/>
          <w:szCs w:val="16"/>
          <w:color w:val="auto"/>
        </w:rPr>
      </w:pPr>
    </w:p>
    <w:p>
      <w:pPr>
        <w:ind w:left="460" w:right="2839" w:firstLine="483"/>
        <w:spacing w:after="0" w:line="238" w:lineRule="auto"/>
        <w:tabs>
          <w:tab w:leader="none" w:pos="131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USA Waste Oklahoma shall have received, in form and substance satisfactory to it, an opinion of Snell &amp; Smith, P.C. with respect to certain Federal income tax effects of the Merger.</w:t>
      </w:r>
    </w:p>
    <w:p>
      <w:pPr>
        <w:spacing w:after="0" w:line="184"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As of the Effective Time, no action, suit or</w:t>
      </w:r>
    </w:p>
    <w:p>
      <w:pPr>
        <w:spacing w:after="0" w:line="4" w:lineRule="exact"/>
        <w:rPr>
          <w:rFonts w:ascii="Courier New" w:cs="Courier New" w:eastAsia="Courier New" w:hAnsi="Courier New"/>
          <w:sz w:val="16"/>
          <w:szCs w:val="16"/>
          <w:color w:val="auto"/>
        </w:rPr>
      </w:pPr>
    </w:p>
    <w:p>
      <w:pPr>
        <w:ind w:left="46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proceeding shall have been instituted or, to the knowledge of the parties, be pending or threatened before any court or other governmental body by any public agency or governmental authority seeking to restrain, enjoin or prohibit the consummation of the transactions contemplated hereby or to seek damages on other relief in connection therewith against any officer or director of USA Waste Oklahoma or USA Waste Delaware.</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DD-4</w:t>
      </w:r>
    </w:p>
    <w:p>
      <w:pPr>
        <w:sectPr>
          <w:pgSz w:w="11900" w:h="16838" w:orient="portrait"/>
          <w:cols w:equalWidth="0" w:num="1">
            <w:col w:w="10219"/>
          </w:cols>
          <w:pgMar w:left="240" w:top="295" w:right="1440" w:bottom="1440" w:gutter="0" w:footer="0" w:header="0"/>
        </w:sectPr>
      </w:pPr>
    </w:p>
    <w:bookmarkStart w:id="263" w:name="page264"/>
    <w:bookmarkEnd w:id="263"/>
    <w:p>
      <w:pPr>
        <w:ind w:left="280"/>
        <w:spacing w:after="0"/>
        <w:rPr>
          <w:sz w:val="20"/>
          <w:szCs w:val="20"/>
          <w:color w:val="auto"/>
        </w:rPr>
      </w:pPr>
      <w:r>
        <w:rPr>
          <w:rFonts w:ascii="Courier New" w:cs="Courier New" w:eastAsia="Courier New" w:hAnsi="Courier New"/>
          <w:sz w:val="16"/>
          <w:szCs w:val="16"/>
          <w:color w:val="auto"/>
        </w:rPr>
        <w:t>260</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4</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ABANDONMENT OF MERGER</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Notwithstanding anything contained in this Agreement to the contrary, this Agreement may be terminated and the Merger abandoned at any time prior to the Effective Time, whether before or after adoption and approval of this Agreement by the shareholders of USA Waste Oklahoma:</w:t>
      </w:r>
    </w:p>
    <w:p>
      <w:pPr>
        <w:spacing w:after="0" w:line="187" w:lineRule="exact"/>
        <w:rPr>
          <w:sz w:val="20"/>
          <w:szCs w:val="20"/>
          <w:color w:val="auto"/>
        </w:rPr>
      </w:pPr>
    </w:p>
    <w:p>
      <w:pPr>
        <w:ind w:left="460" w:right="2659" w:firstLine="483"/>
        <w:spacing w:after="0" w:line="237" w:lineRule="auto"/>
        <w:tabs>
          <w:tab w:leader="none" w:pos="131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consent of the Boards of Directors of USA Waste Oklahoma and USA Waste Delaware; or</w:t>
      </w:r>
    </w:p>
    <w:p>
      <w:pPr>
        <w:spacing w:after="0" w:line="187" w:lineRule="exact"/>
        <w:rPr>
          <w:rFonts w:ascii="Courier New" w:cs="Courier New" w:eastAsia="Courier New" w:hAnsi="Courier New"/>
          <w:sz w:val="16"/>
          <w:szCs w:val="16"/>
          <w:color w:val="auto"/>
        </w:rPr>
      </w:pPr>
    </w:p>
    <w:p>
      <w:pPr>
        <w:ind w:left="460" w:right="2759" w:firstLine="483"/>
        <w:spacing w:after="0"/>
        <w:tabs>
          <w:tab w:leader="none" w:pos="131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Board of Directors of USA Waste Oklahoma or the Board of Directors of USA Waste Delaware if a court of competent jurisdiction or governmental, regulatory or administrative agency or commission shall have issued an order, decree or ruling (which order, decree or ruling the parties shall use their best efforts to have vacated or reversed), in each case permanently restraining, enjoining or otherwise prohibiting the transactions contemplated by this Agreement, and such order, decree or ruling shall have become final and nonappealable; or</w:t>
      </w:r>
    </w:p>
    <w:p>
      <w:pPr>
        <w:spacing w:after="0" w:line="186" w:lineRule="exact"/>
        <w:rPr>
          <w:rFonts w:ascii="Courier New" w:cs="Courier New" w:eastAsia="Courier New" w:hAnsi="Courier New"/>
          <w:sz w:val="16"/>
          <w:szCs w:val="16"/>
          <w:color w:val="auto"/>
        </w:rPr>
      </w:pPr>
    </w:p>
    <w:p>
      <w:pPr>
        <w:jc w:val="both"/>
        <w:ind w:left="460" w:right="2759" w:firstLine="483"/>
        <w:spacing w:after="0" w:line="239" w:lineRule="auto"/>
        <w:tabs>
          <w:tab w:leader="none" w:pos="131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Board of Directors of USA Waste Oklahoma, if such Board of Directors determines that the consummation of the transaction provided for herein would not, for any reason, be in the best interests of USA Waste Oklahoma and its shareholders.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MISCELLANEOUS PROVISIONS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5.1 Complete Agreement. This Agreement contains a complete and exclusive statement of the agreement of the parties with respect to the subject matter hereof, and all prior negotiations and agreements between the parties are superseded by this Agreement.</w:t>
      </w:r>
    </w:p>
    <w:p>
      <w:pPr>
        <w:spacing w:after="0" w:line="187"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5.2 Waiver and Amendment. Any representation, warranty, covenant, term or condition of this Agreement which may legally be waived, may be waived, or the time of performance thereof extended, at any time by the party entitled to the benefit thereof, and any term, condition or covenant hereof (including, without limitation, the period during which any condition is to be satisfied or any obligation performed) may be amended by the parties at any time. Any waiver, extension or amendment shall be evidenced by any instrument in writing executed on behalf of the appropriate party or parties or on its behalf by its Chairman, President or any Vice President or other person who has been authorized by its Board of Directors to execute waivers, extensions or amendments on its behalf.</w:t>
      </w:r>
    </w:p>
    <w:p>
      <w:pPr>
        <w:spacing w:after="0" w:line="174" w:lineRule="exact"/>
        <w:rPr>
          <w:sz w:val="20"/>
          <w:szCs w:val="20"/>
          <w:color w:val="auto"/>
        </w:rPr>
      </w:pPr>
    </w:p>
    <w:p>
      <w:pPr>
        <w:ind w:right="3119" w:firstLine="473"/>
        <w:spacing w:after="0" w:line="239" w:lineRule="auto"/>
        <w:rPr>
          <w:sz w:val="20"/>
          <w:szCs w:val="20"/>
          <w:color w:val="auto"/>
        </w:rPr>
      </w:pPr>
      <w:r>
        <w:rPr>
          <w:rFonts w:ascii="Courier New" w:cs="Courier New" w:eastAsia="Courier New" w:hAnsi="Courier New"/>
          <w:sz w:val="16"/>
          <w:szCs w:val="16"/>
          <w:color w:val="auto"/>
        </w:rPr>
        <w:t>5.3 Assignment; Binding Effect. This Agreement may not be assigned by either party without the written consent of the other party. This Agreement shall be binding upon and inure to the benefit of the parties and their respective successors and permitted assigns.</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5.4 Notices. Any notice, demand, claim or other communication under this Agreement shall be in writing and shall be deemed to have been given upon the delivery or mailing thereof, as the case may be, if delivered personally or sent by certified mail, return receipt requested, postage prepaid, to the parties at such address as a party may specify by notice to the other.</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5.5 Additional Agreements. Subject to the terms and conditions of this Agreement, each of the parties agrees to use its best efforts in good faith to take or cause to be taken as promptly as practicable all action and to do or cause to be done all things necessary or advisable to consummate and make effective the transaction contemplated by this Agreement. In case at any time after the Effective Time any further action is necessary or advisable to carry out the purposes of this Agreement, each party to this Agreement shall take all such action. If at any time the Surviving Corporation shall consider or be advised that any further assignment or assurance in law or other action is necessary or desirable to vest, perfect, or confirm, of record or otherwise, in the Surviving Corporation the title to any property or rights of USA Waste Oklahoma acquired or to be acquired as a result of the Merger, the proper officers and directors of USA Waste Oklahoma and of the Surviving Corporation shall be and they hereby are severally and fully authorized to execute and deliver such</w:t>
      </w:r>
    </w:p>
    <w:p>
      <w:pPr>
        <w:spacing w:after="0" w:line="18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DD-5</w:t>
      </w:r>
    </w:p>
    <w:p>
      <w:pPr>
        <w:sectPr>
          <w:pgSz w:w="11900" w:h="16838" w:orient="portrait"/>
          <w:cols w:equalWidth="0" w:num="1">
            <w:col w:w="10219"/>
          </w:cols>
          <w:pgMar w:left="240" w:top="295" w:right="1440" w:bottom="1440" w:gutter="0" w:footer="0" w:header="0"/>
        </w:sectPr>
      </w:pPr>
    </w:p>
    <w:bookmarkStart w:id="264" w:name="page265"/>
    <w:bookmarkEnd w:id="264"/>
    <w:p>
      <w:pPr>
        <w:ind w:left="280"/>
        <w:spacing w:after="0"/>
        <w:rPr>
          <w:sz w:val="20"/>
          <w:szCs w:val="20"/>
          <w:color w:val="auto"/>
        </w:rPr>
      </w:pPr>
      <w:r>
        <w:rPr>
          <w:rFonts w:ascii="Courier New" w:cs="Courier New" w:eastAsia="Courier New" w:hAnsi="Courier New"/>
          <w:sz w:val="16"/>
          <w:szCs w:val="16"/>
          <w:color w:val="auto"/>
        </w:rPr>
        <w:t>261</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deeds, assignments, and assurances in law and to take such other action as may be necessary or proper in the name of USA Waste Oklahoma or the Surviving Corporation, respectively, to vest, perfect, or confirm title to such property or rights in the Surviving Corporation and otherwise to carry out the purpose of this Agreement.</w:t>
      </w:r>
    </w:p>
    <w:p>
      <w:pPr>
        <w:spacing w:after="0" w:line="189" w:lineRule="exact"/>
        <w:rPr>
          <w:sz w:val="20"/>
          <w:szCs w:val="20"/>
          <w:color w:val="auto"/>
        </w:rPr>
      </w:pPr>
    </w:p>
    <w:p>
      <w:pPr>
        <w:ind w:right="2939" w:firstLine="473"/>
        <w:spacing w:after="0" w:line="262" w:lineRule="auto"/>
        <w:rPr>
          <w:sz w:val="20"/>
          <w:szCs w:val="20"/>
          <w:color w:val="auto"/>
        </w:rPr>
      </w:pPr>
      <w:r>
        <w:rPr>
          <w:rFonts w:ascii="Courier New" w:cs="Courier New" w:eastAsia="Courier New" w:hAnsi="Courier New"/>
          <w:sz w:val="15"/>
          <w:szCs w:val="15"/>
          <w:color w:val="auto"/>
        </w:rPr>
        <w:t>5.6 Governing Law. As to all matters of law, this Agreement shall be governed by and construed in accordance with Delaware law, regardless of the laws that might otherwise be applicable under principles of conflicts of law.</w:t>
      </w:r>
    </w:p>
    <w:p>
      <w:pPr>
        <w:spacing w:after="0" w:line="171"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5.7 Headings. Any headings in this Agreement are solely for convenience of reference and shall not affect its interpretation.</w:t>
      </w:r>
    </w:p>
    <w:p>
      <w:pPr>
        <w:spacing w:after="0" w:line="188"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5.8 Execution of Counterparts. This Agreement may be executed in several counterparts, each of which shall be deemed an original and all of which together shall constitute one and the same instrument.</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5.9 Severability. If any provision of this Agreement is held or deemed to be, or in fact is, invalid, inoperative or unenforceable for any reason, this Agreement shall be construed as though such invalid, inoperative or unenforceable provision had never been contained in this Agreement.</w:t>
      </w:r>
    </w:p>
    <w:p>
      <w:pPr>
        <w:spacing w:after="0" w:line="187"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parties hereto have executed and delivered this Agreement on the day and year first above written.</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Oklahoma corporation</w:t>
      </w:r>
    </w:p>
    <w:p>
      <w:pPr>
        <w:spacing w:after="0" w:line="186" w:lineRule="exact"/>
        <w:rPr>
          <w:sz w:val="20"/>
          <w:szCs w:val="20"/>
          <w:color w:val="auto"/>
        </w:rPr>
      </w:pPr>
    </w:p>
    <w:p>
      <w:pPr>
        <w:sectPr>
          <w:pgSz w:w="11900" w:h="16838" w:orient="portrait"/>
          <w:cols w:equalWidth="0" w:num="2">
            <w:col w:w="3920" w:space="720"/>
            <w:col w:w="5579"/>
          </w:cols>
          <w:pgMar w:left="240" w:top="295" w:right="1440" w:bottom="1440" w:gutter="0" w:footer="0" w:header="0"/>
          <w:type w:val="continuous"/>
        </w:sectPr>
      </w:pPr>
    </w:p>
    <w:p>
      <w:pPr>
        <w:ind w:right="1460"/>
        <w:spacing w:after="0" w:line="262" w:lineRule="auto"/>
        <w:rPr>
          <w:sz w:val="20"/>
          <w:szCs w:val="20"/>
          <w:color w:val="auto"/>
        </w:rPr>
      </w:pPr>
      <w:r>
        <w:rPr>
          <w:rFonts w:ascii="Courier New" w:cs="Courier New" w:eastAsia="Courier New" w:hAnsi="Courier New"/>
          <w:sz w:val="15"/>
          <w:szCs w:val="15"/>
          <w:color w:val="auto"/>
        </w:rPr>
        <w:t>__________________________ Name: Gregory T. Sangalis Title: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ectPr>
          <w:pgSz w:w="11900" w:h="16838" w:orient="portrait"/>
          <w:cols w:equalWidth="0" w:num="2">
            <w:col w:w="3920" w:space="720"/>
            <w:col w:w="557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186" w:lineRule="exact"/>
        <w:rPr>
          <w:sz w:val="20"/>
          <w:szCs w:val="20"/>
          <w:color w:val="auto"/>
        </w:rPr>
      </w:pPr>
    </w:p>
    <w:p>
      <w:pPr>
        <w:sectPr>
          <w:pgSz w:w="11900" w:h="16838" w:orient="portrait"/>
          <w:cols w:equalWidth="0" w:num="2">
            <w:col w:w="3920" w:space="720"/>
            <w:col w:w="5579"/>
          </w:cols>
          <w:pgMar w:left="240" w:top="295" w:right="1440" w:bottom="1440" w:gutter="0" w:footer="0" w:header="0"/>
          <w:type w:val="continuous"/>
        </w:sectPr>
      </w:pPr>
    </w:p>
    <w:p>
      <w:pPr>
        <w:ind w:right="1460"/>
        <w:spacing w:after="0" w:line="262" w:lineRule="auto"/>
        <w:rPr>
          <w:sz w:val="20"/>
          <w:szCs w:val="20"/>
          <w:color w:val="auto"/>
        </w:rPr>
      </w:pPr>
      <w:r>
        <w:rPr>
          <w:rFonts w:ascii="Courier New" w:cs="Courier New" w:eastAsia="Courier New" w:hAnsi="Courier New"/>
          <w:sz w:val="15"/>
          <w:szCs w:val="15"/>
          <w:color w:val="auto"/>
        </w:rPr>
        <w:t>__________________________ Name: Gregory T. Sangalis Title: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5" w:lineRule="exact"/>
        <w:rPr>
          <w:sz w:val="20"/>
          <w:szCs w:val="20"/>
          <w:color w:val="auto"/>
        </w:rPr>
      </w:pPr>
    </w:p>
    <w:p>
      <w:pPr>
        <w:sectPr>
          <w:pgSz w:w="11900" w:h="16838" w:orient="portrait"/>
          <w:cols w:equalWidth="0" w:num="2">
            <w:col w:w="3920" w:space="720"/>
            <w:col w:w="5579"/>
          </w:cols>
          <w:pgMar w:left="240" w:top="295" w:right="1440" w:bottom="1440" w:gutter="0" w:footer="0" w:header="0"/>
          <w:type w:val="continuous"/>
        </w:sectPr>
      </w:pPr>
    </w:p>
    <w:p>
      <w:pPr>
        <w:spacing w:after="0" w:line="15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DD-6</w:t>
      </w:r>
    </w:p>
    <w:p>
      <w:pPr>
        <w:sectPr>
          <w:pgSz w:w="11900" w:h="16838" w:orient="portrait"/>
          <w:cols w:equalWidth="0" w:num="1">
            <w:col w:w="10219"/>
          </w:cols>
          <w:pgMar w:left="240" w:top="295" w:right="1440" w:bottom="1440" w:gutter="0" w:footer="0" w:header="0"/>
          <w:type w:val="continuous"/>
        </w:sectPr>
      </w:pPr>
    </w:p>
    <w:bookmarkStart w:id="265" w:name="page266"/>
    <w:bookmarkEnd w:id="265"/>
    <w:p>
      <w:pPr>
        <w:ind w:left="280"/>
        <w:spacing w:after="0"/>
        <w:rPr>
          <w:sz w:val="20"/>
          <w:szCs w:val="20"/>
          <w:color w:val="auto"/>
        </w:rPr>
      </w:pPr>
      <w:r>
        <w:rPr>
          <w:rFonts w:ascii="Courier New" w:cs="Courier New" w:eastAsia="Courier New" w:hAnsi="Courier New"/>
          <w:sz w:val="16"/>
          <w:szCs w:val="16"/>
          <w:color w:val="auto"/>
        </w:rPr>
        <w:t>262</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CERTIFICATE OF INCORPORATION</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First: The name of the Corporation is USA Waste Services, Inc.</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189"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Third: The nature of the business, objects and purposes to be transacted, promoted or carried on by the Corporation is:</w:t>
      </w:r>
    </w:p>
    <w:p>
      <w:pPr>
        <w:spacing w:after="0" w:line="188" w:lineRule="exact"/>
        <w:rPr>
          <w:sz w:val="20"/>
          <w:szCs w:val="20"/>
          <w:color w:val="auto"/>
        </w:rPr>
      </w:pPr>
    </w:p>
    <w:p>
      <w:pPr>
        <w:ind w:left="460" w:right="3419" w:firstLine="473"/>
        <w:spacing w:after="0" w:line="237" w:lineRule="auto"/>
        <w:rPr>
          <w:sz w:val="20"/>
          <w:szCs w:val="20"/>
          <w:color w:val="auto"/>
        </w:rPr>
      </w:pPr>
      <w:r>
        <w:rPr>
          <w:rFonts w:ascii="Courier New" w:cs="Courier New" w:eastAsia="Courier New" w:hAnsi="Courier New"/>
          <w:sz w:val="16"/>
          <w:szCs w:val="16"/>
          <w:color w:val="auto"/>
        </w:rPr>
        <w:t>To engage in any lawful activity for which corporations may be organized under the General Corporation Law of Delaware.</w:t>
      </w:r>
    </w:p>
    <w:p>
      <w:pPr>
        <w:spacing w:after="0" w:line="188"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Fourth: The total number of shares of capital stock which the Corporation shall have authority to issue is one hundred sixty million (160,000,000), divided into one hundred fifty million (150,000,000) shares of Common Stock of the par value of one cent ($0.01) per share and ten million (10,000,000) shares of Preferred Stock of the par value of one cent ($0.01) per share.</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such rights, if any, as the Board of Directors in its discretion from time to time may grant and at such price as the Board of Directors in its discretion may fix.</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B. The holders of Common Stock shall have the right to one vote per share on all questions to the exclusion of all other classes of stock, except as by law expressly provided or as otherwise herein expressly provided with respect to the holders of any other class or classes of stock.</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188" w:lineRule="exact"/>
        <w:rPr>
          <w:sz w:val="20"/>
          <w:szCs w:val="20"/>
          <w:color w:val="auto"/>
        </w:rPr>
      </w:pPr>
    </w:p>
    <w:p>
      <w:pPr>
        <w:ind w:left="460" w:right="2759" w:firstLine="483"/>
        <w:spacing w:after="0" w:line="237" w:lineRule="auto"/>
        <w:tabs>
          <w:tab w:leader="none" w:pos="131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constituting that series and the distinctive designation of that series;</w:t>
      </w:r>
    </w:p>
    <w:p>
      <w:pPr>
        <w:spacing w:after="0" w:line="187"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187" w:lineRule="exact"/>
        <w:rPr>
          <w:rFonts w:ascii="Courier New" w:cs="Courier New" w:eastAsia="Courier New" w:hAnsi="Courier New"/>
          <w:sz w:val="16"/>
          <w:szCs w:val="16"/>
          <w:color w:val="auto"/>
        </w:rPr>
      </w:pPr>
    </w:p>
    <w:p>
      <w:pPr>
        <w:ind w:left="460" w:right="2659" w:firstLine="483"/>
        <w:spacing w:after="0" w:line="267" w:lineRule="auto"/>
        <w:tabs>
          <w:tab w:leader="none" w:pos="131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voting rights, in addition to the voting rights provided by law, and, if so, the terms of such voting rights;</w:t>
      </w:r>
    </w:p>
    <w:p>
      <w:pPr>
        <w:spacing w:after="0" w:line="167" w:lineRule="exact"/>
        <w:rPr>
          <w:rFonts w:ascii="Courier New" w:cs="Courier New" w:eastAsia="Courier New" w:hAnsi="Courier New"/>
          <w:sz w:val="15"/>
          <w:szCs w:val="15"/>
          <w:color w:val="auto"/>
        </w:rPr>
      </w:pPr>
    </w:p>
    <w:p>
      <w:pPr>
        <w:ind w:left="460" w:right="2759" w:firstLine="483"/>
        <w:spacing w:after="0" w:line="239" w:lineRule="auto"/>
        <w:tabs>
          <w:tab w:leader="none" w:pos="131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ectPr>
          <w:pgSz w:w="11900" w:h="16838" w:orient="portrait"/>
          <w:cols w:equalWidth="0" w:num="1">
            <w:col w:w="10219"/>
          </w:cols>
          <w:pgMar w:left="240" w:top="295" w:right="1440" w:bottom="1440" w:gutter="0" w:footer="0" w:header="0"/>
        </w:sectPr>
      </w:pPr>
    </w:p>
    <w:bookmarkStart w:id="266" w:name="page267"/>
    <w:bookmarkEnd w:id="266"/>
    <w:p>
      <w:pPr>
        <w:ind w:left="283"/>
        <w:spacing w:after="0"/>
        <w:rPr>
          <w:sz w:val="20"/>
          <w:szCs w:val="20"/>
          <w:color w:val="auto"/>
        </w:rPr>
      </w:pPr>
      <w:r>
        <w:rPr>
          <w:rFonts w:ascii="Courier New" w:cs="Courier New" w:eastAsia="Courier New" w:hAnsi="Courier New"/>
          <w:sz w:val="16"/>
          <w:szCs w:val="16"/>
          <w:color w:val="auto"/>
        </w:rPr>
        <w:t>263</w:t>
      </w:r>
    </w:p>
    <w:p>
      <w:pPr>
        <w:spacing w:after="0" w:line="186" w:lineRule="exact"/>
        <w:rPr>
          <w:sz w:val="20"/>
          <w:szCs w:val="20"/>
          <w:color w:val="auto"/>
        </w:rPr>
      </w:pPr>
    </w:p>
    <w:p>
      <w:pPr>
        <w:ind w:left="463" w:right="2659" w:firstLine="483"/>
        <w:spacing w:after="0" w:line="239" w:lineRule="auto"/>
        <w:tabs>
          <w:tab w:leader="none" w:pos="1314"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188" w:lineRule="exact"/>
        <w:rPr>
          <w:rFonts w:ascii="Courier New" w:cs="Courier New" w:eastAsia="Courier New" w:hAnsi="Courier New"/>
          <w:sz w:val="16"/>
          <w:szCs w:val="16"/>
          <w:color w:val="auto"/>
        </w:rPr>
      </w:pPr>
    </w:p>
    <w:p>
      <w:pPr>
        <w:jc w:val="both"/>
        <w:ind w:left="463" w:right="2839" w:firstLine="483"/>
        <w:spacing w:after="0" w:line="238" w:lineRule="auto"/>
        <w:tabs>
          <w:tab w:leader="none" w:pos="1314"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a sinking fund for the redemption or purchase of shares of that series, and, if so, the terms and amount of such sinking fund;</w:t>
      </w:r>
    </w:p>
    <w:p>
      <w:pPr>
        <w:spacing w:after="0" w:line="188" w:lineRule="exact"/>
        <w:rPr>
          <w:rFonts w:ascii="Courier New" w:cs="Courier New" w:eastAsia="Courier New" w:hAnsi="Courier New"/>
          <w:sz w:val="16"/>
          <w:szCs w:val="16"/>
          <w:color w:val="auto"/>
        </w:rPr>
      </w:pPr>
    </w:p>
    <w:p>
      <w:pPr>
        <w:ind w:left="463" w:right="2759" w:firstLine="483"/>
        <w:spacing w:after="0" w:line="239" w:lineRule="auto"/>
        <w:tabs>
          <w:tab w:leader="none" w:pos="1314"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87" w:lineRule="exact"/>
        <w:rPr>
          <w:rFonts w:ascii="Courier New" w:cs="Courier New" w:eastAsia="Courier New" w:hAnsi="Courier New"/>
          <w:sz w:val="16"/>
          <w:szCs w:val="16"/>
          <w:color w:val="auto"/>
        </w:rPr>
      </w:pPr>
    </w:p>
    <w:p>
      <w:pPr>
        <w:ind w:left="463" w:right="3039" w:firstLine="483"/>
        <w:spacing w:after="0" w:line="237" w:lineRule="auto"/>
        <w:tabs>
          <w:tab w:leader="none" w:pos="1314"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relative rights, preferences and limitations of that series; or</w:t>
      </w:r>
    </w:p>
    <w:p>
      <w:pPr>
        <w:spacing w:after="0" w:line="183" w:lineRule="exact"/>
        <w:rPr>
          <w:rFonts w:ascii="Courier New" w:cs="Courier New" w:eastAsia="Courier New" w:hAnsi="Courier New"/>
          <w:sz w:val="16"/>
          <w:szCs w:val="16"/>
          <w:color w:val="auto"/>
        </w:rPr>
      </w:pPr>
    </w:p>
    <w:p>
      <w:pPr>
        <w:ind w:left="1323" w:hanging="377"/>
        <w:spacing w:after="0"/>
        <w:tabs>
          <w:tab w:leader="none" w:pos="1323"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 all of the foregoing terms.</w:t>
      </w:r>
    </w:p>
    <w:p>
      <w:pPr>
        <w:spacing w:after="0" w:line="186" w:lineRule="exact"/>
        <w:rPr>
          <w:rFonts w:ascii="Courier New" w:cs="Courier New" w:eastAsia="Courier New" w:hAnsi="Courier New"/>
          <w:sz w:val="16"/>
          <w:szCs w:val="16"/>
          <w:color w:val="auto"/>
        </w:rPr>
      </w:pPr>
    </w:p>
    <w:p>
      <w:pPr>
        <w:ind w:left="3" w:right="2759" w:firstLine="470"/>
        <w:spacing w:after="0"/>
        <w:tabs>
          <w:tab w:leader="none" w:pos="7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187" w:lineRule="exact"/>
        <w:rPr>
          <w:rFonts w:ascii="Courier New" w:cs="Courier New" w:eastAsia="Courier New" w:hAnsi="Courier New"/>
          <w:sz w:val="16"/>
          <w:szCs w:val="16"/>
          <w:color w:val="auto"/>
        </w:rPr>
      </w:pPr>
    </w:p>
    <w:p>
      <w:pPr>
        <w:ind w:left="3" w:right="2659" w:firstLine="470"/>
        <w:spacing w:after="0" w:line="257" w:lineRule="auto"/>
        <w:tabs>
          <w:tab w:leader="none" w:pos="76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181" w:lineRule="exact"/>
        <w:rPr>
          <w:sz w:val="20"/>
          <w:szCs w:val="20"/>
          <w:color w:val="auto"/>
        </w:rPr>
      </w:pPr>
    </w:p>
    <w:p>
      <w:pPr>
        <w:ind w:left="3" w:right="2939" w:firstLine="473"/>
        <w:spacing w:after="0" w:line="238" w:lineRule="auto"/>
        <w:rPr>
          <w:sz w:val="20"/>
          <w:szCs w:val="20"/>
          <w:color w:val="auto"/>
        </w:rPr>
      </w:pPr>
      <w:r>
        <w:rPr>
          <w:rFonts w:ascii="Courier New" w:cs="Courier New" w:eastAsia="Courier New" w:hAnsi="Courier New"/>
          <w:sz w:val="16"/>
          <w:szCs w:val="16"/>
          <w:color w:val="auto"/>
        </w:rPr>
        <w:t>Fifth: The name and mailing address of the incorporator is John T. Unger and his mailing address is 1000 Louisiana, Suite 3650, Houston, Texas 77002-5012.</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Sixth: The Corporation is to have perpetual existence.</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Seventh: Elections of directors need not be by written ballot unless the bylaws of the Corporation shall so provide. Meetings of stockholders may be held within or without the State of Delaware, as the bylaws may provide. 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192"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Eighth: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w:t>
      </w:r>
    </w:p>
    <w:p>
      <w:pPr>
        <w:spacing w:after="0" w:line="4" w:lineRule="exact"/>
        <w:rPr>
          <w:sz w:val="20"/>
          <w:szCs w:val="20"/>
          <w:color w:val="auto"/>
        </w:rPr>
      </w:pPr>
    </w:p>
    <w:p>
      <w:pPr>
        <w:ind w:left="3" w:right="2659" w:hanging="3"/>
        <w:spacing w:after="0" w:line="257" w:lineRule="auto"/>
        <w:tabs>
          <w:tab w:leader="none" w:pos="57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Certificate of Incorporation nor any amendment, alteration, or repeal of this Article Eighth, nor the adoption of any provision of the Certificate of Incorporation inconsistent with this Article Eighth, shall adversely effect, eliminate, or reduce any right or protection of a director of the Corporation hereunder with respect to any act, omission or matter occurring, or any action, suit, or claim that, but for this Article Eighth, would accrue or arise, prior to the time of such</w:t>
      </w:r>
    </w:p>
    <w:p>
      <w:pPr>
        <w:spacing w:after="0" w:line="17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EE-2</w:t>
      </w:r>
    </w:p>
    <w:p>
      <w:pPr>
        <w:sectPr>
          <w:pgSz w:w="11900" w:h="16838" w:orient="portrait"/>
          <w:cols w:equalWidth="0" w:num="1">
            <w:col w:w="10222"/>
          </w:cols>
          <w:pgMar w:left="237" w:top="295" w:right="1440" w:bottom="1440" w:gutter="0" w:footer="0" w:header="0"/>
        </w:sectPr>
      </w:pPr>
    </w:p>
    <w:bookmarkStart w:id="267" w:name="page268"/>
    <w:bookmarkEnd w:id="267"/>
    <w:p>
      <w:pPr>
        <w:ind w:left="280"/>
        <w:spacing w:after="0"/>
        <w:rPr>
          <w:sz w:val="20"/>
          <w:szCs w:val="20"/>
          <w:color w:val="auto"/>
        </w:rPr>
      </w:pPr>
      <w:r>
        <w:rPr>
          <w:rFonts w:ascii="Courier New" w:cs="Courier New" w:eastAsia="Courier New" w:hAnsi="Courier New"/>
          <w:sz w:val="16"/>
          <w:szCs w:val="16"/>
          <w:color w:val="auto"/>
        </w:rPr>
        <w:t>264</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amendment, modification, repeal, or adoption of an inconsistent provision. All references in this Article to a "director" shall also be deemed to refer to such person or persons, if any, who pursuant to a provision of the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Ninth: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Ninth shall be deemed to have met the standard of conduct required for such indemnification unless the contrary shall be established.</w:t>
      </w:r>
    </w:p>
    <w:p>
      <w:pPr>
        <w:spacing w:after="0" w:line="19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Tenth: (A) Except as otherwise provided in this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88" w:lineRule="exact"/>
        <w:rPr>
          <w:sz w:val="20"/>
          <w:szCs w:val="20"/>
          <w:color w:val="auto"/>
        </w:rPr>
      </w:pPr>
    </w:p>
    <w:p>
      <w:pPr>
        <w:ind w:right="2659" w:firstLine="470"/>
        <w:spacing w:after="0" w:line="257" w:lineRule="auto"/>
        <w:tabs>
          <w:tab w:leader="none" w:pos="85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62" w:lineRule="exact"/>
        <w:rPr>
          <w:rFonts w:ascii="Courier New" w:cs="Courier New" w:eastAsia="Courier New" w:hAnsi="Courier New"/>
          <w:sz w:val="15"/>
          <w:szCs w:val="15"/>
          <w:color w:val="auto"/>
        </w:rPr>
      </w:pPr>
    </w:p>
    <w:p>
      <w:pPr>
        <w:ind w:right="2659" w:firstLine="470"/>
        <w:spacing w:after="0"/>
        <w:tabs>
          <w:tab w:leader="none" w:pos="85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pursuant to the provisions of this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EE-3</w:t>
      </w:r>
    </w:p>
    <w:p>
      <w:pPr>
        <w:sectPr>
          <w:pgSz w:w="11900" w:h="16838" w:orient="portrait"/>
          <w:cols w:equalWidth="0" w:num="1">
            <w:col w:w="10219"/>
          </w:cols>
          <w:pgMar w:left="240" w:top="295" w:right="1440" w:bottom="1440" w:gutter="0" w:footer="0" w:header="0"/>
        </w:sectPr>
      </w:pPr>
    </w:p>
    <w:bookmarkStart w:id="268" w:name="page269"/>
    <w:bookmarkEnd w:id="268"/>
    <w:p>
      <w:pPr>
        <w:ind w:left="280"/>
        <w:spacing w:after="0"/>
        <w:rPr>
          <w:sz w:val="20"/>
          <w:szCs w:val="20"/>
          <w:color w:val="auto"/>
        </w:rPr>
      </w:pPr>
      <w:r>
        <w:rPr>
          <w:rFonts w:ascii="Courier New" w:cs="Courier New" w:eastAsia="Courier New" w:hAnsi="Courier New"/>
          <w:sz w:val="16"/>
          <w:szCs w:val="16"/>
          <w:color w:val="auto"/>
        </w:rPr>
        <w:t>265</w:t>
      </w:r>
    </w:p>
    <w:p>
      <w:pPr>
        <w:spacing w:after="0" w:line="186" w:lineRule="exact"/>
        <w:rPr>
          <w:sz w:val="20"/>
          <w:szCs w:val="20"/>
          <w:color w:val="auto"/>
        </w:rPr>
      </w:pPr>
    </w:p>
    <w:p>
      <w:pPr>
        <w:ind w:right="2659" w:firstLine="470"/>
        <w:spacing w:after="0" w:line="258" w:lineRule="auto"/>
        <w:tabs>
          <w:tab w:leader="none" w:pos="85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77" w:lineRule="exact"/>
        <w:rPr>
          <w:rFonts w:ascii="Courier New" w:cs="Courier New" w:eastAsia="Courier New" w:hAnsi="Courier New"/>
          <w:sz w:val="15"/>
          <w:szCs w:val="15"/>
          <w:color w:val="auto"/>
        </w:rPr>
      </w:pPr>
    </w:p>
    <w:p>
      <w:pPr>
        <w:ind w:right="2659" w:firstLine="470"/>
        <w:spacing w:after="0" w:line="239" w:lineRule="auto"/>
        <w:tabs>
          <w:tab w:leader="none" w:pos="85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91" w:lineRule="exact"/>
        <w:rPr>
          <w:rFonts w:ascii="Courier New" w:cs="Courier New" w:eastAsia="Courier New" w:hAnsi="Courier New"/>
          <w:sz w:val="16"/>
          <w:szCs w:val="16"/>
          <w:color w:val="auto"/>
        </w:rPr>
      </w:pPr>
    </w:p>
    <w:p>
      <w:pPr>
        <w:ind w:right="2759" w:firstLine="470"/>
        <w:spacing w:after="0"/>
        <w:tabs>
          <w:tab w:leader="none" w:pos="85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Certificate of Incorporation applicable thereto, and such directors so elected shall not be divided into classes pursuant to this Article Tenth unless expressly provided by such terms.</w:t>
      </w:r>
    </w:p>
    <w:p>
      <w:pPr>
        <w:spacing w:after="0" w:line="182"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Certificate of</w:t>
      </w:r>
    </w:p>
    <w:p>
      <w:pPr>
        <w:spacing w:after="0" w:line="4" w:lineRule="exact"/>
        <w:rPr>
          <w:rFonts w:ascii="Courier New" w:cs="Courier New" w:eastAsia="Courier New" w:hAnsi="Courier New"/>
          <w:sz w:val="16"/>
          <w:szCs w:val="16"/>
          <w:color w:val="auto"/>
        </w:rPr>
      </w:pPr>
    </w:p>
    <w:p>
      <w:pPr>
        <w:ind w:right="283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or the bylaws of the Corporation (and notwithstanding the fact that a lesser percentage may be specified by law, this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Tenth, but only if notice of the proposed alteration or amendment was contained in the notice of such meeting.</w:t>
      </w:r>
    </w:p>
    <w:p>
      <w:pPr>
        <w:spacing w:after="0" w:line="18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Eleventh: The names and mailing addresses of the initial directors who are to serve as directors until the first annual meeting of stockholders or until their successors are elected and qualify are:</w:t>
      </w:r>
    </w:p>
    <w:p>
      <w:pPr>
        <w:spacing w:after="0" w:line="200" w:lineRule="exact"/>
        <w:rPr>
          <w:sz w:val="20"/>
          <w:szCs w:val="20"/>
          <w:color w:val="auto"/>
        </w:rPr>
      </w:pPr>
    </w:p>
    <w:p>
      <w:pPr>
        <w:spacing w:after="0" w:line="348"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2540" w:type="dxa"/>
            <w:vAlign w:val="bottom"/>
          </w:tcPr>
          <w:p>
            <w:pPr>
              <w:ind w:left="940"/>
              <w:spacing w:after="0"/>
              <w:rPr>
                <w:sz w:val="20"/>
                <w:szCs w:val="20"/>
                <w:color w:val="auto"/>
              </w:rPr>
            </w:pPr>
            <w:r>
              <w:rPr>
                <w:rFonts w:ascii="Courier New" w:cs="Courier New" w:eastAsia="Courier New" w:hAnsi="Courier New"/>
                <w:sz w:val="16"/>
                <w:szCs w:val="16"/>
                <w:color w:val="auto"/>
              </w:rPr>
              <w:t>NAME</w:t>
            </w:r>
          </w:p>
        </w:tc>
        <w:tc>
          <w:tcPr>
            <w:tcW w:w="620" w:type="dxa"/>
            <w:vAlign w:val="bottom"/>
          </w:tcPr>
          <w:p>
            <w:pPr>
              <w:spacing w:after="0"/>
              <w:rPr>
                <w:sz w:val="15"/>
                <w:szCs w:val="15"/>
                <w:color w:val="auto"/>
              </w:rPr>
            </w:pPr>
          </w:p>
        </w:tc>
        <w:tc>
          <w:tcPr>
            <w:tcW w:w="2320" w:type="dxa"/>
            <w:vAlign w:val="bottom"/>
          </w:tcPr>
          <w:p>
            <w:pPr>
              <w:ind w:left="620"/>
              <w:spacing w:after="0"/>
              <w:rPr>
                <w:sz w:val="20"/>
                <w:szCs w:val="20"/>
                <w:color w:val="auto"/>
              </w:rPr>
            </w:pPr>
            <w:r>
              <w:rPr>
                <w:rFonts w:ascii="Courier New" w:cs="Courier New" w:eastAsia="Courier New" w:hAnsi="Courier New"/>
                <w:sz w:val="16"/>
                <w:szCs w:val="16"/>
                <w:color w:val="auto"/>
              </w:rPr>
              <w:t>ADDRESS</w:t>
            </w:r>
          </w:p>
        </w:tc>
      </w:tr>
      <w:tr>
        <w:trPr>
          <w:trHeight w:val="182"/>
        </w:trPr>
        <w:tc>
          <w:tcPr>
            <w:tcW w:w="2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254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5000</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Quorum Drive, Suite 300</w:t>
            </w:r>
          </w:p>
        </w:tc>
      </w:tr>
      <w:tr>
        <w:trPr>
          <w:trHeight w:val="182"/>
        </w:trPr>
        <w:tc>
          <w:tcPr>
            <w:tcW w:w="2540" w:type="dxa"/>
            <w:vAlign w:val="bottom"/>
          </w:tcPr>
          <w:p>
            <w:pPr>
              <w:spacing w:after="0"/>
              <w:rPr>
                <w:sz w:val="15"/>
                <w:szCs w:val="15"/>
                <w:color w:val="auto"/>
              </w:rPr>
            </w:pPr>
          </w:p>
        </w:tc>
        <w:tc>
          <w:tcPr>
            <w:tcW w:w="29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Dallas, Texas 75240</w:t>
            </w:r>
          </w:p>
        </w:tc>
      </w:tr>
      <w:tr>
        <w:trPr>
          <w:trHeight w:val="364"/>
        </w:trPr>
        <w:tc>
          <w:tcPr>
            <w:tcW w:w="254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5000</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Quorum Drive, Suite 300</w:t>
            </w:r>
          </w:p>
        </w:tc>
      </w:tr>
      <w:tr>
        <w:trPr>
          <w:trHeight w:val="182"/>
        </w:trPr>
        <w:tc>
          <w:tcPr>
            <w:tcW w:w="2540" w:type="dxa"/>
            <w:vAlign w:val="bottom"/>
          </w:tcPr>
          <w:p>
            <w:pPr>
              <w:spacing w:after="0"/>
              <w:rPr>
                <w:sz w:val="15"/>
                <w:szCs w:val="15"/>
                <w:color w:val="auto"/>
              </w:rPr>
            </w:pPr>
          </w:p>
        </w:tc>
        <w:tc>
          <w:tcPr>
            <w:tcW w:w="29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Dallas, Texas 75240</w:t>
            </w:r>
          </w:p>
        </w:tc>
      </w:tr>
      <w:tr>
        <w:trPr>
          <w:trHeight w:val="364"/>
        </w:trPr>
        <w:tc>
          <w:tcPr>
            <w:tcW w:w="254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5000</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Quorum Drive, Suite 300</w:t>
            </w:r>
          </w:p>
        </w:tc>
      </w:tr>
      <w:tr>
        <w:trPr>
          <w:trHeight w:val="182"/>
        </w:trPr>
        <w:tc>
          <w:tcPr>
            <w:tcW w:w="2540" w:type="dxa"/>
            <w:vAlign w:val="bottom"/>
          </w:tcPr>
          <w:p>
            <w:pPr>
              <w:spacing w:after="0"/>
              <w:rPr>
                <w:sz w:val="15"/>
                <w:szCs w:val="15"/>
                <w:color w:val="auto"/>
              </w:rPr>
            </w:pPr>
          </w:p>
        </w:tc>
        <w:tc>
          <w:tcPr>
            <w:tcW w:w="29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Dallas, Texas 75240</w:t>
            </w:r>
          </w:p>
        </w:tc>
      </w:tr>
    </w:tbl>
    <w:p>
      <w:pPr>
        <w:spacing w:after="0" w:line="3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Twelfth: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Thirteenth: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EE-4</w:t>
      </w:r>
    </w:p>
    <w:p>
      <w:pPr>
        <w:sectPr>
          <w:pgSz w:w="11900" w:h="16838" w:orient="portrait"/>
          <w:cols w:equalWidth="0" w:num="1">
            <w:col w:w="10219"/>
          </w:cols>
          <w:pgMar w:left="240" w:top="295" w:right="1440" w:bottom="1440" w:gutter="0" w:footer="0" w:header="0"/>
        </w:sectPr>
      </w:pPr>
    </w:p>
    <w:bookmarkStart w:id="269" w:name="page270"/>
    <w:bookmarkEnd w:id="269"/>
    <w:p>
      <w:pPr>
        <w:ind w:left="280"/>
        <w:spacing w:after="0"/>
        <w:rPr>
          <w:sz w:val="20"/>
          <w:szCs w:val="20"/>
          <w:color w:val="auto"/>
        </w:rPr>
      </w:pPr>
      <w:r>
        <w:rPr>
          <w:rFonts w:ascii="Courier New" w:cs="Courier New" w:eastAsia="Courier New" w:hAnsi="Courier New"/>
          <w:sz w:val="16"/>
          <w:szCs w:val="16"/>
          <w:color w:val="auto"/>
        </w:rPr>
        <w:t>266</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Fourteenth: 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rights reserved in this Article; provided, however, that the Corporation shall not amend Article Tenth to be effective on a date other than a date on which directors are to be elected.</w:t>
      </w:r>
    </w:p>
    <w:p>
      <w:pPr>
        <w:spacing w:after="0" w:line="189"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I, the undersigned being the incorporator hereinbefore named, for the purpose of forming a corporation pursuant to the General Corporation Law of Delaware, do make this certificate, hereby declaring that this is my act and deed and that the facts herein stated are true, and accordingly have hereunto set my hand this 27th day of April, 1995.</w:t>
      </w:r>
    </w:p>
    <w:p>
      <w:pPr>
        <w:spacing w:after="0" w:line="189"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JOHN T. UNGER</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EE-5</w:t>
      </w:r>
    </w:p>
    <w:p>
      <w:pPr>
        <w:sectPr>
          <w:pgSz w:w="11900" w:h="16838" w:orient="portrait"/>
          <w:cols w:equalWidth="0" w:num="1">
            <w:col w:w="10219"/>
          </w:cols>
          <w:pgMar w:left="240" w:top="295" w:right="1440" w:bottom="1440" w:gutter="0" w:footer="0" w:header="0"/>
        </w:sectPr>
      </w:pPr>
    </w:p>
    <w:bookmarkStart w:id="270" w:name="page271"/>
    <w:bookmarkEnd w:id="270"/>
    <w:p>
      <w:pPr>
        <w:ind w:left="280"/>
        <w:spacing w:after="0"/>
        <w:rPr>
          <w:sz w:val="20"/>
          <w:szCs w:val="20"/>
          <w:color w:val="auto"/>
        </w:rPr>
      </w:pPr>
      <w:r>
        <w:rPr>
          <w:rFonts w:ascii="Courier New" w:cs="Courier New" w:eastAsia="Courier New" w:hAnsi="Courier New"/>
          <w:sz w:val="16"/>
          <w:szCs w:val="16"/>
          <w:color w:val="auto"/>
        </w:rPr>
        <w:t>267</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F</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BY-LAWS</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I</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OFFICES</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II</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MEETINGS OF STOCKHOLDERS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 meeting is to be held, which place shall be specified in the notice, or if not so specified, at the place where the meeting is to be held. The list shall also be produced and kept at the time and place of the meeting during the whole time thereof, and may be inspected by any stockholder who is present.</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187"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w:t>
      </w:r>
    </w:p>
    <w:p>
      <w:pPr>
        <w:sectPr>
          <w:pgSz w:w="11900" w:h="16838" w:orient="portrait"/>
          <w:cols w:equalWidth="0" w:num="1">
            <w:col w:w="10219"/>
          </w:cols>
          <w:pgMar w:left="240" w:top="295" w:right="1440" w:bottom="1440" w:gutter="0" w:footer="0" w:header="0"/>
        </w:sectPr>
      </w:pPr>
    </w:p>
    <w:bookmarkStart w:id="271" w:name="page272"/>
    <w:bookmarkEnd w:id="271"/>
    <w:p>
      <w:pPr>
        <w:ind w:left="280"/>
        <w:spacing w:after="0"/>
        <w:rPr>
          <w:sz w:val="20"/>
          <w:szCs w:val="20"/>
          <w:color w:val="auto"/>
        </w:rPr>
      </w:pPr>
      <w:r>
        <w:rPr>
          <w:rFonts w:ascii="Courier New" w:cs="Courier New" w:eastAsia="Courier New" w:hAnsi="Courier New"/>
          <w:sz w:val="16"/>
          <w:szCs w:val="16"/>
          <w:color w:val="auto"/>
        </w:rPr>
        <w:t>268</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9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FF-2</w:t>
      </w:r>
    </w:p>
    <w:p>
      <w:pPr>
        <w:sectPr>
          <w:pgSz w:w="11900" w:h="16838" w:orient="portrait"/>
          <w:cols w:equalWidth="0" w:num="1">
            <w:col w:w="10219"/>
          </w:cols>
          <w:pgMar w:left="240" w:top="295" w:right="1440" w:bottom="1440" w:gutter="0" w:footer="0" w:header="0"/>
        </w:sectPr>
      </w:pPr>
    </w:p>
    <w:bookmarkStart w:id="272" w:name="page273"/>
    <w:bookmarkEnd w:id="272"/>
    <w:p>
      <w:pPr>
        <w:ind w:left="280"/>
        <w:spacing w:after="0"/>
        <w:rPr>
          <w:sz w:val="20"/>
          <w:szCs w:val="20"/>
          <w:color w:val="auto"/>
        </w:rPr>
      </w:pPr>
      <w:r>
        <w:rPr>
          <w:rFonts w:ascii="Courier New" w:cs="Courier New" w:eastAsia="Courier New" w:hAnsi="Courier New"/>
          <w:sz w:val="16"/>
          <w:szCs w:val="16"/>
          <w:color w:val="auto"/>
        </w:rPr>
        <w:t>269</w:t>
      </w:r>
    </w:p>
    <w:p>
      <w:pPr>
        <w:spacing w:after="0" w:line="186"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6"/>
          <w:szCs w:val="16"/>
          <w:color w:val="auto"/>
        </w:rPr>
        <w:t>the Corporation, he has expressly empowered the pledgee to vote thereon, in which case only the pledgee, or his proxy, may represent the stock and vote thereon.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83" w:lineRule="exact"/>
        <w:rPr>
          <w:sz w:val="20"/>
          <w:szCs w:val="20"/>
          <w:color w:val="auto"/>
        </w:rPr>
      </w:pPr>
    </w:p>
    <w:p>
      <w:pPr>
        <w:ind w:left="1320" w:hanging="377"/>
        <w:spacing w:after="0"/>
        <w:tabs>
          <w:tab w:leader="none" w:pos="13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only one votes, his act binds all;</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the act of the majority so voting binds</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w:t>
      </w:r>
    </w:p>
    <w:p>
      <w:pPr>
        <w:spacing w:after="0" w:line="186" w:lineRule="exact"/>
        <w:rPr>
          <w:sz w:val="20"/>
          <w:szCs w:val="20"/>
          <w:color w:val="auto"/>
        </w:rPr>
      </w:pPr>
    </w:p>
    <w:p>
      <w:pPr>
        <w:ind w:left="460" w:right="2659" w:firstLine="483"/>
        <w:spacing w:after="0"/>
        <w:tabs>
          <w:tab w:leader="none" w:pos="131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189"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Unless otherwise provided in the Certificate of Incorporation, cumulative voting for the election of directors shall be prohibited.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188" w:lineRule="exact"/>
        <w:rPr>
          <w:sz w:val="20"/>
          <w:szCs w:val="20"/>
          <w:color w:val="auto"/>
        </w:rPr>
      </w:pPr>
    </w:p>
    <w:p>
      <w:pPr>
        <w:ind w:left="1320" w:hanging="377"/>
        <w:spacing w:after="0"/>
        <w:tabs>
          <w:tab w:leader="none" w:pos="13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Calling of meeting to order.</w:t>
      </w:r>
    </w:p>
    <w:p>
      <w:pPr>
        <w:spacing w:after="0" w:line="186" w:lineRule="exact"/>
        <w:rPr>
          <w:rFonts w:ascii="Courier New" w:cs="Courier New" w:eastAsia="Courier New" w:hAnsi="Courier New"/>
          <w:sz w:val="16"/>
          <w:szCs w:val="16"/>
          <w:color w:val="auto"/>
        </w:rPr>
      </w:pPr>
    </w:p>
    <w:p>
      <w:pPr>
        <w:ind w:left="460" w:right="3219" w:firstLine="483"/>
        <w:spacing w:after="0" w:line="237" w:lineRule="auto"/>
        <w:tabs>
          <w:tab w:leader="none" w:pos="131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a chairman and the appointment of a secretary if necessary.</w:t>
      </w:r>
    </w:p>
    <w:p>
      <w:pPr>
        <w:spacing w:after="0" w:line="183"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proof of the due calling of the meeting.</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and examination of proxies and determination of a</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quorum.</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Reading and settlement of the minutes of the previous meeting.</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of officers and committees.</w:t>
      </w:r>
    </w:p>
    <w:p>
      <w:pPr>
        <w:spacing w:after="0" w:line="186" w:lineRule="exact"/>
        <w:rPr>
          <w:rFonts w:ascii="Courier New" w:cs="Courier New" w:eastAsia="Courier New" w:hAnsi="Courier New"/>
          <w:sz w:val="16"/>
          <w:szCs w:val="16"/>
          <w:color w:val="auto"/>
        </w:rPr>
      </w:pPr>
    </w:p>
    <w:p>
      <w:pPr>
        <w:ind w:left="460" w:right="3219" w:firstLine="483"/>
        <w:spacing w:after="0" w:line="237" w:lineRule="auto"/>
        <w:tabs>
          <w:tab w:leader="none" w:pos="131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directors if an annual meeting, or a meeting called for that purpose.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FF-3</w:t>
      </w:r>
    </w:p>
    <w:p>
      <w:pPr>
        <w:sectPr>
          <w:pgSz w:w="11900" w:h="16838" w:orient="portrait"/>
          <w:cols w:equalWidth="0" w:num="1">
            <w:col w:w="10219"/>
          </w:cols>
          <w:pgMar w:left="240" w:top="295" w:right="1440" w:bottom="1440" w:gutter="0" w:footer="0" w:header="0"/>
        </w:sectPr>
      </w:pPr>
    </w:p>
    <w:bookmarkStart w:id="273" w:name="page274"/>
    <w:bookmarkEnd w:id="273"/>
    <w:p>
      <w:pPr>
        <w:ind w:left="280"/>
        <w:spacing w:after="0"/>
        <w:rPr>
          <w:sz w:val="20"/>
          <w:szCs w:val="20"/>
          <w:color w:val="auto"/>
        </w:rPr>
      </w:pPr>
      <w:r>
        <w:rPr>
          <w:rFonts w:ascii="Courier New" w:cs="Courier New" w:eastAsia="Courier New" w:hAnsi="Courier New"/>
          <w:sz w:val="16"/>
          <w:szCs w:val="16"/>
          <w:color w:val="auto"/>
        </w:rPr>
        <w:t>270</w:t>
      </w:r>
    </w:p>
    <w:p>
      <w:pPr>
        <w:spacing w:after="0" w:line="183" w:lineRule="exact"/>
        <w:rPr>
          <w:sz w:val="20"/>
          <w:szCs w:val="20"/>
          <w:color w:val="auto"/>
        </w:rPr>
      </w:pPr>
    </w:p>
    <w:p>
      <w:pPr>
        <w:ind w:left="1320" w:hanging="377"/>
        <w:spacing w:after="0"/>
        <w:tabs>
          <w:tab w:leader="none" w:pos="13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Unfinished business.</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business.</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Adjournment.</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SECTION 2.10. Treasury Stock. The Corporation shall not vote, directly or indirectly, shares of its own stock owned by it; and such shares shall not be counted in determining the total number of outstanding shares.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 after any such record dated fixed as aforesaid. With respect to a meeting of stockholders, the record date shall not be less than ten days before the date of such meeting.</w:t>
      </w:r>
    </w:p>
    <w:p>
      <w:pPr>
        <w:spacing w:after="0" w:line="194"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w:t>
      </w:r>
    </w:p>
    <w:p>
      <w:pPr>
        <w:spacing w:after="0" w:line="3"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FF-4</w:t>
      </w:r>
    </w:p>
    <w:p>
      <w:pPr>
        <w:sectPr>
          <w:pgSz w:w="11900" w:h="16838" w:orient="portrait"/>
          <w:cols w:equalWidth="0" w:num="1">
            <w:col w:w="10219"/>
          </w:cols>
          <w:pgMar w:left="240" w:top="295"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6"/>
          <w:szCs w:val="16"/>
          <w:color w:val="auto"/>
        </w:rPr>
        <w:t>271</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 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 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188"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w:t>
      </w:r>
    </w:p>
    <w:p>
      <w:pPr>
        <w:spacing w:after="0" w:line="4"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w:t>
      </w:r>
    </w:p>
    <w:p>
      <w:pPr>
        <w:spacing w:after="0" w:line="19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FF-5</w:t>
      </w:r>
    </w:p>
    <w:p>
      <w:pPr>
        <w:sectPr>
          <w:pgSz w:w="11900" w:h="16838" w:orient="portrait"/>
          <w:cols w:equalWidth="0" w:num="1">
            <w:col w:w="10219"/>
          </w:cols>
          <w:pgMar w:left="240" w:top="295" w:right="1440" w:bottom="1440" w:gutter="0" w:footer="0" w:header="0"/>
        </w:sectPr>
      </w:pPr>
    </w:p>
    <w:bookmarkStart w:id="275" w:name="page276"/>
    <w:bookmarkEnd w:id="275"/>
    <w:p>
      <w:pPr>
        <w:ind w:left="280"/>
        <w:spacing w:after="0"/>
        <w:rPr>
          <w:sz w:val="20"/>
          <w:szCs w:val="20"/>
          <w:color w:val="auto"/>
        </w:rPr>
      </w:pPr>
      <w:r>
        <w:rPr>
          <w:rFonts w:ascii="Courier New" w:cs="Courier New" w:eastAsia="Courier New" w:hAnsi="Courier New"/>
          <w:sz w:val="16"/>
          <w:szCs w:val="16"/>
          <w:color w:val="auto"/>
        </w:rPr>
        <w:t>272</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18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III</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BOARD OF DIRECTORS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Delaware or stockholders of the Corporation.</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a resolution duly adopted by the Board of Directors.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90"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FF-6</w:t>
      </w:r>
    </w:p>
    <w:p>
      <w:pPr>
        <w:sectPr>
          <w:pgSz w:w="11900" w:h="16838" w:orient="portrait"/>
          <w:cols w:equalWidth="0" w:num="1">
            <w:col w:w="10219"/>
          </w:cols>
          <w:pgMar w:left="240" w:top="295" w:right="1440" w:bottom="1440" w:gutter="0" w:footer="0" w:header="0"/>
        </w:sectPr>
      </w:pPr>
    </w:p>
    <w:bookmarkStart w:id="276" w:name="page277"/>
    <w:bookmarkEnd w:id="276"/>
    <w:p>
      <w:pPr>
        <w:ind w:left="280"/>
        <w:spacing w:after="0"/>
        <w:rPr>
          <w:sz w:val="20"/>
          <w:szCs w:val="20"/>
          <w:color w:val="auto"/>
        </w:rPr>
      </w:pPr>
      <w:r>
        <w:rPr>
          <w:rFonts w:ascii="Courier New" w:cs="Courier New" w:eastAsia="Courier New" w:hAnsi="Courier New"/>
          <w:sz w:val="16"/>
          <w:szCs w:val="16"/>
          <w:color w:val="auto"/>
        </w:rPr>
        <w:t>273</w:t>
      </w:r>
    </w:p>
    <w:p>
      <w:pPr>
        <w:spacing w:after="0" w:line="186"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Board of Directors among the three classes of directors so as to maintain such classes as nearly equally as possible. 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 expires and when the director's successor is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190"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17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 If a quorum shall not be present at any meeting of the Board of Directors, the directors present thereat may adjourn the meeting from time to time, without notice other than announcement at the meeting, until a quorum shall be present.</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FF-7</w:t>
      </w:r>
    </w:p>
    <w:p>
      <w:pPr>
        <w:sectPr>
          <w:pgSz w:w="11900" w:h="16838" w:orient="portrait"/>
          <w:cols w:equalWidth="0" w:num="1">
            <w:col w:w="10219"/>
          </w:cols>
          <w:pgMar w:left="240" w:top="295" w:right="1440" w:bottom="1440" w:gutter="0" w:footer="0" w:header="0"/>
        </w:sectPr>
      </w:pPr>
    </w:p>
    <w:bookmarkStart w:id="277" w:name="page278"/>
    <w:bookmarkEnd w:id="277"/>
    <w:p>
      <w:pPr>
        <w:ind w:left="280"/>
        <w:spacing w:after="0"/>
        <w:rPr>
          <w:sz w:val="20"/>
          <w:szCs w:val="20"/>
          <w:color w:val="auto"/>
        </w:rPr>
      </w:pPr>
      <w:r>
        <w:rPr>
          <w:rFonts w:ascii="Courier New" w:cs="Courier New" w:eastAsia="Courier New" w:hAnsi="Courier New"/>
          <w:sz w:val="16"/>
          <w:szCs w:val="16"/>
          <w:color w:val="auto"/>
        </w:rPr>
        <w:t>274</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18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IV</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COMMITTEE OF DIRECTORS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4.1. Designation, Powers and Name. The Board of Directors shall designated an Executive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w:t>
      </w:r>
    </w:p>
    <w:p>
      <w:pPr>
        <w:spacing w:after="0" w:line="3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FF-8</w:t>
      </w:r>
    </w:p>
    <w:p>
      <w:pPr>
        <w:sectPr>
          <w:pgSz w:w="11900" w:h="16838" w:orient="portrait"/>
          <w:cols w:equalWidth="0" w:num="1">
            <w:col w:w="10219"/>
          </w:cols>
          <w:pgMar w:left="240" w:top="295" w:right="1440" w:bottom="1440" w:gutter="0" w:footer="0" w:header="0"/>
        </w:sectPr>
      </w:pPr>
    </w:p>
    <w:bookmarkStart w:id="278" w:name="page279"/>
    <w:bookmarkEnd w:id="278"/>
    <w:p>
      <w:pPr>
        <w:ind w:left="283"/>
        <w:spacing w:after="0"/>
        <w:rPr>
          <w:sz w:val="20"/>
          <w:szCs w:val="20"/>
          <w:color w:val="auto"/>
        </w:rPr>
      </w:pPr>
      <w:r>
        <w:rPr>
          <w:rFonts w:ascii="Courier New" w:cs="Courier New" w:eastAsia="Courier New" w:hAnsi="Courier New"/>
          <w:sz w:val="16"/>
          <w:szCs w:val="16"/>
          <w:color w:val="auto"/>
        </w:rPr>
        <w:t>275</w:t>
      </w:r>
    </w:p>
    <w:p>
      <w:pPr>
        <w:spacing w:after="0" w:line="186" w:lineRule="exact"/>
        <w:rPr>
          <w:sz w:val="20"/>
          <w:szCs w:val="20"/>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limitations of authority as may be determined from time to time by the by-laws or the resolution adopted by the Board of Directors.</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4.2. Executive Committee. The Executive Committee of the Board of Directors (the "Executive Committee") shall consist of not less than two directors to be designated by the Board of Directors. None of the members of the Executive Committee need be officers of the Corporation. The Executive Committee shall have and may exercise all of the powers of the Board of Directors during the period between meetings of the Board of Directors except as reserved to the Board of Directors or as delegated by these by-laws or by the Board of Directors to another standing committee or as may be prohibited by law and, except further, that the Executive Committee shall not have the power to elect officers of the Corporation.</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4.3. Compensation Committee. The Compensation Committee of the Board of Directors (the "Compensation Committee") shall consist of not less than three directors, a majority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The Compensation Committee shall have and may exercise all of the powers of the Board of Directors during the period between meetings of the Board of Directors, except as may be prohibited by law, with respect to (i) studying, recommending, adopting, implementing, administering, determining, and authorizing the amount, terms, and conditions of payment of any and all forms of compensation for the Corporation's directors, officers, employees, and agents and (ii) approving and administering any loan to, guarantee of any obligation of, or other assistance to any officer or other employee of the Corporation or any of its subsidiaries, including any officer or employee who is a director of the Corporation or any of its subsidiaries.</w:t>
      </w:r>
    </w:p>
    <w:p>
      <w:pPr>
        <w:spacing w:after="0" w:line="193"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SECTION 4.4. Audit Committee. The Audit Committee of the Board of Directors (the "Audit Committee") shall consist of not less than two directors, all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and who is free from any relationship that, in the opinion of the Board of Directors, would interfere with the designated director's exercise of independent judgment as a committee member. The Audit Committee shall have and may exercise all of the powers of the Board of Directors, except as may be prohibited by law, with respect to (i) the selection and recommendation for employment by the Corporation, subject to approval by the Board of Directors and the stockholders, of a firm of certified public accountants to audit the books and accounts of the Corporation and its subsidiaries for the fiscal year in which they are appointed and who shall report to the Audit Committee, (ii) reviewing the audit and other work and reports submitted by the certified public accountants, conferring with the auditors, and reporting thereon to the Board of Directors with such recommendations as the Audit Committee may deem appropriate, (iii) reviewing annually the maintenance and safekeeping of the Corporation's books and records,</w:t>
      </w:r>
    </w:p>
    <w:p>
      <w:pPr>
        <w:spacing w:after="0" w:line="180" w:lineRule="exact"/>
        <w:rPr>
          <w:sz w:val="20"/>
          <w:szCs w:val="20"/>
          <w:color w:val="auto"/>
        </w:rPr>
      </w:pPr>
    </w:p>
    <w:p>
      <w:pPr>
        <w:ind w:left="3" w:right="2659" w:hanging="3"/>
        <w:spacing w:after="0" w:line="258" w:lineRule="auto"/>
        <w:tabs>
          <w:tab w:leader="none" w:pos="47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 with the Corporation's principal financial and accounting officers, the certified public accountants and auditors, and other officers and employees of the Corporation as the Audit Committee shall deem necessary in order to determine the adequacy of the Corporation's accounting principles and operating policies, controls, and practices, its public financial reporting policies and practices, and the results of the Corporation's annual audit, and (v) retaining such professional assistance, including outside counsel, auditors, and others, as the Audit Committee shall deem necessary or advisable, in connection with the exercise of its powers on such terms as the Audit Committee shall deem necessary or advisable to protect the interests of the stockholders of the Corporation.</w:t>
      </w:r>
    </w:p>
    <w:p>
      <w:pPr>
        <w:spacing w:after="0" w:line="174"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4.5. Procedure; Meetings; Quorum. Any committee designated pursuant to Sections 4.1, 4.2, 4.3, or 4.4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FF-9</w:t>
      </w:r>
    </w:p>
    <w:p>
      <w:pPr>
        <w:sectPr>
          <w:pgSz w:w="11900" w:h="16838" w:orient="portrait"/>
          <w:cols w:equalWidth="0" w:num="1">
            <w:col w:w="10222"/>
          </w:cols>
          <w:pgMar w:left="237" w:top="295" w:right="1440" w:bottom="1440" w:gutter="0" w:footer="0" w:header="0"/>
        </w:sectPr>
      </w:pPr>
    </w:p>
    <w:bookmarkStart w:id="279" w:name="page280"/>
    <w:bookmarkEnd w:id="279"/>
    <w:p>
      <w:pPr>
        <w:ind w:left="280"/>
        <w:spacing w:after="0"/>
        <w:rPr>
          <w:sz w:val="20"/>
          <w:szCs w:val="20"/>
          <w:color w:val="auto"/>
        </w:rPr>
      </w:pPr>
      <w:r>
        <w:rPr>
          <w:rFonts w:ascii="Courier New" w:cs="Courier New" w:eastAsia="Courier New" w:hAnsi="Courier New"/>
          <w:sz w:val="16"/>
          <w:szCs w:val="16"/>
          <w:color w:val="auto"/>
        </w:rPr>
        <w:t>276</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188"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SECTION 4.6. Compensation. Members of special or standing committees may be allowed compensation for attending committee meetings, if the Board of Directors shall so determine.</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NOTICE</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VI</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OFFICERS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FF-10</w:t>
      </w:r>
    </w:p>
    <w:p>
      <w:pPr>
        <w:sectPr>
          <w:pgSz w:w="11900" w:h="16838" w:orient="portrait"/>
          <w:cols w:equalWidth="0" w:num="1">
            <w:col w:w="10219"/>
          </w:cols>
          <w:pgMar w:left="240" w:top="295" w:right="1440" w:bottom="1440" w:gutter="0" w:footer="0" w:header="0"/>
        </w:sectPr>
      </w:pPr>
    </w:p>
    <w:bookmarkStart w:id="280" w:name="page281"/>
    <w:bookmarkEnd w:id="280"/>
    <w:p>
      <w:pPr>
        <w:ind w:left="280"/>
        <w:spacing w:after="0"/>
        <w:rPr>
          <w:sz w:val="20"/>
          <w:szCs w:val="20"/>
          <w:color w:val="auto"/>
        </w:rPr>
      </w:pPr>
      <w:r>
        <w:rPr>
          <w:rFonts w:ascii="Courier New" w:cs="Courier New" w:eastAsia="Courier New" w:hAnsi="Courier New"/>
          <w:sz w:val="16"/>
          <w:szCs w:val="16"/>
          <w:color w:val="auto"/>
        </w:rPr>
        <w:t>277</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9"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SECTION 6.4. Vacancies. Any vacancy occurring in any office of the Corporation by death, resignation, removal or otherwise, may be filled by the Board of Directors for the unexpired portion of the term.</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6.6. Chairman of the Board. The Chairman of the Board (if such office is created by the Board) shall have all powers and shall perform all duties incident to the office of 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1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FF-11</w:t>
      </w:r>
    </w:p>
    <w:p>
      <w:pPr>
        <w:sectPr>
          <w:pgSz w:w="11900" w:h="16838" w:orient="portrait"/>
          <w:cols w:equalWidth="0" w:num="1">
            <w:col w:w="10219"/>
          </w:cols>
          <w:pgMar w:left="240" w:top="295" w:right="1440" w:bottom="1440" w:gutter="0" w:footer="0" w:header="0"/>
        </w:sectPr>
      </w:pPr>
    </w:p>
    <w:bookmarkStart w:id="281" w:name="page282"/>
    <w:bookmarkEnd w:id="281"/>
    <w:p>
      <w:pPr>
        <w:ind w:left="280"/>
        <w:spacing w:after="0"/>
        <w:rPr>
          <w:sz w:val="20"/>
          <w:szCs w:val="20"/>
          <w:color w:val="auto"/>
        </w:rPr>
      </w:pPr>
      <w:r>
        <w:rPr>
          <w:rFonts w:ascii="Courier New" w:cs="Courier New" w:eastAsia="Courier New" w:hAnsi="Courier New"/>
          <w:sz w:val="16"/>
          <w:szCs w:val="16"/>
          <w:color w:val="auto"/>
        </w:rPr>
        <w:t>278</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 in terms of time as a Vice President of the Corporation shall so act. Any Vice President may sign, 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19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180"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SECTION 6.12. Controller. The Controller shall (a) have charge and custody of and be responsible for all funds and securities of the Corporation; receive and give receipts for moneys due and payable to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FF-12</w:t>
      </w:r>
    </w:p>
    <w:p>
      <w:pPr>
        <w:sectPr>
          <w:pgSz w:w="11900" w:h="16838" w:orient="portrait"/>
          <w:cols w:equalWidth="0" w:num="1">
            <w:col w:w="10219"/>
          </w:cols>
          <w:pgMar w:left="240" w:top="295" w:right="1440" w:bottom="1440" w:gutter="0" w:footer="0" w:header="0"/>
        </w:sectPr>
      </w:pPr>
    </w:p>
    <w:bookmarkStart w:id="282" w:name="page283"/>
    <w:bookmarkEnd w:id="282"/>
    <w:p>
      <w:pPr>
        <w:ind w:left="280"/>
        <w:spacing w:after="0"/>
        <w:rPr>
          <w:sz w:val="20"/>
          <w:szCs w:val="20"/>
          <w:color w:val="auto"/>
        </w:rPr>
      </w:pPr>
      <w:r>
        <w:rPr>
          <w:rFonts w:ascii="Courier New" w:cs="Courier New" w:eastAsia="Courier New" w:hAnsi="Courier New"/>
          <w:sz w:val="16"/>
          <w:szCs w:val="16"/>
          <w:color w:val="auto"/>
        </w:rPr>
        <w:t>279</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36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 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8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VII</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CONTRACTS, CHECKS AND DEPOSITS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Chairman of the Board, the Chief Executive Officer, or the President or, if designated by the Board of Directors, the Chairman of the 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8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depositary by the Controller and/or such other officers or persons as the Board of Directors from time to time may designate.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FF-13</w:t>
      </w:r>
    </w:p>
    <w:p>
      <w:pPr>
        <w:sectPr>
          <w:pgSz w:w="11900" w:h="16838" w:orient="portrait"/>
          <w:cols w:equalWidth="0" w:num="1">
            <w:col w:w="10219"/>
          </w:cols>
          <w:pgMar w:left="240" w:top="295" w:right="1440" w:bottom="1440" w:gutter="0" w:footer="0" w:header="0"/>
        </w:sectPr>
      </w:pPr>
    </w:p>
    <w:bookmarkStart w:id="283" w:name="page284"/>
    <w:bookmarkEnd w:id="283"/>
    <w:p>
      <w:pPr>
        <w:ind w:left="280"/>
        <w:spacing w:after="0"/>
        <w:rPr>
          <w:sz w:val="20"/>
          <w:szCs w:val="20"/>
          <w:color w:val="auto"/>
        </w:rPr>
      </w:pPr>
      <w:r>
        <w:rPr>
          <w:rFonts w:ascii="Courier New" w:cs="Courier New" w:eastAsia="Courier New" w:hAnsi="Courier New"/>
          <w:sz w:val="16"/>
          <w:szCs w:val="16"/>
          <w:color w:val="auto"/>
        </w:rPr>
        <w:t>280</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to do so,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18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VIII</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CERTIFICATES OF STOCK</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 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9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of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FF-14</w:t>
      </w:r>
    </w:p>
    <w:p>
      <w:pPr>
        <w:sectPr>
          <w:pgSz w:w="11900" w:h="16838" w:orient="portrait"/>
          <w:cols w:equalWidth="0" w:num="1">
            <w:col w:w="10219"/>
          </w:cols>
          <w:pgMar w:left="240" w:top="295"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6"/>
          <w:szCs w:val="16"/>
          <w:color w:val="auto"/>
        </w:rPr>
        <w:t>281</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8.3. Transfers.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92"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16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IX</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DIVIDENDS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190" w:lineRule="exact"/>
        <w:rPr>
          <w:sz w:val="20"/>
          <w:szCs w:val="20"/>
          <w:color w:val="auto"/>
        </w:rPr>
      </w:pPr>
    </w:p>
    <w:p>
      <w:pPr>
        <w:ind w:right="2939" w:firstLine="473"/>
        <w:spacing w:after="0" w:line="258" w:lineRule="auto"/>
        <w:rPr>
          <w:sz w:val="20"/>
          <w:szCs w:val="20"/>
          <w:color w:val="auto"/>
        </w:rPr>
      </w:pPr>
      <w:r>
        <w:rPr>
          <w:rFonts w:ascii="Courier New" w:cs="Courier New" w:eastAsia="Courier New" w:hAnsi="Courier New"/>
          <w:sz w:val="15"/>
          <w:szCs w:val="15"/>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FF-15</w:t>
      </w:r>
    </w:p>
    <w:p>
      <w:pPr>
        <w:sectPr>
          <w:pgSz w:w="11900" w:h="16838" w:orient="portrait"/>
          <w:cols w:equalWidth="0" w:num="1">
            <w:col w:w="10219"/>
          </w:cols>
          <w:pgMar w:left="240" w:top="295" w:right="1440" w:bottom="1440" w:gutter="0" w:footer="0" w:header="0"/>
        </w:sectPr>
      </w:pPr>
    </w:p>
    <w:bookmarkStart w:id="285" w:name="page286"/>
    <w:bookmarkEnd w:id="285"/>
    <w:p>
      <w:pPr>
        <w:ind w:left="280"/>
        <w:spacing w:after="0"/>
        <w:rPr>
          <w:sz w:val="20"/>
          <w:szCs w:val="20"/>
          <w:color w:val="auto"/>
        </w:rPr>
      </w:pPr>
      <w:r>
        <w:rPr>
          <w:rFonts w:ascii="Courier New" w:cs="Courier New" w:eastAsia="Courier New" w:hAnsi="Courier New"/>
          <w:sz w:val="16"/>
          <w:szCs w:val="16"/>
          <w:color w:val="auto"/>
        </w:rPr>
        <w:t>282</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X</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INDEMNIFICATION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19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20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90"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SECTION 10.4. Insurance. The Corporation may purchase and maintain insurance on behalf of any person who is or was a director, officer, employee or agent of the Corporation, or is or was serving at the request of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FF-16</w:t>
      </w:r>
    </w:p>
    <w:p>
      <w:pPr>
        <w:sectPr>
          <w:pgSz w:w="11900" w:h="16838" w:orient="portrait"/>
          <w:cols w:equalWidth="0" w:num="1">
            <w:col w:w="10219"/>
          </w:cols>
          <w:pgMar w:left="240" w:top="295" w:right="1440" w:bottom="1440" w:gutter="0" w:footer="0" w:header="0"/>
        </w:sectPr>
      </w:pPr>
    </w:p>
    <w:bookmarkStart w:id="286" w:name="page287"/>
    <w:bookmarkEnd w:id="286"/>
    <w:p>
      <w:pPr>
        <w:ind w:left="280"/>
        <w:spacing w:after="0"/>
        <w:rPr>
          <w:sz w:val="20"/>
          <w:szCs w:val="20"/>
          <w:color w:val="auto"/>
        </w:rPr>
      </w:pPr>
      <w:r>
        <w:rPr>
          <w:rFonts w:ascii="Courier New" w:cs="Courier New" w:eastAsia="Courier New" w:hAnsi="Courier New"/>
          <w:sz w:val="16"/>
          <w:szCs w:val="16"/>
          <w:color w:val="auto"/>
        </w:rPr>
        <w:t>283</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X.</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8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XI</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187"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187"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SECTION 11.3. Fiscal Year. The fiscal year of the Corporation shall be such as established from time to time by the Board of Directors.</w:t>
      </w:r>
    </w:p>
    <w:p>
      <w:pPr>
        <w:spacing w:after="0" w:line="188"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SECTION 11.4. Resignations. Any director, member of a committee, or officer may resign at any time. Such resignation shall be made in writing and shall take effect at the time specified therein, or if no time be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FF-17</w:t>
      </w:r>
    </w:p>
    <w:p>
      <w:pPr>
        <w:sectPr>
          <w:pgSz w:w="11900" w:h="16838" w:orient="portrait"/>
          <w:cols w:equalWidth="0" w:num="1">
            <w:col w:w="10219"/>
          </w:cols>
          <w:pgMar w:left="240" w:top="295" w:right="1440" w:bottom="1440" w:gutter="0" w:footer="0" w:header="0"/>
        </w:sectPr>
      </w:pPr>
    </w:p>
    <w:bookmarkStart w:id="287" w:name="page288"/>
    <w:bookmarkEnd w:id="287"/>
    <w:p>
      <w:pPr>
        <w:ind w:left="280"/>
        <w:spacing w:after="0"/>
        <w:rPr>
          <w:sz w:val="20"/>
          <w:szCs w:val="20"/>
          <w:color w:val="auto"/>
        </w:rPr>
      </w:pPr>
      <w:r>
        <w:rPr>
          <w:rFonts w:ascii="Courier New" w:cs="Courier New" w:eastAsia="Courier New" w:hAnsi="Courier New"/>
          <w:sz w:val="16"/>
          <w:szCs w:val="16"/>
          <w:color w:val="auto"/>
        </w:rPr>
        <w:t>284</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specified, at the time of its receipt by the President or Secretary. The acceptance of a resignation shall not be necessary to make it effective, unless expressly so provided in the resignation.</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87"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172"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XII</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AMENDMENT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FF-18</w:t>
      </w:r>
    </w:p>
    <w:p>
      <w:pPr>
        <w:sectPr>
          <w:pgSz w:w="11900" w:h="16838" w:orient="portrait"/>
          <w:cols w:equalWidth="0" w:num="1">
            <w:col w:w="10219"/>
          </w:cols>
          <w:pgMar w:left="240" w:top="295" w:right="1440" w:bottom="1440" w:gutter="0" w:footer="0" w:header="0"/>
        </w:sectPr>
      </w:pPr>
    </w:p>
    <w:bookmarkStart w:id="288" w:name="page289"/>
    <w:bookmarkEnd w:id="288"/>
    <w:p>
      <w:pPr>
        <w:ind w:left="280"/>
        <w:spacing w:after="0"/>
        <w:rPr>
          <w:sz w:val="20"/>
          <w:szCs w:val="20"/>
          <w:color w:val="auto"/>
        </w:rPr>
      </w:pPr>
      <w:r>
        <w:rPr>
          <w:rFonts w:ascii="Courier New" w:cs="Courier New" w:eastAsia="Courier New" w:hAnsi="Courier New"/>
          <w:sz w:val="16"/>
          <w:szCs w:val="16"/>
          <w:color w:val="auto"/>
        </w:rPr>
        <w:t>285</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G</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PROPOSED AMENDMENTS TO THE CERTIFICATE OF INCORPORATION OF</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Twelfth: (A) Except as otherwise provided in this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88" w:lineRule="exact"/>
        <w:rPr>
          <w:sz w:val="20"/>
          <w:szCs w:val="20"/>
          <w:color w:val="auto"/>
        </w:rPr>
      </w:pPr>
    </w:p>
    <w:p>
      <w:pPr>
        <w:ind w:right="2659" w:firstLine="470"/>
        <w:spacing w:after="0" w:line="257" w:lineRule="auto"/>
        <w:tabs>
          <w:tab w:leader="none" w:pos="85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62" w:lineRule="exact"/>
        <w:rPr>
          <w:rFonts w:ascii="Courier New" w:cs="Courier New" w:eastAsia="Courier New" w:hAnsi="Courier New"/>
          <w:sz w:val="15"/>
          <w:szCs w:val="15"/>
          <w:color w:val="auto"/>
        </w:rPr>
      </w:pPr>
    </w:p>
    <w:p>
      <w:pPr>
        <w:ind w:right="2659" w:firstLine="470"/>
        <w:spacing w:after="0"/>
        <w:tabs>
          <w:tab w:leader="none" w:pos="85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pursuant to the provisions of this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90" w:lineRule="exact"/>
        <w:rPr>
          <w:rFonts w:ascii="Courier New" w:cs="Courier New" w:eastAsia="Courier New" w:hAnsi="Courier New"/>
          <w:sz w:val="16"/>
          <w:szCs w:val="16"/>
          <w:color w:val="auto"/>
        </w:rPr>
      </w:pPr>
    </w:p>
    <w:p>
      <w:pPr>
        <w:ind w:right="2659" w:firstLine="470"/>
        <w:spacing w:after="0" w:line="258" w:lineRule="auto"/>
        <w:tabs>
          <w:tab w:leader="none" w:pos="85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77" w:lineRule="exact"/>
        <w:rPr>
          <w:rFonts w:ascii="Courier New" w:cs="Courier New" w:eastAsia="Courier New" w:hAnsi="Courier New"/>
          <w:sz w:val="15"/>
          <w:szCs w:val="15"/>
          <w:color w:val="auto"/>
        </w:rPr>
      </w:pPr>
    </w:p>
    <w:p>
      <w:pPr>
        <w:ind w:right="2659" w:firstLine="470"/>
        <w:spacing w:after="0" w:line="239" w:lineRule="auto"/>
        <w:tabs>
          <w:tab w:leader="none" w:pos="85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91" w:lineRule="exact"/>
        <w:rPr>
          <w:rFonts w:ascii="Courier New" w:cs="Courier New" w:eastAsia="Courier New" w:hAnsi="Courier New"/>
          <w:sz w:val="16"/>
          <w:szCs w:val="16"/>
          <w:color w:val="auto"/>
        </w:rPr>
      </w:pPr>
    </w:p>
    <w:p>
      <w:pPr>
        <w:ind w:right="2759" w:firstLine="470"/>
        <w:spacing w:after="0"/>
        <w:tabs>
          <w:tab w:leader="none" w:pos="85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Certificate of Incorporation applicable thereto, and such directors so elected shall not be divided into classes pursuant to this Article Twelfth unless expressly provided by such terms.</w:t>
      </w:r>
    </w:p>
    <w:p>
      <w:pPr>
        <w:sectPr>
          <w:pgSz w:w="11900" w:h="16838" w:orient="portrait"/>
          <w:cols w:equalWidth="0" w:num="1">
            <w:col w:w="10219"/>
          </w:cols>
          <w:pgMar w:left="240" w:top="295" w:right="1440" w:bottom="1440" w:gutter="0" w:footer="0" w:header="0"/>
        </w:sectPr>
      </w:pPr>
    </w:p>
    <w:bookmarkStart w:id="289" w:name="page290"/>
    <w:bookmarkEnd w:id="289"/>
    <w:p>
      <w:pPr>
        <w:ind w:left="280"/>
        <w:spacing w:after="0"/>
        <w:rPr>
          <w:sz w:val="20"/>
          <w:szCs w:val="20"/>
          <w:color w:val="auto"/>
        </w:rPr>
      </w:pPr>
      <w:r>
        <w:rPr>
          <w:rFonts w:ascii="Courier New" w:cs="Courier New" w:eastAsia="Courier New" w:hAnsi="Courier New"/>
          <w:sz w:val="16"/>
          <w:szCs w:val="16"/>
          <w:color w:val="auto"/>
        </w:rPr>
        <w:t>286</w:t>
      </w:r>
    </w:p>
    <w:p>
      <w:pPr>
        <w:spacing w:after="0" w:line="183" w:lineRule="exact"/>
        <w:rPr>
          <w:sz w:val="20"/>
          <w:szCs w:val="20"/>
          <w:color w:val="auto"/>
        </w:rPr>
      </w:pPr>
    </w:p>
    <w:p>
      <w:pPr>
        <w:ind w:left="840" w:hanging="370"/>
        <w:spacing w:after="0"/>
        <w:tabs>
          <w:tab w:leader="none" w:pos="8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Certificate of</w:t>
      </w:r>
    </w:p>
    <w:p>
      <w:pPr>
        <w:spacing w:after="0" w:line="4" w:lineRule="exact"/>
        <w:rPr>
          <w:rFonts w:ascii="Courier New" w:cs="Courier New" w:eastAsia="Courier New" w:hAnsi="Courier New"/>
          <w:sz w:val="16"/>
          <w:szCs w:val="16"/>
          <w:color w:val="auto"/>
        </w:rPr>
      </w:pPr>
    </w:p>
    <w:p>
      <w:pPr>
        <w:ind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or the bylaws of the Corporation (and notwithstanding the fact that a lesser percentage may be specified by law, this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Twelfth, but only if notice of the proposed alteration or amendment was contained in the notice of such meeting.</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GG-2</w:t>
      </w:r>
    </w:p>
    <w:p>
      <w:pPr>
        <w:sectPr>
          <w:pgSz w:w="11900" w:h="16838" w:orient="portrait"/>
          <w:cols w:equalWidth="0" w:num="1">
            <w:col w:w="10219"/>
          </w:cols>
          <w:pgMar w:left="240" w:top="296" w:right="1440" w:bottom="1440" w:gutter="0" w:footer="0" w:header="0"/>
        </w:sectPr>
      </w:pPr>
    </w:p>
    <w:bookmarkStart w:id="290" w:name="page291"/>
    <w:bookmarkEnd w:id="290"/>
    <w:p>
      <w:pPr>
        <w:ind w:left="280"/>
        <w:spacing w:after="0"/>
        <w:rPr>
          <w:sz w:val="20"/>
          <w:szCs w:val="20"/>
          <w:color w:val="auto"/>
        </w:rPr>
      </w:pPr>
      <w:r>
        <w:rPr>
          <w:rFonts w:ascii="Courier New" w:cs="Courier New" w:eastAsia="Courier New" w:hAnsi="Courier New"/>
          <w:sz w:val="16"/>
          <w:szCs w:val="16"/>
          <w:color w:val="auto"/>
        </w:rPr>
        <w:t>287</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20. INDEMNIFICATION OF DIRECTORS AND OFFICERS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1031 of the Oklahoma General Corporation act (the "OGCA")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proceedings, had no reasonable cause to believe his conduct was unlawful. With respect to actions by or in the right of the corporation, a person may not be indemnified if he has been adjudged to be liable to the corporation, except where, besides meeting the requirements described in the preceding sentence, the court in which such action was brought determines upon application that, despite the adjudication of liability but in view of all the circumstances of the case, such person is fairly and reasonably entitled to indemnity for such expenses as the court deems proper. To the extent that a director, officer, employee or agent of a corporation has been successful on the merits or otherwise in defense of any action, suit or proceeding referred to above, he shall be indemnified against expenses, including attorneys' fees, actually and reasonably incurred by him in connection therewith. A corporation shall have the power to purchase insurance on behalf of the persons referred to above against any liability asserted against them and incurred by them in such capacities referred to whether or not the corporation would have the power to indemnify them against such liability.</w:t>
      </w:r>
    </w:p>
    <w:p>
      <w:pPr>
        <w:spacing w:after="0" w:line="18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1006 of the OGCA provides that the certificate of incorporation of a corporation may contain a provision eliminating or limiting the personal liability of a director to the corporation or its shareholders for monetary damages for breach of fiduciary duty as a director, provided that such provision shall not eliminate or limit the liability of a director for (i) any breach of the director's duty of loyalty to the corporation or its shareholders, (ii) acts or omissions not in good faith or which involved intentional misconduct or a knowing violation of law, (iii) dividend payment or stock purchase or redemption under Section 1053 of the OGCA, (iv) any transaction from which the director derived an improper personal benefit, or (v) any act or omission occurring prior to the date when such provision becomes effective.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Registrant's Certificate of Incorporation provides that (i) the Registrant shall indemnify, and advance litigation expenses to, its officers, directors, employees and agents to the fullest extent permitted by the OGCA and all other laws of the State of Oklahoma, (ii) to the fullest extent that the OGCA, as it existed on November 1, 1987, permits the limitation or elimination of the liability of directors, no director of the Registrant shall be liable to the Registrant or its shareholders for monetary damages for breach of fiduciary duty as a director, (iii) no amendment to or repeal of the provision of the Certificate of Incorporation described in clause (ii) shall apply to or have any effect on the liability or alleged liability of any director of the Registrant for or with respect to any acts or omission of such director occurring prior to the time of such amendment or repeal and (iv) any amendment to the OGCA which further limits or eliminates the liability of directors shall be fully applicable to the Registrant's directors, but any such amendment which expands such liability shall be applicable only to future acts or omissions by the Registrant's directors.</w:t>
      </w:r>
    </w:p>
    <w:p>
      <w:pPr>
        <w:spacing w:after="0" w:line="18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USA Waste may enter into indemnification agreements with its directors.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5" w:right="1440" w:bottom="1440" w:gutter="0" w:footer="0" w:header="0"/>
        </w:sectPr>
      </w:pPr>
    </w:p>
    <w:bookmarkStart w:id="291" w:name="page292"/>
    <w:bookmarkEnd w:id="291"/>
    <w:p>
      <w:pPr>
        <w:ind w:left="280"/>
        <w:spacing w:after="0"/>
        <w:rPr>
          <w:sz w:val="20"/>
          <w:szCs w:val="20"/>
          <w:color w:val="auto"/>
        </w:rPr>
      </w:pPr>
      <w:r>
        <w:rPr>
          <w:rFonts w:ascii="Courier New" w:cs="Courier New" w:eastAsia="Courier New" w:hAnsi="Courier New"/>
          <w:sz w:val="16"/>
          <w:szCs w:val="16"/>
          <w:color w:val="auto"/>
        </w:rPr>
        <w:t>288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86" w:lineRule="exact"/>
        <w:rPr>
          <w:sz w:val="20"/>
          <w:szCs w:val="20"/>
          <w:color w:val="auto"/>
        </w:rPr>
      </w:pPr>
    </w:p>
    <w:p>
      <w:pPr>
        <w:ind w:right="3119" w:firstLine="470"/>
        <w:spacing w:after="0" w:line="237" w:lineRule="auto"/>
        <w:tabs>
          <w:tab w:leader="none" w:pos="851"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complete list of Exhibits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980" w:right="1519" w:hanging="1418"/>
        <w:spacing w:after="0" w:line="239" w:lineRule="auto"/>
        <w:tabs>
          <w:tab w:leader="none" w:pos="19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 Amended and Restated Agreement and Plan of Merger dated as of November 28, 1994, among USA Waste Services, Inc. ("USA Waste"), Chambers Acquisition Corporation, a wholly owned subsidiary of USA Waste, and Chambers Development Company, Inc. ("Chambers") [included as Appendix A to the Joint Proxy Statement/Prospectus herein].</w:t>
      </w:r>
    </w:p>
    <w:p>
      <w:pPr>
        <w:spacing w:after="0" w:line="7" w:lineRule="exact"/>
        <w:rPr>
          <w:sz w:val="20"/>
          <w:szCs w:val="20"/>
          <w:color w:val="auto"/>
        </w:rPr>
      </w:pPr>
    </w:p>
    <w:p>
      <w:pPr>
        <w:ind w:left="1980" w:right="1619" w:hanging="1418"/>
        <w:spacing w:after="0" w:line="238" w:lineRule="auto"/>
        <w:tabs>
          <w:tab w:leader="none" w:pos="19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 Certificate of Incorporation, as amended [incorporated by reference to Exhibit 3.1 to the Registrant's Registration Statement on Form S-18, File No. 33-20237-FW].</w:t>
      </w:r>
    </w:p>
    <w:p>
      <w:pPr>
        <w:spacing w:after="0" w:line="6" w:lineRule="exact"/>
        <w:rPr>
          <w:sz w:val="20"/>
          <w:szCs w:val="20"/>
          <w:color w:val="auto"/>
        </w:rPr>
      </w:pPr>
    </w:p>
    <w:p>
      <w:pPr>
        <w:ind w:left="1980" w:right="1619" w:hanging="1418"/>
        <w:spacing w:after="0" w:line="237" w:lineRule="auto"/>
        <w:tabs>
          <w:tab w:leader="none" w:pos="19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 Bylaws, as amended [incorporated by reference to Exhibit 3.2 of the Registrant's Registration Statement on Form S-18, File No.</w:t>
      </w:r>
    </w:p>
    <w:p>
      <w:pPr>
        <w:spacing w:after="0" w:line="2"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33-20237-FW].</w:t>
      </w:r>
    </w:p>
    <w:p>
      <w:pPr>
        <w:spacing w:after="0" w:line="5" w:lineRule="exact"/>
        <w:rPr>
          <w:sz w:val="20"/>
          <w:szCs w:val="20"/>
          <w:color w:val="auto"/>
        </w:rPr>
      </w:pPr>
    </w:p>
    <w:p>
      <w:pPr>
        <w:ind w:left="1980" w:right="1519" w:hanging="1418"/>
        <w:spacing w:after="0" w:line="237" w:lineRule="auto"/>
        <w:tabs>
          <w:tab w:leader="none" w:pos="196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 Specimen Stock Certificate [incorporated by reference to Exhibit 3.2 of the Registrant's Registration Statement on Form 8-A, File No.</w:t>
      </w:r>
    </w:p>
    <w:p>
      <w:pPr>
        <w:spacing w:after="0" w:line="2"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0-17034, Reference No. 8-15-2847].</w:t>
      </w:r>
    </w:p>
    <w:p>
      <w:pPr>
        <w:spacing w:after="0" w:line="5" w:lineRule="exact"/>
        <w:rPr>
          <w:sz w:val="20"/>
          <w:szCs w:val="20"/>
          <w:color w:val="auto"/>
        </w:rPr>
      </w:pPr>
    </w:p>
    <w:p>
      <w:pPr>
        <w:ind w:left="1980" w:right="1619" w:hanging="1418"/>
        <w:spacing w:after="0" w:line="256" w:lineRule="auto"/>
        <w:tabs>
          <w:tab w:leader="none" w:pos="19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 Indenture dated September 25, 1992, between USA Waste and The First National Bank of Boston, as trustee, with respect to USA Waste's</w:t>
      </w:r>
    </w:p>
    <w:p>
      <w:pPr>
        <w:spacing w:after="0" w:line="1" w:lineRule="exact"/>
        <w:rPr>
          <w:sz w:val="20"/>
          <w:szCs w:val="20"/>
          <w:color w:val="auto"/>
        </w:rPr>
      </w:pPr>
    </w:p>
    <w:p>
      <w:pPr>
        <w:ind w:left="2260" w:right="1519"/>
        <w:spacing w:after="0" w:line="238" w:lineRule="auto"/>
        <w:rPr>
          <w:sz w:val="20"/>
          <w:szCs w:val="20"/>
          <w:color w:val="auto"/>
        </w:rPr>
      </w:pPr>
      <w:r>
        <w:rPr>
          <w:rFonts w:ascii="Courier New" w:cs="Courier New" w:eastAsia="Courier New" w:hAnsi="Courier New"/>
          <w:sz w:val="16"/>
          <w:szCs w:val="16"/>
          <w:color w:val="auto"/>
        </w:rPr>
        <w:t>8 1/2% Convertible Subordinated Debentures Due 2002 [incorporated by reference to Exhibit 4.1 of the Registrant's Registration Statement on Form S-1, file No. 33-50918.]</w:t>
      </w:r>
    </w:p>
    <w:p>
      <w:pPr>
        <w:spacing w:after="0" w:line="6" w:lineRule="exact"/>
        <w:rPr>
          <w:sz w:val="20"/>
          <w:szCs w:val="20"/>
          <w:color w:val="auto"/>
        </w:rPr>
      </w:pPr>
    </w:p>
    <w:p>
      <w:pPr>
        <w:ind w:left="1980" w:right="1619" w:hanging="1418"/>
        <w:spacing w:after="0" w:line="237" w:lineRule="auto"/>
        <w:tabs>
          <w:tab w:leader="none" w:pos="196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 Opinion of Snell &amp; Smith, P.C. as to the legality of the securities being registered.</w:t>
      </w:r>
    </w:p>
    <w:p>
      <w:pPr>
        <w:spacing w:after="0" w:line="6" w:lineRule="exact"/>
        <w:rPr>
          <w:sz w:val="20"/>
          <w:szCs w:val="20"/>
          <w:color w:val="auto"/>
        </w:rPr>
      </w:pPr>
    </w:p>
    <w:p>
      <w:pPr>
        <w:ind w:left="1980" w:right="1619" w:hanging="1418"/>
        <w:spacing w:after="0" w:line="237" w:lineRule="auto"/>
        <w:tabs>
          <w:tab w:leader="none" w:pos="196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 Opinion of Thorp, Reed &amp; Armstrong as to certain federal income tax matters.</w:t>
      </w:r>
    </w:p>
    <w:p>
      <w:pPr>
        <w:spacing w:after="0" w:line="6" w:lineRule="exact"/>
        <w:rPr>
          <w:sz w:val="20"/>
          <w:szCs w:val="20"/>
          <w:color w:val="auto"/>
        </w:rPr>
      </w:pPr>
    </w:p>
    <w:p>
      <w:pPr>
        <w:ind w:left="1980" w:right="1519" w:hanging="1512"/>
        <w:spacing w:after="0" w:line="238" w:lineRule="auto"/>
        <w:tabs>
          <w:tab w:leader="none" w:pos="19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-- 1990 Stock Option Plan [incorporated by reference to Exhibit 10.1 of the Registrant's Annual Report on Form 10-K for the year ended December 31, 1990].</w:t>
      </w:r>
    </w:p>
    <w:p>
      <w:pPr>
        <w:spacing w:after="0" w:line="6" w:lineRule="exact"/>
        <w:rPr>
          <w:sz w:val="20"/>
          <w:szCs w:val="20"/>
          <w:color w:val="auto"/>
        </w:rPr>
      </w:pPr>
    </w:p>
    <w:p>
      <w:pPr>
        <w:ind w:left="1980" w:right="1519" w:hanging="1512"/>
        <w:spacing w:after="0" w:line="238" w:lineRule="auto"/>
        <w:tabs>
          <w:tab w:leader="none" w:pos="196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-- 1993 Stock Incentive Plan [incorporated by reference to Exhibit 10.1 of the Registrant's Annual Report on Form 10-K for the year ended December 31, 1993].</w:t>
      </w:r>
    </w:p>
    <w:p>
      <w:pPr>
        <w:spacing w:after="0" w:line="6" w:lineRule="exact"/>
        <w:rPr>
          <w:sz w:val="20"/>
          <w:szCs w:val="20"/>
          <w:color w:val="auto"/>
        </w:rPr>
      </w:pPr>
    </w:p>
    <w:p>
      <w:pPr>
        <w:ind w:left="1980" w:right="1419" w:hanging="1512"/>
        <w:spacing w:after="0" w:line="238" w:lineRule="auto"/>
        <w:tabs>
          <w:tab w:leader="none" w:pos="19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 Envirofil, Inc. ("Envirofil") 1993 Stock Incentive Plan [incorporated by reference to Exhibit 10.3 of the Registrant's Annual Report on Form 10-K for the year ended December 31, 1994].</w:t>
      </w:r>
    </w:p>
    <w:p>
      <w:pPr>
        <w:spacing w:after="0" w:line="6" w:lineRule="exact"/>
        <w:rPr>
          <w:sz w:val="20"/>
          <w:szCs w:val="20"/>
          <w:color w:val="auto"/>
        </w:rPr>
      </w:pPr>
    </w:p>
    <w:p>
      <w:pPr>
        <w:ind w:left="1980" w:right="16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 Asset Purchase Agreement dated August 12, 1993, between Chambers of Indiana, Inc. and USA Waste of Indiana, Inc. [incorporated by reference to Exhibit 2.2 of the Registrant's Current Report on Form 8-K dated September 30, 1993].</w:t>
      </w:r>
    </w:p>
    <w:p>
      <w:pPr>
        <w:spacing w:after="0" w:line="6" w:lineRule="exact"/>
        <w:rPr>
          <w:sz w:val="20"/>
          <w:szCs w:val="20"/>
          <w:color w:val="auto"/>
        </w:rPr>
      </w:pPr>
    </w:p>
    <w:p>
      <w:pPr>
        <w:ind w:left="1980" w:right="15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 Stock Purchase Agreement dated August 12, 1993, between Chambers and USA Waste of Indiana, Inc. [incorporated by reference to Exhibit 2.1 of the Registrant's Current Report on Form 8-K dated September 30, 1993].</w:t>
      </w:r>
    </w:p>
    <w:p>
      <w:pPr>
        <w:spacing w:after="0" w:line="6" w:lineRule="exact"/>
        <w:rPr>
          <w:sz w:val="20"/>
          <w:szCs w:val="20"/>
          <w:color w:val="auto"/>
        </w:rPr>
      </w:pPr>
    </w:p>
    <w:p>
      <w:pPr>
        <w:ind w:left="1980" w:right="15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 Agreement of Merger dated as of September 29, 1993, among USA Waste, USA Acquisition Co., Soil Remediation of Philadelphia, Inc., and Louis D. Paolino, Jr. [incorporated by reference to Exhibit 2.3 of the Registrant's Current Report on Form 8-K dated September 30, 1993].</w:t>
      </w:r>
    </w:p>
    <w:p>
      <w:pPr>
        <w:spacing w:after="0" w:line="7" w:lineRule="exact"/>
        <w:rPr>
          <w:sz w:val="20"/>
          <w:szCs w:val="20"/>
          <w:color w:val="auto"/>
        </w:rPr>
      </w:pPr>
    </w:p>
    <w:p>
      <w:pPr>
        <w:ind w:left="1980" w:right="15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 Agreement and Plan of Reorganization dated as of March 17, 1993, as amended on March 25, 1993, March 31, 1993 and August 20, 1993, between Envirofil and Environmental Waste of America, Inc. [incorporated by reference to Exhibit (c)(i) of Envirofil's Current Report on Form 8-K filed on November 16, 1993, as amended by Current Report on Form 8-K/A filed on January 18, 1994].</w:t>
      </w:r>
    </w:p>
    <w:p>
      <w:pPr>
        <w:spacing w:after="0" w:line="8" w:lineRule="exact"/>
        <w:rPr>
          <w:sz w:val="20"/>
          <w:szCs w:val="20"/>
          <w:color w:val="auto"/>
        </w:rPr>
      </w:pPr>
    </w:p>
    <w:p>
      <w:pPr>
        <w:ind w:left="1980" w:right="14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 Stock Purchase Agreement dated March 15, 1993, between Environmental Waste of America, Inc. and Donald G. Lindgren, as amended and assigned to Envirofil as of November 5, 1993 [incorporated by reference to Exhibit (c)(i) to Envirofil's Current Report on Form 8-K filed on November 16, 1993, as amended by Current Report on Form 8-K/A filed on January 18, 1994].</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19"/>
          </w:cols>
          <w:pgMar w:left="240" w:top="295" w:right="1440" w:bottom="1440" w:gutter="0" w:footer="0" w:header="0"/>
          <w:type w:val="continuous"/>
        </w:sectPr>
      </w:pPr>
    </w:p>
    <w:bookmarkStart w:id="292" w:name="page293"/>
    <w:bookmarkEnd w:id="292"/>
    <w:tbl>
      <w:tblPr>
        <w:tblLayout w:type="fixed"/>
        <w:tblInd w:w="0" w:type="dxa"/>
        <w:tblCellMar>
          <w:top w:w="0" w:type="dxa"/>
          <w:left w:w="0" w:type="dxa"/>
          <w:bottom w:w="0" w:type="dxa"/>
          <w:right w:w="0" w:type="dxa"/>
        </w:tblCellMar>
      </w:tblPr>
      <w:tr>
        <w:trPr>
          <w:trHeight w:val="181"/>
        </w:trPr>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289</w:t>
            </w:r>
          </w:p>
        </w:tc>
        <w:tc>
          <w:tcPr>
            <w:tcW w:w="1000" w:type="dxa"/>
            <w:vAlign w:val="bottom"/>
          </w:tcPr>
          <w:p>
            <w:pPr>
              <w:spacing w:after="0"/>
              <w:rPr>
                <w:sz w:val="15"/>
                <w:szCs w:val="15"/>
                <w:color w:val="auto"/>
              </w:rPr>
            </w:pPr>
          </w:p>
        </w:tc>
        <w:tc>
          <w:tcPr>
            <w:tcW w:w="6200" w:type="dxa"/>
            <w:vAlign w:val="bottom"/>
          </w:tcPr>
          <w:p>
            <w:pPr>
              <w:spacing w:after="0"/>
              <w:rPr>
                <w:sz w:val="15"/>
                <w:szCs w:val="15"/>
                <w:color w:val="auto"/>
              </w:rPr>
            </w:pPr>
          </w:p>
        </w:tc>
      </w:tr>
      <w:tr>
        <w:trPr>
          <w:trHeight w:val="909"/>
        </w:trPr>
        <w:tc>
          <w:tcPr>
            <w:tcW w:w="1600" w:type="dxa"/>
            <w:vAlign w:val="bottom"/>
          </w:tcPr>
          <w:p>
            <w:pPr>
              <w:ind w:left="560"/>
              <w:spacing w:after="0"/>
              <w:rPr>
                <w:sz w:val="20"/>
                <w:szCs w:val="20"/>
                <w:color w:val="auto"/>
              </w:rPr>
            </w:pPr>
            <w:r>
              <w:rPr>
                <w:rFonts w:ascii="Courier New" w:cs="Courier New" w:eastAsia="Courier New" w:hAnsi="Courier New"/>
                <w:sz w:val="16"/>
                <w:szCs w:val="16"/>
                <w:color w:val="auto"/>
              </w:rPr>
              <w:t>EXHIBIT</w:t>
            </w:r>
          </w:p>
        </w:tc>
        <w:tc>
          <w:tcPr>
            <w:tcW w:w="100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6200" w:type="dxa"/>
            <w:vAlign w:val="bottom"/>
          </w:tcPr>
          <w:p>
            <w:pPr>
              <w:spacing w:after="0"/>
              <w:rPr>
                <w:sz w:val="15"/>
                <w:szCs w:val="15"/>
                <w:color w:val="auto"/>
              </w:rPr>
            </w:pPr>
          </w:p>
        </w:tc>
      </w:tr>
      <w:tr>
        <w:trPr>
          <w:trHeight w:val="364"/>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10.9</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Stock Purchase Agreement dated March 19, 1993, among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Meadowbrook Carting Co., Inc., and certain shareholders of</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Meadowbrook Carting Co., Inc. [incorporated by reference to Exhibit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(c)(ii) of Envirofil's Current Report on Form 8-K filed February 28,</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1994, as amended by Current Report on Form 8-K/A filed on May 11,</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10.10</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Stock Purchase Agreement dated March 19, 1993, among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Mid-Jersey Disposal, Co., Inc., and certain shareholders of</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Mid-Jersey Disposal Co., Inc. [incorporated by reference to Exhibit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(c)(ii) of Envirofil's Current Report on Form 8-K filed February 28,</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1994, as amended by Current Report on Form 8-K/A filed on May 11,</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10.11</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Stock Purchase Agreement dated March 19, 1993, among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Quality Recycling Co., Inc., and certain shareholders of Quality</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8"/>
              </w:rPr>
              <w:t>Recycling Co., Inc. [incorporated by reference to Exhibit (c)(iii) of</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Envirofil's Current Report on Form 8-K filed February 28, 1994, as</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amended by Current Report on Form 8-K/A filed on May 11, 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10.12</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Stock Purchase Agreement dated March 19, 1993, among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Forcees, Inc., and certain shareholders of Forcees, Inc.</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[incorporated by reference to Exhibit (c)(iv) of Envirofil's Current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Report on Form 8-K filed February 28, 1994, as amended by Current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Report on Form 8-K/A filed on May 11, 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10.13</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 Amended and Restated Plan and Agreement of Reorganization dated March</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29, 1994, among USA Waste, Envirofil Acquisition Corporation, a</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wholly owned subsidiary of the Registrant, and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[incorporated by reference to Exhibit 2.1 to Registration Statement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on Form S-4 (File No. 33-77110)].</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10.14</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 Amended and Restated Revolving Credit Agreement dated as of November</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28, 1994, among USA Waste, its subsidiaries, The First National Bank</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of Boston, Bank of America Illinois, Bank One Texas, National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Association, The Bank of Nova Scotia, National Westminster Bank USA,</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8"/>
              </w:rPr>
              <w:t>and Banque Paribas [incorporated by reference to Exhibit 10.17 of the</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Registrant's Annual Report on Form 10-K for the year ended December</w:t>
            </w:r>
          </w:p>
        </w:tc>
      </w:tr>
      <w:tr>
        <w:trPr>
          <w:trHeight w:val="182"/>
        </w:trPr>
        <w:tc>
          <w:tcPr>
            <w:tcW w:w="1600" w:type="dxa"/>
            <w:vAlign w:val="bottom"/>
          </w:tcPr>
          <w:p>
            <w:pPr>
              <w:spacing w:after="0"/>
              <w:rPr>
                <w:sz w:val="15"/>
                <w:szCs w:val="15"/>
                <w:color w:val="auto"/>
              </w:rPr>
            </w:pPr>
          </w:p>
        </w:tc>
        <w:tc>
          <w:tcPr>
            <w:tcW w:w="1000" w:type="dxa"/>
            <w:vAlign w:val="bottom"/>
          </w:tcPr>
          <w:p>
            <w:pPr>
              <w:ind w:left="660"/>
              <w:spacing w:after="0"/>
              <w:rPr>
                <w:sz w:val="20"/>
                <w:szCs w:val="20"/>
                <w:color w:val="auto"/>
              </w:rPr>
            </w:pPr>
            <w:r>
              <w:rPr>
                <w:rFonts w:ascii="Courier New" w:cs="Courier New" w:eastAsia="Courier New" w:hAnsi="Courier New"/>
                <w:sz w:val="16"/>
                <w:szCs w:val="16"/>
                <w:color w:val="auto"/>
              </w:rPr>
              <w:t>31,</w:t>
            </w:r>
          </w:p>
        </w:tc>
        <w:tc>
          <w:tcPr>
            <w:tcW w:w="6200" w:type="dxa"/>
            <w:vAlign w:val="bottom"/>
          </w:tcPr>
          <w:p>
            <w:pPr>
              <w:jc w:val="right"/>
              <w:ind w:right="55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10.15</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Form of Employment Agreement between USA Waste and each of John E.</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Drury, Donald F. Moorehead, Jr., David Sutherland-Yoest and Charles</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A. Wilcox [incorporated by reference to Exhibit 10.18 of the</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Registrant's Annual Report on Form 10-K for the year ended December</w:t>
            </w:r>
          </w:p>
        </w:tc>
      </w:tr>
      <w:tr>
        <w:trPr>
          <w:trHeight w:val="182"/>
        </w:trPr>
        <w:tc>
          <w:tcPr>
            <w:tcW w:w="1600" w:type="dxa"/>
            <w:vAlign w:val="bottom"/>
          </w:tcPr>
          <w:p>
            <w:pPr>
              <w:spacing w:after="0"/>
              <w:rPr>
                <w:sz w:val="15"/>
                <w:szCs w:val="15"/>
                <w:color w:val="auto"/>
              </w:rPr>
            </w:pPr>
          </w:p>
        </w:tc>
        <w:tc>
          <w:tcPr>
            <w:tcW w:w="1000" w:type="dxa"/>
            <w:vAlign w:val="bottom"/>
          </w:tcPr>
          <w:p>
            <w:pPr>
              <w:ind w:left="660"/>
              <w:spacing w:after="0"/>
              <w:rPr>
                <w:sz w:val="20"/>
                <w:szCs w:val="20"/>
                <w:color w:val="auto"/>
              </w:rPr>
            </w:pPr>
            <w:r>
              <w:rPr>
                <w:rFonts w:ascii="Courier New" w:cs="Courier New" w:eastAsia="Courier New" w:hAnsi="Courier New"/>
                <w:sz w:val="16"/>
                <w:szCs w:val="16"/>
                <w:color w:val="auto"/>
              </w:rPr>
              <w:t>31,</w:t>
            </w:r>
          </w:p>
        </w:tc>
        <w:tc>
          <w:tcPr>
            <w:tcW w:w="6200" w:type="dxa"/>
            <w:vAlign w:val="bottom"/>
          </w:tcPr>
          <w:p>
            <w:pPr>
              <w:jc w:val="right"/>
              <w:ind w:right="55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10.16</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Employment Agreement between USA Waste and Earl E. DeFrates</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[incorporated by reference to Exhibit 10.19 of the Registrant's</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Annual Report on Form 10-K for the year ended December 31, 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10.17</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Employment Agreement between USA Waste and Gregory T. Sangalis.</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11.1</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USA Waste statement regarding computation of earnings per share</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[incorporated by reference to Exhibit 11 of the Registrant's Annual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Report on Form 10-K for the year ended December 31, 1994].</w:t>
            </w:r>
          </w:p>
        </w:tc>
      </w:tr>
    </w:tbl>
    <w:p>
      <w:pPr>
        <w:spacing w:after="0" w:line="5" w:lineRule="exact"/>
        <w:rPr>
          <w:sz w:val="20"/>
          <w:szCs w:val="20"/>
          <w:color w:val="auto"/>
        </w:rPr>
      </w:pPr>
    </w:p>
    <w:p>
      <w:pPr>
        <w:ind w:left="2260" w:right="1519" w:hanging="1506"/>
        <w:spacing w:after="0" w:line="238" w:lineRule="auto"/>
        <w:tabs>
          <w:tab w:leader="none" w:pos="1976"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Subsidiaries of the Registrant [incorporated by reference to Exhibit 21 of the Registrant's Annual Report on Form 10-K for the year ended December 31, 1994].</w:t>
      </w:r>
    </w:p>
    <w:p>
      <w:pPr>
        <w:spacing w:after="0" w:line="2" w:lineRule="exact"/>
        <w:rPr>
          <w:sz w:val="20"/>
          <w:szCs w:val="20"/>
          <w:color w:val="auto"/>
        </w:rPr>
      </w:pPr>
    </w:p>
    <w:p>
      <w:pPr>
        <w:ind w:left="660"/>
        <w:spacing w:after="0"/>
        <w:tabs>
          <w:tab w:leader="none" w:pos="19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 Consent of Coopers &amp; Lybrand L.L.P.</w:t>
      </w:r>
    </w:p>
    <w:p>
      <w:pPr>
        <w:spacing w:after="0" w:line="1" w:lineRule="exact"/>
        <w:rPr>
          <w:sz w:val="20"/>
          <w:szCs w:val="20"/>
          <w:color w:val="auto"/>
        </w:rPr>
      </w:pPr>
    </w:p>
    <w:p>
      <w:pPr>
        <w:ind w:left="660"/>
        <w:spacing w:after="0"/>
        <w:tabs>
          <w:tab w:leader="none" w:pos="196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 Consent of Deloitte &amp; Touche LLP.</w:t>
      </w:r>
    </w:p>
    <w:p>
      <w:pPr>
        <w:spacing w:after="0" w:line="1" w:lineRule="exact"/>
        <w:rPr>
          <w:sz w:val="20"/>
          <w:szCs w:val="20"/>
          <w:color w:val="auto"/>
        </w:rPr>
      </w:pPr>
    </w:p>
    <w:p>
      <w:pPr>
        <w:ind w:left="660"/>
        <w:spacing w:after="0"/>
        <w:tabs>
          <w:tab w:leader="none" w:pos="196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5"/>
          <w:szCs w:val="15"/>
          <w:color w:val="auto"/>
        </w:rPr>
        <w:t>-- Consent of Arthur Andersen LLP.</w:t>
      </w:r>
    </w:p>
    <w:p>
      <w:pPr>
        <w:spacing w:after="0" w:line="1" w:lineRule="exact"/>
        <w:rPr>
          <w:sz w:val="20"/>
          <w:szCs w:val="20"/>
          <w:color w:val="auto"/>
        </w:rPr>
      </w:pPr>
    </w:p>
    <w:p>
      <w:pPr>
        <w:ind w:left="760"/>
        <w:spacing w:after="0"/>
        <w:tabs>
          <w:tab w:leader="none" w:pos="196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5"/>
          <w:szCs w:val="15"/>
          <w:color w:val="auto"/>
        </w:rPr>
        <w:t>-- Consent of Snell &amp; Smith, P.C. [included in Exhibit 5.1].</w:t>
      </w:r>
    </w:p>
    <w:p>
      <w:pPr>
        <w:spacing w:after="0" w:line="1" w:lineRule="exact"/>
        <w:rPr>
          <w:sz w:val="20"/>
          <w:szCs w:val="20"/>
          <w:color w:val="auto"/>
        </w:rPr>
      </w:pPr>
    </w:p>
    <w:p>
      <w:pPr>
        <w:ind w:left="760"/>
        <w:spacing w:after="0"/>
        <w:tabs>
          <w:tab w:leader="none" w:pos="196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5"/>
          <w:szCs w:val="15"/>
          <w:color w:val="auto"/>
        </w:rPr>
        <w:t>-- Consent of Thorp, Reed &amp; Armstrong [included in Exhibit 8.1].</w:t>
      </w:r>
    </w:p>
    <w:p>
      <w:pPr>
        <w:spacing w:after="0" w:line="200" w:lineRule="exact"/>
        <w:rPr>
          <w:sz w:val="20"/>
          <w:szCs w:val="20"/>
          <w:color w:val="auto"/>
        </w:rPr>
      </w:pPr>
    </w:p>
    <w:p>
      <w:pPr>
        <w:spacing w:after="0" w:line="34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295" w:right="1440" w:bottom="1440" w:gutter="0" w:footer="0" w:header="0"/>
        </w:sectPr>
      </w:pPr>
    </w:p>
    <w:bookmarkStart w:id="293" w:name="page294"/>
    <w:bookmarkEnd w:id="293"/>
    <w:p>
      <w:pPr>
        <w:ind w:left="283"/>
        <w:spacing w:after="0"/>
        <w:rPr>
          <w:sz w:val="20"/>
          <w:szCs w:val="20"/>
          <w:color w:val="auto"/>
        </w:rPr>
      </w:pPr>
      <w:r>
        <w:rPr>
          <w:rFonts w:ascii="Courier New" w:cs="Courier New" w:eastAsia="Courier New" w:hAnsi="Courier New"/>
          <w:sz w:val="16"/>
          <w:szCs w:val="16"/>
          <w:color w:val="auto"/>
        </w:rPr>
        <w:t>290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983" w:right="2079" w:hanging="1512"/>
        <w:spacing w:after="0" w:line="237" w:lineRule="auto"/>
        <w:tabs>
          <w:tab w:leader="none" w:pos="1963"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6"/>
          <w:szCs w:val="16"/>
          <w:color w:val="auto"/>
        </w:rPr>
        <w:t>-- Consent of Donaldson, Lufkin &amp; Jenrette Securities Corporation [included in Exhibit 99.1].</w:t>
      </w:r>
    </w:p>
    <w:p>
      <w:pPr>
        <w:spacing w:after="0" w:line="2" w:lineRule="exact"/>
        <w:rPr>
          <w:sz w:val="20"/>
          <w:szCs w:val="20"/>
          <w:color w:val="auto"/>
        </w:rPr>
      </w:pPr>
    </w:p>
    <w:p>
      <w:pPr>
        <w:ind w:left="763"/>
        <w:spacing w:after="0"/>
        <w:tabs>
          <w:tab w:leader="none" w:pos="1963" w:val="left"/>
        </w:tabs>
        <w:rPr>
          <w:sz w:val="20"/>
          <w:szCs w:val="20"/>
          <w:color w:val="auto"/>
        </w:rPr>
      </w:pPr>
      <w:r>
        <w:rPr>
          <w:rFonts w:ascii="Courier New" w:cs="Courier New" w:eastAsia="Courier New" w:hAnsi="Courier New"/>
          <w:sz w:val="16"/>
          <w:szCs w:val="16"/>
          <w:color w:val="auto"/>
        </w:rPr>
        <w:t>23.7</w:t>
      </w:r>
      <w:r>
        <w:rPr>
          <w:sz w:val="20"/>
          <w:szCs w:val="20"/>
          <w:color w:val="auto"/>
        </w:rPr>
        <w:tab/>
      </w:r>
      <w:r>
        <w:rPr>
          <w:rFonts w:ascii="Courier New" w:cs="Courier New" w:eastAsia="Courier New" w:hAnsi="Courier New"/>
          <w:sz w:val="15"/>
          <w:szCs w:val="15"/>
          <w:color w:val="auto"/>
        </w:rPr>
        <w:t>-- Consent of J.P. Morgan Securities Inc. [included in Exhibit 99.2].</w:t>
      </w:r>
    </w:p>
    <w:p>
      <w:pPr>
        <w:spacing w:after="0" w:line="5" w:lineRule="exact"/>
        <w:rPr>
          <w:sz w:val="20"/>
          <w:szCs w:val="20"/>
          <w:color w:val="auto"/>
        </w:rPr>
      </w:pPr>
    </w:p>
    <w:p>
      <w:pPr>
        <w:ind w:left="1983" w:right="1799" w:hanging="1512"/>
        <w:spacing w:after="0" w:line="237" w:lineRule="auto"/>
        <w:tabs>
          <w:tab w:leader="none" w:pos="1963"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 Powers of Attorney [included on the signature pages in Part II of this Registration Statement].</w:t>
      </w:r>
    </w:p>
    <w:p>
      <w:pPr>
        <w:spacing w:after="0" w:line="6" w:lineRule="exact"/>
        <w:rPr>
          <w:sz w:val="20"/>
          <w:szCs w:val="20"/>
          <w:color w:val="auto"/>
        </w:rPr>
      </w:pPr>
    </w:p>
    <w:p>
      <w:pPr>
        <w:ind w:left="1983" w:right="1999" w:hanging="1512"/>
        <w:spacing w:after="0" w:line="238" w:lineRule="auto"/>
        <w:tabs>
          <w:tab w:leader="none" w:pos="1963"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 Opinion of Donaldson, Lufkin &amp; Jenrette Securities Corporation [included as Appendix B to the Joint Proxy Statement/Prospectus herein].</w:t>
      </w:r>
    </w:p>
    <w:p>
      <w:pPr>
        <w:spacing w:after="0" w:line="6" w:lineRule="exact"/>
        <w:rPr>
          <w:sz w:val="20"/>
          <w:szCs w:val="20"/>
          <w:color w:val="auto"/>
        </w:rPr>
      </w:pPr>
    </w:p>
    <w:p>
      <w:pPr>
        <w:ind w:left="1983" w:right="1419" w:hanging="1512"/>
        <w:spacing w:after="0" w:line="237" w:lineRule="auto"/>
        <w:tabs>
          <w:tab w:leader="none" w:pos="1963" w:val="left"/>
        </w:tabs>
        <w:rPr>
          <w:sz w:val="20"/>
          <w:szCs w:val="20"/>
          <w:color w:val="auto"/>
        </w:rPr>
      </w:pPr>
      <w:r>
        <w:rPr>
          <w:rFonts w:ascii="Courier New" w:cs="Courier New" w:eastAsia="Courier New" w:hAnsi="Courier New"/>
          <w:sz w:val="16"/>
          <w:szCs w:val="16"/>
          <w:color w:val="auto"/>
        </w:rPr>
        <w:t>99.2</w:t>
      </w:r>
      <w:r>
        <w:rPr>
          <w:sz w:val="20"/>
          <w:szCs w:val="20"/>
          <w:color w:val="auto"/>
        </w:rPr>
        <w:tab/>
      </w:r>
      <w:r>
        <w:rPr>
          <w:rFonts w:ascii="Courier New" w:cs="Courier New" w:eastAsia="Courier New" w:hAnsi="Courier New"/>
          <w:sz w:val="16"/>
          <w:szCs w:val="16"/>
          <w:color w:val="auto"/>
        </w:rPr>
        <w:t>-- Opinion of J.P. Morgan Securities Inc. [included as Appendix C to the Joint Proxy Statement/Prospectus herein].</w:t>
      </w:r>
    </w:p>
    <w:p>
      <w:pPr>
        <w:spacing w:after="0" w:line="200" w:lineRule="exact"/>
        <w:rPr>
          <w:sz w:val="20"/>
          <w:szCs w:val="20"/>
          <w:color w:val="auto"/>
        </w:rPr>
      </w:pPr>
    </w:p>
    <w:p>
      <w:pPr>
        <w:spacing w:after="0" w:line="347" w:lineRule="exact"/>
        <w:rPr>
          <w:sz w:val="20"/>
          <w:szCs w:val="20"/>
          <w:color w:val="auto"/>
        </w:rPr>
      </w:pPr>
    </w:p>
    <w:p>
      <w:pPr>
        <w:ind w:left="183" w:hanging="183"/>
        <w:spacing w:after="0"/>
        <w:tabs>
          <w:tab w:leader="none" w:pos="18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22. UNDERTAKINGS</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7"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186" w:lineRule="exact"/>
        <w:rPr>
          <w:sz w:val="20"/>
          <w:szCs w:val="20"/>
          <w:color w:val="auto"/>
        </w:rPr>
      </w:pPr>
    </w:p>
    <w:p>
      <w:pPr>
        <w:ind w:left="463" w:right="2659" w:firstLine="483"/>
        <w:spacing w:after="0" w:line="256" w:lineRule="auto"/>
        <w:tabs>
          <w:tab w:leader="none" w:pos="1314"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463" w:right="2839" w:firstLine="10"/>
        <w:spacing w:after="0" w:line="237" w:lineRule="auto"/>
        <w:tabs>
          <w:tab w:leader="none" w:pos="84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497(h) under the Securities Act shall be deemed to be part of this registration statement as of the time it was declared effective.</w:t>
      </w:r>
    </w:p>
    <w:p>
      <w:pPr>
        <w:spacing w:after="0" w:line="187" w:lineRule="exact"/>
        <w:rPr>
          <w:rFonts w:ascii="Courier New" w:cs="Courier New" w:eastAsia="Courier New" w:hAnsi="Courier New"/>
          <w:sz w:val="16"/>
          <w:szCs w:val="16"/>
          <w:color w:val="auto"/>
        </w:rPr>
      </w:pPr>
    </w:p>
    <w:p>
      <w:pPr>
        <w:ind w:left="463" w:right="2659" w:firstLine="483"/>
        <w:spacing w:after="0" w:line="239" w:lineRule="auto"/>
        <w:tabs>
          <w:tab w:leader="none" w:pos="1314"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left="3" w:right="2759" w:firstLine="473"/>
        <w:spacing w:after="0" w:line="258"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left="463" w:right="3039" w:firstLine="483"/>
        <w:spacing w:after="0" w:line="262" w:lineRule="auto"/>
        <w:tabs>
          <w:tab w:leader="none" w:pos="131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w:t>
      </w:r>
    </w:p>
    <w:p>
      <w:pPr>
        <w:spacing w:after="0" w:line="16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2"/>
          </w:cols>
          <w:pgMar w:left="237" w:top="295" w:right="1440" w:bottom="1440" w:gutter="0" w:footer="0" w:header="0"/>
        </w:sectPr>
      </w:pPr>
    </w:p>
    <w:bookmarkStart w:id="294" w:name="page295"/>
    <w:bookmarkEnd w:id="294"/>
    <w:p>
      <w:pPr>
        <w:ind w:left="280"/>
        <w:spacing w:after="0"/>
        <w:rPr>
          <w:sz w:val="20"/>
          <w:szCs w:val="20"/>
          <w:color w:val="auto"/>
        </w:rPr>
      </w:pPr>
      <w:r>
        <w:rPr>
          <w:rFonts w:ascii="Courier New" w:cs="Courier New" w:eastAsia="Courier New" w:hAnsi="Courier New"/>
          <w:sz w:val="16"/>
          <w:szCs w:val="16"/>
          <w:color w:val="auto"/>
        </w:rPr>
        <w:t>291</w:t>
      </w:r>
    </w:p>
    <w:p>
      <w:pPr>
        <w:spacing w:after="0" w:line="186" w:lineRule="exact"/>
        <w:rPr>
          <w:sz w:val="20"/>
          <w:szCs w:val="20"/>
          <w:color w:val="auto"/>
        </w:rPr>
      </w:pPr>
    </w:p>
    <w:p>
      <w:pPr>
        <w:ind w:left="460" w:right="2659"/>
        <w:spacing w:after="0" w:line="239" w:lineRule="auto"/>
        <w:rPr>
          <w:sz w:val="20"/>
          <w:szCs w:val="20"/>
          <w:color w:val="auto"/>
        </w:rPr>
      </w:pPr>
      <w:r>
        <w:rPr>
          <w:rFonts w:ascii="Courier New" w:cs="Courier New" w:eastAsia="Courier New" w:hAnsi="Courier New"/>
          <w:sz w:val="16"/>
          <w:szCs w:val="16"/>
          <w:color w:val="auto"/>
        </w:rPr>
        <w:t>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90" w:lineRule="exact"/>
        <w:rPr>
          <w:sz w:val="20"/>
          <w:szCs w:val="20"/>
          <w:color w:val="auto"/>
        </w:rPr>
      </w:pPr>
    </w:p>
    <w:p>
      <w:pPr>
        <w:ind w:left="460" w:right="2659" w:firstLine="483"/>
        <w:spacing w:after="0"/>
        <w:tabs>
          <w:tab w:leader="none" w:pos="131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2" w:lineRule="exact"/>
        <w:rPr>
          <w:sz w:val="20"/>
          <w:szCs w:val="20"/>
          <w:color w:val="auto"/>
        </w:rPr>
      </w:pPr>
    </w:p>
    <w:p>
      <w:pPr>
        <w:ind w:right="3219" w:firstLine="473"/>
        <w:spacing w:after="0" w:line="239" w:lineRule="auto"/>
        <w:rPr>
          <w:sz w:val="20"/>
          <w:szCs w:val="20"/>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295" w:right="1440" w:bottom="1440" w:gutter="0" w:footer="0" w:header="0"/>
        </w:sectPr>
      </w:pPr>
    </w:p>
    <w:bookmarkStart w:id="295" w:name="page296"/>
    <w:bookmarkEnd w:id="295"/>
    <w:p>
      <w:pPr>
        <w:ind w:left="280"/>
        <w:spacing w:after="0"/>
        <w:rPr>
          <w:sz w:val="20"/>
          <w:szCs w:val="20"/>
          <w:color w:val="auto"/>
        </w:rPr>
      </w:pPr>
      <w:r>
        <w:rPr>
          <w:rFonts w:ascii="Courier New" w:cs="Courier New" w:eastAsia="Courier New" w:hAnsi="Courier New"/>
          <w:sz w:val="16"/>
          <w:szCs w:val="16"/>
          <w:color w:val="auto"/>
        </w:rPr>
        <w:t>292</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3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Registration Statement to be signed on its behalf by the undersigned, thereunto duly authorized, in the City of Dallas, State of Texas, on the 17th day of May, 1995.</w:t>
      </w:r>
    </w:p>
    <w:p>
      <w:pPr>
        <w:spacing w:after="0" w:line="36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4160"/>
        <w:spacing w:after="0"/>
        <w:tabs>
          <w:tab w:leader="none" w:pos="4800" w:val="left"/>
          <w:tab w:leader="none" w:pos="52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JOHN E. DRURY</w:t>
      </w:r>
    </w:p>
    <w:p>
      <w:pPr>
        <w:spacing w:after="0" w:line="1"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6"/>
          <w:szCs w:val="16"/>
          <w:color w:val="auto"/>
        </w:rPr>
        <w:t>John E. Drury</w:t>
      </w:r>
    </w:p>
    <w:p>
      <w:pPr>
        <w:spacing w:after="0" w:line="1"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6"/>
          <w:szCs w:val="16"/>
          <w:color w:val="auto"/>
        </w:rPr>
        <w:t>Chief Executive Officer</w:t>
      </w:r>
    </w:p>
    <w:p>
      <w:pPr>
        <w:spacing w:after="0" w:line="368"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HAS BEEN SIGNED BY THE FOLLOWING PERSONS IN THE CAPACITIES INDICATED BELOW ON MAY 17, 1995.</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20" w:type="dxa"/>
            <w:vAlign w:val="bottom"/>
          </w:tcPr>
          <w:p>
            <w:pPr>
              <w:spacing w:after="0"/>
              <w:rPr>
                <w:sz w:val="15"/>
                <w:szCs w:val="15"/>
                <w:color w:val="auto"/>
              </w:rPr>
            </w:pPr>
          </w:p>
        </w:tc>
        <w:tc>
          <w:tcPr>
            <w:tcW w:w="3220" w:type="dxa"/>
            <w:vAlign w:val="bottom"/>
            <w:gridSpan w:val="2"/>
          </w:tcPr>
          <w:p>
            <w:pPr>
              <w:jc w:val="center"/>
              <w:ind w:right="1521"/>
              <w:spacing w:after="0"/>
              <w:rPr>
                <w:sz w:val="20"/>
                <w:szCs w:val="20"/>
                <w:color w:val="auto"/>
              </w:rPr>
            </w:pPr>
            <w:r>
              <w:rPr>
                <w:rFonts w:ascii="Courier New" w:cs="Courier New" w:eastAsia="Courier New" w:hAnsi="Courier New"/>
                <w:sz w:val="16"/>
                <w:szCs w:val="16"/>
                <w:color w:val="auto"/>
                <w:w w:val="99"/>
              </w:rPr>
              <w:t>SIGNATURE</w:t>
            </w:r>
          </w:p>
        </w:tc>
        <w:tc>
          <w:tcPr>
            <w:tcW w:w="4540" w:type="dxa"/>
            <w:vAlign w:val="bottom"/>
          </w:tcPr>
          <w:p>
            <w:pPr>
              <w:ind w:left="1980"/>
              <w:spacing w:after="0"/>
              <w:rPr>
                <w:sz w:val="20"/>
                <w:szCs w:val="20"/>
                <w:color w:val="auto"/>
              </w:rPr>
            </w:pPr>
            <w:r>
              <w:rPr>
                <w:rFonts w:ascii="Courier New" w:cs="Courier New" w:eastAsia="Courier New" w:hAnsi="Courier New"/>
                <w:sz w:val="16"/>
                <w:szCs w:val="16"/>
                <w:color w:val="auto"/>
              </w:rPr>
              <w:t>TITLE</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7"/>
              </w:rPr>
              <w:t>- ---------------------------------------------</w:t>
            </w:r>
          </w:p>
        </w:tc>
        <w:tc>
          <w:tcPr>
            <w:tcW w:w="4540" w:type="dxa"/>
            <w:vAlign w:val="bottom"/>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1320" w:type="dxa"/>
            <w:vAlign w:val="bottom"/>
          </w:tcPr>
          <w:p>
            <w:pPr>
              <w:ind w:left="1040"/>
              <w:spacing w:after="0"/>
              <w:rPr>
                <w:sz w:val="20"/>
                <w:szCs w:val="20"/>
                <w:color w:val="auto"/>
              </w:rPr>
            </w:pPr>
            <w:r>
              <w:rPr>
                <w:rFonts w:ascii="Courier New" w:cs="Courier New" w:eastAsia="Courier New" w:hAnsi="Courier New"/>
                <w:sz w:val="16"/>
                <w:szCs w:val="16"/>
                <w:color w:val="auto"/>
                <w:w w:val="90"/>
              </w:rPr>
              <w:t>/s/</w:t>
            </w:r>
          </w:p>
        </w:tc>
        <w:tc>
          <w:tcPr>
            <w:tcW w:w="3220" w:type="dxa"/>
            <w:vAlign w:val="bottom"/>
            <w:gridSpan w:val="2"/>
          </w:tcPr>
          <w:p>
            <w:pPr>
              <w:jc w:val="center"/>
              <w:ind w:right="1521"/>
              <w:spacing w:after="0"/>
              <w:rPr>
                <w:sz w:val="20"/>
                <w:szCs w:val="20"/>
                <w:color w:val="auto"/>
              </w:rPr>
            </w:pPr>
            <w:r>
              <w:rPr>
                <w:rFonts w:ascii="Courier New" w:cs="Courier New" w:eastAsia="Courier New" w:hAnsi="Courier New"/>
                <w:sz w:val="16"/>
                <w:szCs w:val="16"/>
                <w:color w:val="auto"/>
                <w:w w:val="97"/>
              </w:rPr>
              <w:t>JOHN E. DRURY</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Chief Executive Officer; Director</w:t>
            </w:r>
          </w:p>
        </w:tc>
      </w:tr>
      <w:tr>
        <w:trPr>
          <w:trHeight w:val="182"/>
        </w:trPr>
        <w:tc>
          <w:tcPr>
            <w:tcW w:w="1320" w:type="dxa"/>
            <w:vAlign w:val="bottom"/>
          </w:tcPr>
          <w:p>
            <w:pPr>
              <w:spacing w:after="0"/>
              <w:rPr>
                <w:sz w:val="15"/>
                <w:szCs w:val="15"/>
                <w:color w:val="auto"/>
              </w:rPr>
            </w:pPr>
          </w:p>
        </w:tc>
        <w:tc>
          <w:tcPr>
            <w:tcW w:w="3220" w:type="dxa"/>
            <w:vAlign w:val="bottom"/>
            <w:gridSpan w:val="2"/>
          </w:tcPr>
          <w:p>
            <w:pPr>
              <w:jc w:val="center"/>
              <w:ind w:right="1521"/>
              <w:spacing w:after="0"/>
              <w:rPr>
                <w:sz w:val="20"/>
                <w:szCs w:val="20"/>
                <w:color w:val="auto"/>
              </w:rPr>
            </w:pPr>
            <w:r>
              <w:rPr>
                <w:rFonts w:ascii="Courier New" w:cs="Courier New" w:eastAsia="Courier New" w:hAnsi="Courier New"/>
                <w:sz w:val="16"/>
                <w:szCs w:val="16"/>
                <w:color w:val="auto"/>
                <w:w w:val="97"/>
              </w:rPr>
              <w:t>John E. Drury</w:t>
            </w:r>
          </w:p>
        </w:tc>
        <w:tc>
          <w:tcPr>
            <w:tcW w:w="4540" w:type="dxa"/>
            <w:vAlign w:val="bottom"/>
          </w:tcPr>
          <w:p>
            <w:pPr>
              <w:spacing w:after="0"/>
              <w:rPr>
                <w:sz w:val="15"/>
                <w:szCs w:val="15"/>
                <w:color w:val="auto"/>
              </w:rPr>
            </w:pPr>
          </w:p>
        </w:tc>
      </w:tr>
      <w:tr>
        <w:trPr>
          <w:trHeight w:val="364"/>
        </w:trPr>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jc w:val="center"/>
              <w:ind w:right="2241"/>
              <w:spacing w:after="0"/>
              <w:rPr>
                <w:sz w:val="20"/>
                <w:szCs w:val="20"/>
                <w:color w:val="auto"/>
              </w:rPr>
            </w:pPr>
            <w:r>
              <w:rPr>
                <w:rFonts w:ascii="Courier New" w:cs="Courier New" w:eastAsia="Courier New" w:hAnsi="Courier New"/>
                <w:sz w:val="16"/>
                <w:szCs w:val="16"/>
                <w:color w:val="auto"/>
              </w:rPr>
              <w:t>*</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Chief Development</w:t>
            </w:r>
          </w:p>
        </w:tc>
      </w:tr>
      <w:tr>
        <w:trPr>
          <w:trHeight w:val="182"/>
        </w:trPr>
        <w:tc>
          <w:tcPr>
            <w:tcW w:w="4540" w:type="dxa"/>
            <w:vAlign w:val="bottom"/>
            <w:gridSpan w:val="3"/>
          </w:tcPr>
          <w:p>
            <w:pPr>
              <w:jc w:val="center"/>
              <w:ind w:right="301"/>
              <w:spacing w:after="0"/>
              <w:rPr>
                <w:sz w:val="20"/>
                <w:szCs w:val="20"/>
                <w:color w:val="auto"/>
              </w:rPr>
            </w:pPr>
            <w:r>
              <w:rPr>
                <w:rFonts w:ascii="Courier New" w:cs="Courier New" w:eastAsia="Courier New" w:hAnsi="Courier New"/>
                <w:sz w:val="16"/>
                <w:szCs w:val="16"/>
                <w:color w:val="auto"/>
                <w:w w:val="98"/>
              </w:rPr>
              <w:t>Donald F. Moorehead, Jr.</w:t>
            </w:r>
          </w:p>
        </w:tc>
        <w:tc>
          <w:tcPr>
            <w:tcW w:w="4540" w:type="dxa"/>
            <w:vAlign w:val="bottom"/>
          </w:tcPr>
          <w:p>
            <w:pPr>
              <w:ind w:left="280"/>
              <w:spacing w:after="0"/>
              <w:rPr>
                <w:sz w:val="20"/>
                <w:szCs w:val="20"/>
                <w:color w:val="auto"/>
              </w:rPr>
            </w:pPr>
            <w:r>
              <w:rPr>
                <w:rFonts w:ascii="Courier New" w:cs="Courier New" w:eastAsia="Courier New" w:hAnsi="Courier New"/>
                <w:sz w:val="16"/>
                <w:szCs w:val="16"/>
                <w:color w:val="auto"/>
              </w:rPr>
              <w:t>Officer; Director</w:t>
            </w:r>
          </w:p>
        </w:tc>
      </w:tr>
      <w:tr>
        <w:trPr>
          <w:trHeight w:val="364"/>
        </w:trPr>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jc w:val="center"/>
              <w:ind w:right="2241"/>
              <w:spacing w:after="0"/>
              <w:rPr>
                <w:sz w:val="20"/>
                <w:szCs w:val="20"/>
                <w:color w:val="auto"/>
              </w:rPr>
            </w:pPr>
            <w:r>
              <w:rPr>
                <w:rFonts w:ascii="Courier New" w:cs="Courier New" w:eastAsia="Courier New" w:hAnsi="Courier New"/>
                <w:sz w:val="16"/>
                <w:szCs w:val="16"/>
                <w:color w:val="auto"/>
              </w:rPr>
              <w:t>*</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President; Chief Operating Officer; Director</w:t>
            </w:r>
          </w:p>
        </w:tc>
      </w:tr>
      <w:tr>
        <w:trPr>
          <w:trHeight w:val="182"/>
        </w:trPr>
        <w:tc>
          <w:tcPr>
            <w:tcW w:w="4540" w:type="dxa"/>
            <w:vAlign w:val="bottom"/>
            <w:gridSpan w:val="3"/>
          </w:tcPr>
          <w:p>
            <w:pPr>
              <w:jc w:val="center"/>
              <w:ind w:right="301"/>
              <w:spacing w:after="0"/>
              <w:rPr>
                <w:sz w:val="20"/>
                <w:szCs w:val="20"/>
                <w:color w:val="auto"/>
              </w:rPr>
            </w:pPr>
            <w:r>
              <w:rPr>
                <w:rFonts w:ascii="Courier New" w:cs="Courier New" w:eastAsia="Courier New" w:hAnsi="Courier New"/>
                <w:sz w:val="16"/>
                <w:szCs w:val="16"/>
                <w:color w:val="auto"/>
                <w:w w:val="98"/>
              </w:rPr>
              <w:t>David Sutherland-Yoest</w:t>
            </w:r>
          </w:p>
        </w:tc>
        <w:tc>
          <w:tcPr>
            <w:tcW w:w="4540" w:type="dxa"/>
            <w:vAlign w:val="bottom"/>
          </w:tcPr>
          <w:p>
            <w:pPr>
              <w:spacing w:after="0"/>
              <w:rPr>
                <w:sz w:val="15"/>
                <w:szCs w:val="15"/>
                <w:color w:val="auto"/>
              </w:rPr>
            </w:pPr>
          </w:p>
        </w:tc>
      </w:tr>
      <w:tr>
        <w:trPr>
          <w:trHeight w:val="364"/>
        </w:trPr>
        <w:tc>
          <w:tcPr>
            <w:tcW w:w="1320" w:type="dxa"/>
            <w:vAlign w:val="bottom"/>
          </w:tcPr>
          <w:p>
            <w:pPr>
              <w:ind w:left="840"/>
              <w:spacing w:after="0"/>
              <w:rPr>
                <w:sz w:val="20"/>
                <w:szCs w:val="20"/>
                <w:color w:val="auto"/>
              </w:rPr>
            </w:pPr>
            <w:r>
              <w:rPr>
                <w:rFonts w:ascii="Courier New" w:cs="Courier New" w:eastAsia="Courier New" w:hAnsi="Courier New"/>
                <w:sz w:val="16"/>
                <w:szCs w:val="16"/>
                <w:color w:val="auto"/>
              </w:rPr>
              <w:t>/s/</w:t>
            </w:r>
          </w:p>
        </w:tc>
        <w:tc>
          <w:tcPr>
            <w:tcW w:w="3220" w:type="dxa"/>
            <w:vAlign w:val="bottom"/>
            <w:gridSpan w:val="2"/>
          </w:tcPr>
          <w:p>
            <w:pPr>
              <w:jc w:val="center"/>
              <w:ind w:right="1621"/>
              <w:spacing w:after="0"/>
              <w:rPr>
                <w:sz w:val="20"/>
                <w:szCs w:val="20"/>
                <w:color w:val="auto"/>
              </w:rPr>
            </w:pPr>
            <w:r>
              <w:rPr>
                <w:rFonts w:ascii="Courier New" w:cs="Courier New" w:eastAsia="Courier New" w:hAnsi="Courier New"/>
                <w:sz w:val="16"/>
                <w:szCs w:val="16"/>
                <w:color w:val="auto"/>
                <w:w w:val="98"/>
              </w:rPr>
              <w:t>EARL E. DEFRATES</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Chief Financial</w:t>
            </w:r>
          </w:p>
        </w:tc>
      </w:tr>
      <w:tr>
        <w:trPr>
          <w:trHeight w:val="182"/>
        </w:trPr>
        <w:tc>
          <w:tcPr>
            <w:tcW w:w="1320" w:type="dxa"/>
            <w:vAlign w:val="bottom"/>
          </w:tcPr>
          <w:p>
            <w:pPr>
              <w:spacing w:after="0"/>
              <w:rPr>
                <w:sz w:val="15"/>
                <w:szCs w:val="15"/>
                <w:color w:val="auto"/>
              </w:rPr>
            </w:pPr>
          </w:p>
        </w:tc>
        <w:tc>
          <w:tcPr>
            <w:tcW w:w="3220" w:type="dxa"/>
            <w:vAlign w:val="bottom"/>
            <w:gridSpan w:val="2"/>
          </w:tcPr>
          <w:p>
            <w:pPr>
              <w:jc w:val="center"/>
              <w:ind w:right="1621"/>
              <w:spacing w:after="0"/>
              <w:rPr>
                <w:sz w:val="20"/>
                <w:szCs w:val="20"/>
                <w:color w:val="auto"/>
              </w:rPr>
            </w:pPr>
            <w:r>
              <w:rPr>
                <w:rFonts w:ascii="Courier New" w:cs="Courier New" w:eastAsia="Courier New" w:hAnsi="Courier New"/>
                <w:sz w:val="16"/>
                <w:szCs w:val="16"/>
                <w:color w:val="auto"/>
                <w:w w:val="98"/>
              </w:rPr>
              <w:t>Earl E. DeFrates</w:t>
            </w:r>
          </w:p>
        </w:tc>
        <w:tc>
          <w:tcPr>
            <w:tcW w:w="4540" w:type="dxa"/>
            <w:vAlign w:val="bottom"/>
          </w:tcPr>
          <w:p>
            <w:pPr>
              <w:ind w:left="280"/>
              <w:spacing w:after="0"/>
              <w:rPr>
                <w:sz w:val="20"/>
                <w:szCs w:val="20"/>
                <w:color w:val="auto"/>
              </w:rPr>
            </w:pPr>
            <w:r>
              <w:rPr>
                <w:rFonts w:ascii="Courier New" w:cs="Courier New" w:eastAsia="Courier New" w:hAnsi="Courier New"/>
                <w:sz w:val="16"/>
                <w:szCs w:val="16"/>
                <w:color w:val="auto"/>
              </w:rPr>
              <w:t>Officer; Secretary; Treasurer; Director</w:t>
            </w:r>
          </w:p>
        </w:tc>
      </w:tr>
      <w:tr>
        <w:trPr>
          <w:trHeight w:val="364"/>
        </w:trPr>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/s/</w:t>
            </w:r>
          </w:p>
        </w:tc>
        <w:tc>
          <w:tcPr>
            <w:tcW w:w="3220" w:type="dxa"/>
            <w:vAlign w:val="bottom"/>
            <w:gridSpan w:val="2"/>
          </w:tcPr>
          <w:p>
            <w:pPr>
              <w:jc w:val="center"/>
              <w:ind w:right="1521"/>
              <w:spacing w:after="0"/>
              <w:rPr>
                <w:sz w:val="20"/>
                <w:szCs w:val="20"/>
                <w:color w:val="auto"/>
              </w:rPr>
            </w:pPr>
            <w:r>
              <w:rPr>
                <w:rFonts w:ascii="Courier New" w:cs="Courier New" w:eastAsia="Courier New" w:hAnsi="Courier New"/>
                <w:sz w:val="16"/>
                <w:szCs w:val="16"/>
                <w:color w:val="auto"/>
                <w:w w:val="98"/>
              </w:rPr>
              <w:t>BRUCE E. SNYDER</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Corporate Controller; Chief</w:t>
            </w:r>
          </w:p>
        </w:tc>
      </w:tr>
      <w:tr>
        <w:trPr>
          <w:trHeight w:val="182"/>
        </w:trPr>
        <w:tc>
          <w:tcPr>
            <w:tcW w:w="1320" w:type="dxa"/>
            <w:vAlign w:val="bottom"/>
          </w:tcPr>
          <w:p>
            <w:pPr>
              <w:spacing w:after="0"/>
              <w:rPr>
                <w:sz w:val="15"/>
                <w:szCs w:val="15"/>
                <w:color w:val="auto"/>
              </w:rPr>
            </w:pPr>
          </w:p>
        </w:tc>
        <w:tc>
          <w:tcPr>
            <w:tcW w:w="3220" w:type="dxa"/>
            <w:vAlign w:val="bottom"/>
            <w:gridSpan w:val="2"/>
          </w:tcPr>
          <w:p>
            <w:pPr>
              <w:jc w:val="center"/>
              <w:ind w:right="1521"/>
              <w:spacing w:after="0"/>
              <w:rPr>
                <w:sz w:val="20"/>
                <w:szCs w:val="20"/>
                <w:color w:val="auto"/>
              </w:rPr>
            </w:pPr>
            <w:r>
              <w:rPr>
                <w:rFonts w:ascii="Courier New" w:cs="Courier New" w:eastAsia="Courier New" w:hAnsi="Courier New"/>
                <w:sz w:val="16"/>
                <w:szCs w:val="16"/>
                <w:color w:val="auto"/>
                <w:w w:val="98"/>
              </w:rPr>
              <w:t>Bruce E. Snyder</w:t>
            </w:r>
          </w:p>
        </w:tc>
        <w:tc>
          <w:tcPr>
            <w:tcW w:w="4540" w:type="dxa"/>
            <w:vAlign w:val="bottom"/>
          </w:tcPr>
          <w:p>
            <w:pPr>
              <w:ind w:left="280"/>
              <w:spacing w:after="0"/>
              <w:rPr>
                <w:sz w:val="20"/>
                <w:szCs w:val="20"/>
                <w:color w:val="auto"/>
              </w:rPr>
            </w:pPr>
            <w:r>
              <w:rPr>
                <w:rFonts w:ascii="Courier New" w:cs="Courier New" w:eastAsia="Courier New" w:hAnsi="Courier New"/>
                <w:sz w:val="16"/>
                <w:szCs w:val="16"/>
                <w:color w:val="auto"/>
              </w:rPr>
              <w:t>Accounting Officer</w:t>
            </w:r>
          </w:p>
        </w:tc>
      </w:tr>
      <w:tr>
        <w:trPr>
          <w:trHeight w:val="364"/>
        </w:trPr>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jc w:val="center"/>
              <w:ind w:right="2241"/>
              <w:spacing w:after="0"/>
              <w:rPr>
                <w:sz w:val="20"/>
                <w:szCs w:val="20"/>
                <w:color w:val="auto"/>
              </w:rPr>
            </w:pPr>
            <w:r>
              <w:rPr>
                <w:rFonts w:ascii="Courier New" w:cs="Courier New" w:eastAsia="Courier New" w:hAnsi="Courier New"/>
                <w:sz w:val="16"/>
                <w:szCs w:val="16"/>
                <w:color w:val="auto"/>
              </w:rPr>
              <w:t>*</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132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George</w:t>
            </w:r>
          </w:p>
        </w:tc>
        <w:tc>
          <w:tcPr>
            <w:tcW w:w="2500" w:type="dxa"/>
            <w:vAlign w:val="bottom"/>
          </w:tcPr>
          <w:p>
            <w:pPr>
              <w:jc w:val="right"/>
              <w:ind w:right="1721"/>
              <w:spacing w:after="0"/>
              <w:rPr>
                <w:sz w:val="20"/>
                <w:szCs w:val="20"/>
                <w:color w:val="auto"/>
              </w:rPr>
            </w:pPr>
            <w:r>
              <w:rPr>
                <w:rFonts w:ascii="Courier New" w:cs="Courier New" w:eastAsia="Courier New" w:hAnsi="Courier New"/>
                <w:sz w:val="16"/>
                <w:szCs w:val="16"/>
                <w:color w:val="auto"/>
              </w:rPr>
              <w:t>L. Ball</w:t>
            </w:r>
          </w:p>
        </w:tc>
        <w:tc>
          <w:tcPr>
            <w:tcW w:w="4540" w:type="dxa"/>
            <w:vAlign w:val="bottom"/>
          </w:tcPr>
          <w:p>
            <w:pPr>
              <w:spacing w:after="0"/>
              <w:rPr>
                <w:sz w:val="15"/>
                <w:szCs w:val="15"/>
                <w:color w:val="auto"/>
              </w:rPr>
            </w:pPr>
          </w:p>
        </w:tc>
      </w:tr>
      <w:tr>
        <w:trPr>
          <w:trHeight w:val="364"/>
        </w:trPr>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jc w:val="center"/>
              <w:ind w:right="2241"/>
              <w:spacing w:after="0"/>
              <w:rPr>
                <w:sz w:val="20"/>
                <w:szCs w:val="20"/>
                <w:color w:val="auto"/>
              </w:rPr>
            </w:pPr>
            <w:r>
              <w:rPr>
                <w:rFonts w:ascii="Courier New" w:cs="Courier New" w:eastAsia="Courier New" w:hAnsi="Courier New"/>
                <w:sz w:val="16"/>
                <w:szCs w:val="16"/>
                <w:color w:val="auto"/>
              </w:rPr>
              <w:t>*</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1320" w:type="dxa"/>
            <w:vAlign w:val="bottom"/>
          </w:tcPr>
          <w:p>
            <w:pPr>
              <w:spacing w:after="0"/>
              <w:rPr>
                <w:sz w:val="15"/>
                <w:szCs w:val="15"/>
                <w:color w:val="auto"/>
              </w:rPr>
            </w:pPr>
          </w:p>
        </w:tc>
        <w:tc>
          <w:tcPr>
            <w:tcW w:w="3220" w:type="dxa"/>
            <w:vAlign w:val="bottom"/>
            <w:gridSpan w:val="2"/>
          </w:tcPr>
          <w:p>
            <w:pPr>
              <w:jc w:val="center"/>
              <w:ind w:right="1621"/>
              <w:spacing w:after="0"/>
              <w:rPr>
                <w:sz w:val="20"/>
                <w:szCs w:val="20"/>
                <w:color w:val="auto"/>
              </w:rPr>
            </w:pPr>
            <w:r>
              <w:rPr>
                <w:rFonts w:ascii="Courier New" w:cs="Courier New" w:eastAsia="Courier New" w:hAnsi="Courier New"/>
                <w:sz w:val="16"/>
                <w:szCs w:val="16"/>
                <w:color w:val="auto"/>
                <w:w w:val="98"/>
              </w:rPr>
              <w:t>Robert A. Mosley</w:t>
            </w:r>
          </w:p>
        </w:tc>
        <w:tc>
          <w:tcPr>
            <w:tcW w:w="4540" w:type="dxa"/>
            <w:vAlign w:val="bottom"/>
          </w:tcPr>
          <w:p>
            <w:pPr>
              <w:spacing w:after="0"/>
              <w:rPr>
                <w:sz w:val="15"/>
                <w:szCs w:val="15"/>
                <w:color w:val="auto"/>
              </w:rPr>
            </w:pPr>
          </w:p>
        </w:tc>
      </w:tr>
      <w:tr>
        <w:trPr>
          <w:trHeight w:val="364"/>
        </w:trPr>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jc w:val="center"/>
              <w:ind w:right="2241"/>
              <w:spacing w:after="0"/>
              <w:rPr>
                <w:sz w:val="20"/>
                <w:szCs w:val="20"/>
                <w:color w:val="auto"/>
              </w:rPr>
            </w:pPr>
            <w:r>
              <w:rPr>
                <w:rFonts w:ascii="Courier New" w:cs="Courier New" w:eastAsia="Courier New" w:hAnsi="Courier New"/>
                <w:sz w:val="16"/>
                <w:szCs w:val="16"/>
                <w:color w:val="auto"/>
              </w:rPr>
              <w:t>*</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1320" w:type="dxa"/>
            <w:vAlign w:val="bottom"/>
          </w:tcPr>
          <w:p>
            <w:pPr>
              <w:spacing w:after="0"/>
              <w:rPr>
                <w:sz w:val="15"/>
                <w:szCs w:val="15"/>
                <w:color w:val="auto"/>
              </w:rPr>
            </w:pPr>
          </w:p>
        </w:tc>
        <w:tc>
          <w:tcPr>
            <w:tcW w:w="3220" w:type="dxa"/>
            <w:vAlign w:val="bottom"/>
            <w:gridSpan w:val="2"/>
          </w:tcPr>
          <w:p>
            <w:pPr>
              <w:jc w:val="center"/>
              <w:ind w:right="1621"/>
              <w:spacing w:after="0"/>
              <w:rPr>
                <w:sz w:val="20"/>
                <w:szCs w:val="20"/>
                <w:color w:val="auto"/>
              </w:rPr>
            </w:pPr>
            <w:r>
              <w:rPr>
                <w:rFonts w:ascii="Courier New" w:cs="Courier New" w:eastAsia="Courier New" w:hAnsi="Courier New"/>
                <w:sz w:val="16"/>
                <w:szCs w:val="16"/>
                <w:color w:val="auto"/>
                <w:w w:val="98"/>
              </w:rPr>
              <w:t>John D. Spellman</w:t>
            </w:r>
          </w:p>
        </w:tc>
        <w:tc>
          <w:tcPr>
            <w:tcW w:w="4540" w:type="dxa"/>
            <w:vAlign w:val="bottom"/>
          </w:tcPr>
          <w:p>
            <w:pPr>
              <w:spacing w:after="0"/>
              <w:rPr>
                <w:sz w:val="15"/>
                <w:szCs w:val="15"/>
                <w:color w:val="auto"/>
              </w:rPr>
            </w:pPr>
          </w:p>
        </w:tc>
      </w:tr>
      <w:tr>
        <w:trPr>
          <w:trHeight w:val="364"/>
        </w:trPr>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jc w:val="center"/>
              <w:ind w:right="2241"/>
              <w:spacing w:after="0"/>
              <w:rPr>
                <w:sz w:val="20"/>
                <w:szCs w:val="20"/>
                <w:color w:val="auto"/>
              </w:rPr>
            </w:pPr>
            <w:r>
              <w:rPr>
                <w:rFonts w:ascii="Courier New" w:cs="Courier New" w:eastAsia="Courier New" w:hAnsi="Courier New"/>
                <w:sz w:val="16"/>
                <w:szCs w:val="16"/>
                <w:color w:val="auto"/>
              </w:rPr>
              <w:t>*</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1320" w:type="dxa"/>
            <w:vAlign w:val="bottom"/>
          </w:tcPr>
          <w:p>
            <w:pPr>
              <w:spacing w:after="0"/>
              <w:rPr>
                <w:sz w:val="15"/>
                <w:szCs w:val="15"/>
                <w:color w:val="auto"/>
              </w:rPr>
            </w:pPr>
          </w:p>
        </w:tc>
        <w:tc>
          <w:tcPr>
            <w:tcW w:w="3220" w:type="dxa"/>
            <w:vAlign w:val="bottom"/>
            <w:gridSpan w:val="2"/>
          </w:tcPr>
          <w:p>
            <w:pPr>
              <w:jc w:val="center"/>
              <w:ind w:right="1621"/>
              <w:spacing w:after="0"/>
              <w:rPr>
                <w:sz w:val="20"/>
                <w:szCs w:val="20"/>
                <w:color w:val="auto"/>
              </w:rPr>
            </w:pPr>
            <w:r>
              <w:rPr>
                <w:rFonts w:ascii="Courier New" w:cs="Courier New" w:eastAsia="Courier New" w:hAnsi="Courier New"/>
                <w:sz w:val="16"/>
                <w:szCs w:val="16"/>
                <w:color w:val="auto"/>
                <w:w w:val="98"/>
              </w:rPr>
              <w:t>Gene A. Meredith</w:t>
            </w:r>
          </w:p>
        </w:tc>
        <w:tc>
          <w:tcPr>
            <w:tcW w:w="4540" w:type="dxa"/>
            <w:vAlign w:val="bottom"/>
          </w:tcPr>
          <w:p>
            <w:pPr>
              <w:spacing w:after="0"/>
              <w:rPr>
                <w:sz w:val="15"/>
                <w:szCs w:val="15"/>
                <w:color w:val="auto"/>
              </w:rPr>
            </w:pPr>
          </w:p>
        </w:tc>
      </w:tr>
      <w:tr>
        <w:trPr>
          <w:trHeight w:val="364"/>
        </w:trPr>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jc w:val="center"/>
              <w:ind w:right="2241"/>
              <w:spacing w:after="0"/>
              <w:rPr>
                <w:sz w:val="20"/>
                <w:szCs w:val="20"/>
                <w:color w:val="auto"/>
              </w:rPr>
            </w:pPr>
            <w:r>
              <w:rPr>
                <w:rFonts w:ascii="Courier New" w:cs="Courier New" w:eastAsia="Courier New" w:hAnsi="Courier New"/>
                <w:sz w:val="16"/>
                <w:szCs w:val="16"/>
                <w:color w:val="auto"/>
              </w:rPr>
              <w:t>*</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4540" w:type="dxa"/>
            <w:vAlign w:val="bottom"/>
            <w:gridSpan w:val="3"/>
          </w:tcPr>
          <w:p>
            <w:pPr>
              <w:jc w:val="center"/>
              <w:ind w:right="221"/>
              <w:spacing w:after="0"/>
              <w:rPr>
                <w:sz w:val="20"/>
                <w:szCs w:val="20"/>
                <w:color w:val="auto"/>
              </w:rPr>
            </w:pPr>
            <w:r>
              <w:rPr>
                <w:rFonts w:ascii="Courier New" w:cs="Courier New" w:eastAsia="Courier New" w:hAnsi="Courier New"/>
                <w:sz w:val="16"/>
                <w:szCs w:val="16"/>
                <w:color w:val="auto"/>
                <w:w w:val="98"/>
              </w:rPr>
              <w:t>Richard J. Heckmann</w:t>
            </w:r>
          </w:p>
        </w:tc>
        <w:tc>
          <w:tcPr>
            <w:tcW w:w="4540" w:type="dxa"/>
            <w:vAlign w:val="bottom"/>
          </w:tcPr>
          <w:p>
            <w:pPr>
              <w:spacing w:after="0"/>
              <w:rPr>
                <w:sz w:val="15"/>
                <w:szCs w:val="15"/>
                <w:color w:val="auto"/>
              </w:rPr>
            </w:pPr>
          </w:p>
        </w:tc>
      </w:tr>
    </w:tbl>
    <w:p>
      <w:pPr>
        <w:spacing w:after="0" w:line="186" w:lineRule="exact"/>
        <w:rPr>
          <w:sz w:val="20"/>
          <w:szCs w:val="20"/>
          <w:color w:val="auto"/>
        </w:rPr>
      </w:pPr>
    </w:p>
    <w:p>
      <w:pPr>
        <w:ind w:left="1220" w:right="7199" w:hanging="466"/>
        <w:spacing w:after="0" w:line="237" w:lineRule="auto"/>
        <w:tabs>
          <w:tab w:leader="none" w:pos="103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 JOHN E. DRURY As Attorney-in-fact</w:t>
      </w:r>
    </w:p>
    <w:p>
      <w:pPr>
        <w:spacing w:after="0" w:line="3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295" w:right="1440" w:bottom="1440" w:gutter="0" w:footer="0" w:header="0"/>
        </w:sectPr>
      </w:pPr>
    </w:p>
    <w:bookmarkStart w:id="296" w:name="page297"/>
    <w:bookmarkEnd w:id="296"/>
    <w:p>
      <w:pPr>
        <w:ind w:left="283"/>
        <w:spacing w:after="0"/>
        <w:rPr>
          <w:sz w:val="20"/>
          <w:szCs w:val="20"/>
          <w:color w:val="auto"/>
        </w:rPr>
      </w:pPr>
      <w:r>
        <w:rPr>
          <w:rFonts w:ascii="Courier New" w:cs="Courier New" w:eastAsia="Courier New" w:hAnsi="Courier New"/>
          <w:sz w:val="16"/>
          <w:szCs w:val="16"/>
          <w:color w:val="auto"/>
        </w:rPr>
        <w:t>293</w:t>
      </w:r>
    </w:p>
    <w:p>
      <w:pPr>
        <w:spacing w:after="0" w:line="5" w:lineRule="exact"/>
        <w:rPr>
          <w:sz w:val="20"/>
          <w:szCs w:val="20"/>
          <w:color w:val="auto"/>
        </w:rPr>
      </w:pPr>
    </w:p>
    <w:p>
      <w:pPr>
        <w:ind w:left="183" w:hanging="183"/>
        <w:spacing w:after="0"/>
        <w:tabs>
          <w:tab w:leader="none" w:pos="18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26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THIS PROXY IS SOLICITED ON BEHALF OF THE BOARD OF DIRECTORS OF USA WASTE</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SERVICES, INC.</w:t>
      </w:r>
    </w:p>
    <w:p>
      <w:pPr>
        <w:spacing w:after="0" w:line="186" w:lineRule="exact"/>
        <w:rPr>
          <w:sz w:val="20"/>
          <w:szCs w:val="20"/>
          <w:color w:val="auto"/>
        </w:rPr>
      </w:pPr>
    </w:p>
    <w:p>
      <w:pPr>
        <w:ind w:left="3" w:right="2659" w:firstLine="284"/>
        <w:spacing w:after="0"/>
        <w:rPr>
          <w:sz w:val="20"/>
          <w:szCs w:val="20"/>
          <w:color w:val="auto"/>
        </w:rPr>
      </w:pPr>
      <w:r>
        <w:rPr>
          <w:rFonts w:ascii="Courier New" w:cs="Courier New" w:eastAsia="Courier New" w:hAnsi="Courier New"/>
          <w:sz w:val="16"/>
          <w:szCs w:val="16"/>
          <w:color w:val="auto"/>
        </w:rPr>
        <w:t>The undersigned, having received the Notice of Annual Meeting of Shareholders and Joint Proxy Statement and Prospectus, hereby appoints Donald F. Moorehead, Jr., John E. Drury, and David Sutherland-Yoest, and each or any of them as proxies, with full power of substitution and revocation to each, for and in the name and on behalf of the undersigned, to vote all shares of Common Stock, $.01 par value, of USA Waste Services, Inc. owned of record by the undersigned, which the undersigned is entitled to vote at the 1995 Annual Meeting of Shareholders of USA Waste Services, Inc. to be held on June 27, 1995, at 2:00 p.m., Dallas, Texas time, at the Grand Kempinski -- Dallas Hotel, 15201 Dallas Parkway, Dallas, Texas 75248, and any adjournments thereof, upon the matters listed below and, in their discretion, upon such other matters as may properly come before the meeting.</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George L. Ball, Earl E. DeFrates, John E. Drury, Richard D. Heckmann,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Gene A. Meredith, Donald P. Moorehead, Jr.,</w:t>
      </w:r>
    </w:p>
    <w:p>
      <w:pPr>
        <w:spacing w:after="0" w:line="1"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Robert A. Mosley, John D. Spellman, David Sutherland-Yoest</w:t>
      </w:r>
    </w:p>
    <w:p>
      <w:pPr>
        <w:spacing w:after="0" w:line="186" w:lineRule="exact"/>
        <w:rPr>
          <w:sz w:val="20"/>
          <w:szCs w:val="20"/>
          <w:color w:val="auto"/>
        </w:rPr>
      </w:pPr>
    </w:p>
    <w:p>
      <w:pPr>
        <w:ind w:left="3" w:right="3119" w:firstLine="284"/>
        <w:spacing w:after="0" w:line="239" w:lineRule="auto"/>
        <w:rPr>
          <w:sz w:val="20"/>
          <w:szCs w:val="20"/>
          <w:color w:val="auto"/>
        </w:rPr>
      </w:pPr>
      <w:r>
        <w:rPr>
          <w:rFonts w:ascii="Courier New" w:cs="Courier New" w:eastAsia="Courier New" w:hAnsi="Courier New"/>
          <w:sz w:val="16"/>
          <w:szCs w:val="16"/>
          <w:color w:val="auto"/>
        </w:rPr>
        <w:t>You are encouraged to specify your choices by marking the appropriate boxes (SEE BELOW), but you need not mark any boxes if you wish to vote in accordance with the Board of Directors' recommendations. The proxies cannot vote your shares unless you sign and return this card.</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/X/ Please mark your votes as in this example.</w:t>
      </w:r>
    </w:p>
    <w:p>
      <w:pPr>
        <w:spacing w:after="0" w:line="186" w:lineRule="exact"/>
        <w:rPr>
          <w:sz w:val="20"/>
          <w:szCs w:val="20"/>
          <w:color w:val="auto"/>
        </w:rPr>
      </w:pPr>
    </w:p>
    <w:p>
      <w:pPr>
        <w:ind w:left="3" w:right="3219" w:firstLine="284"/>
        <w:spacing w:after="0" w:line="260" w:lineRule="auto"/>
        <w:rPr>
          <w:sz w:val="20"/>
          <w:szCs w:val="20"/>
          <w:color w:val="auto"/>
        </w:rPr>
      </w:pPr>
      <w:r>
        <w:rPr>
          <w:rFonts w:ascii="Courier New" w:cs="Courier New" w:eastAsia="Courier New" w:hAnsi="Courier New"/>
          <w:sz w:val="15"/>
          <w:szCs w:val="15"/>
          <w:color w:val="auto"/>
        </w:rPr>
        <w:t>The Board of Directors recommends a vote FOR Proposals 1, 2, 3, 4, 5, 6 and 7. This proxy when properly executed will be voted in the manner directed herein. If no direction is made, this proxy will be voted FOR all of the Board of Directors' nominees and FOR Proposals 1, 3, 4, 5, 6 and 7.</w:t>
      </w:r>
    </w:p>
    <w:p>
      <w:pPr>
        <w:spacing w:after="0" w:line="173" w:lineRule="exact"/>
        <w:rPr>
          <w:sz w:val="20"/>
          <w:szCs w:val="20"/>
          <w:color w:val="auto"/>
        </w:rPr>
      </w:pPr>
    </w:p>
    <w:p>
      <w:pPr>
        <w:ind w:left="283" w:right="3219" w:hanging="283"/>
        <w:spacing w:after="0" w:line="239" w:lineRule="auto"/>
        <w:tabs>
          <w:tab w:leader="none" w:pos="283"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and adopt the Amended and Restated Agreement and Plan of Merger dated as of November 28, 1994, among USA Waste Services, Inc. (the "Company"), Chambers Acquisition Corporation, and Chambers Development Company, Inc.</w:t>
      </w:r>
    </w:p>
    <w:p>
      <w:pPr>
        <w:sectPr>
          <w:pgSz w:w="11900" w:h="16838" w:orient="portrait"/>
          <w:cols w:equalWidth="0" w:num="1">
            <w:col w:w="10222"/>
          </w:cols>
          <w:pgMar w:left="237" w:top="295" w:right="1440" w:bottom="0" w:gutter="0" w:footer="0" w:header="0"/>
        </w:sectPr>
      </w:pPr>
    </w:p>
    <w:p>
      <w:pPr>
        <w:spacing w:after="0" w:line="187" w:lineRule="exact"/>
        <w:rPr>
          <w:sz w:val="20"/>
          <w:szCs w:val="20"/>
          <w:color w:val="auto"/>
        </w:rPr>
      </w:pPr>
    </w:p>
    <w:p>
      <w:pPr>
        <w:ind w:left="38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193" w:lineRule="exact"/>
        <w:rPr>
          <w:sz w:val="20"/>
          <w:szCs w:val="20"/>
          <w:color w:val="auto"/>
        </w:rPr>
      </w:pPr>
    </w:p>
    <w:p>
      <w:pPr>
        <w:sectPr>
          <w:pgSz w:w="11900" w:h="16838" w:orient="portrait"/>
          <w:cols w:equalWidth="0" w:num="6">
            <w:col w:w="663" w:space="180"/>
            <w:col w:w="1180" w:space="720"/>
            <w:col w:w="280" w:space="200"/>
            <w:col w:w="1540" w:space="720"/>
            <w:col w:w="280" w:space="200"/>
            <w:col w:w="4259"/>
          </w:cols>
          <w:pgMar w:left="237" w:top="295" w:right="1440" w:bottom="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2. Election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Withheld</w:t>
      </w:r>
    </w:p>
    <w:p>
      <w:pPr>
        <w:spacing w:after="0" w:line="190" w:lineRule="exact"/>
        <w:rPr>
          <w:sz w:val="20"/>
          <w:szCs w:val="20"/>
          <w:color w:val="auto"/>
        </w:rPr>
      </w:pPr>
    </w:p>
    <w:p>
      <w:pPr>
        <w:sectPr>
          <w:pgSz w:w="11900" w:h="16838" w:orient="portrait"/>
          <w:cols w:equalWidth="0" w:num="5">
            <w:col w:w="2683" w:space="720"/>
            <w:col w:w="280" w:space="200"/>
            <w:col w:w="1160" w:space="720"/>
            <w:col w:w="280" w:space="200"/>
            <w:col w:w="3979"/>
          </w:cols>
          <w:pgMar w:left="237" w:top="295" w:right="1440" w:bottom="0" w:gutter="0" w:footer="0" w:header="0"/>
          <w:type w:val="continuous"/>
        </w:sectPr>
      </w:pPr>
    </w:p>
    <w:p>
      <w:pPr>
        <w:spacing w:after="0" w:line="4"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For, except vote withheld from the following 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2">
            <w:col w:w="6283" w:space="720"/>
            <w:col w:w="3219"/>
          </w:cols>
          <w:pgMar w:left="237" w:top="295" w:right="1440" w:bottom="0" w:gutter="0" w:footer="0" w:header="0"/>
          <w:type w:val="continuous"/>
        </w:sectPr>
      </w:pPr>
    </w:p>
    <w:p>
      <w:pPr>
        <w:ind w:left="2263"/>
        <w:spacing w:after="0"/>
        <w:rPr>
          <w:sz w:val="20"/>
          <w:szCs w:val="20"/>
          <w:color w:val="auto"/>
        </w:rPr>
      </w:pPr>
      <w:r>
        <w:rPr>
          <w:rFonts w:ascii="Courier New" w:cs="Courier New" w:eastAsia="Courier New" w:hAnsi="Courier New"/>
          <w:sz w:val="16"/>
          <w:szCs w:val="16"/>
          <w:color w:val="auto"/>
        </w:rPr>
        <w:t>(Continued on Reverse Side)</w:t>
      </w:r>
    </w:p>
    <w:p>
      <w:pPr>
        <w:spacing w:after="0" w:line="186" w:lineRule="exact"/>
        <w:rPr>
          <w:sz w:val="20"/>
          <w:szCs w:val="20"/>
          <w:color w:val="auto"/>
        </w:rPr>
      </w:pPr>
    </w:p>
    <w:p>
      <w:pPr>
        <w:ind w:left="183" w:hanging="183"/>
        <w:spacing w:after="0"/>
        <w:tabs>
          <w:tab w:leader="none" w:pos="18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83" w:right="3979" w:hanging="283"/>
        <w:spacing w:after="0" w:line="237" w:lineRule="auto"/>
        <w:tabs>
          <w:tab w:leader="none" w:pos="283"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change the domicile of the Company from Oklahoma to Delaware.</w:t>
      </w:r>
    </w:p>
    <w:p>
      <w:pPr>
        <w:spacing w:after="0" w:line="184" w:lineRule="exact"/>
        <w:rPr>
          <w:sz w:val="20"/>
          <w:szCs w:val="20"/>
          <w:color w:val="auto"/>
        </w:rPr>
      </w:pPr>
    </w:p>
    <w:p>
      <w:pPr>
        <w:ind w:left="383"/>
        <w:spacing w:after="0"/>
        <w:tabs>
          <w:tab w:leader="none" w:pos="823" w:val="left"/>
          <w:tab w:leader="none" w:pos="2723" w:val="left"/>
          <w:tab w:leader="none" w:pos="3203" w:val="left"/>
          <w:tab w:leader="none" w:pos="5463" w:val="left"/>
          <w:tab w:leader="none" w:pos="594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Abstain</w:t>
      </w:r>
    </w:p>
    <w:p>
      <w:pPr>
        <w:spacing w:after="0" w:line="186" w:lineRule="exact"/>
        <w:rPr>
          <w:sz w:val="20"/>
          <w:szCs w:val="20"/>
          <w:color w:val="auto"/>
        </w:rPr>
      </w:pPr>
    </w:p>
    <w:p>
      <w:pPr>
        <w:ind w:left="283" w:right="3219" w:hanging="283"/>
        <w:spacing w:after="0" w:line="238" w:lineRule="auto"/>
        <w:tabs>
          <w:tab w:leader="none" w:pos="283"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amend the Certificate of Incorporation of the Company to provide for classification of the Board of Directors into three classes and certain related matters.</w:t>
      </w:r>
    </w:p>
    <w:p>
      <w:pPr>
        <w:spacing w:after="0" w:line="184" w:lineRule="exact"/>
        <w:rPr>
          <w:sz w:val="20"/>
          <w:szCs w:val="20"/>
          <w:color w:val="auto"/>
        </w:rPr>
      </w:pPr>
    </w:p>
    <w:p>
      <w:pPr>
        <w:ind w:left="383"/>
        <w:spacing w:after="0"/>
        <w:tabs>
          <w:tab w:leader="none" w:pos="823" w:val="left"/>
          <w:tab w:leader="none" w:pos="2723" w:val="left"/>
          <w:tab w:leader="none" w:pos="3203" w:val="left"/>
          <w:tab w:leader="none" w:pos="5463" w:val="left"/>
          <w:tab w:leader="none" w:pos="594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Abstain</w:t>
      </w:r>
    </w:p>
    <w:p>
      <w:pPr>
        <w:spacing w:after="0" w:line="186" w:lineRule="exact"/>
        <w:rPr>
          <w:sz w:val="20"/>
          <w:szCs w:val="20"/>
          <w:color w:val="auto"/>
        </w:rPr>
      </w:pPr>
    </w:p>
    <w:p>
      <w:pPr>
        <w:ind w:left="283" w:right="3499" w:hanging="283"/>
        <w:spacing w:after="0" w:line="238" w:lineRule="auto"/>
        <w:tabs>
          <w:tab w:leader="none" w:pos="283"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amend the Certificate of Incorporation of the Company to increase the authorized shares of Common Stock, par value $.01 per share, from 50,000,000 to 150,000,000.</w:t>
      </w:r>
    </w:p>
    <w:p>
      <w:pPr>
        <w:spacing w:after="0" w:line="184" w:lineRule="exact"/>
        <w:rPr>
          <w:sz w:val="20"/>
          <w:szCs w:val="20"/>
          <w:color w:val="auto"/>
        </w:rPr>
      </w:pPr>
    </w:p>
    <w:p>
      <w:pPr>
        <w:ind w:left="383"/>
        <w:spacing w:after="0"/>
        <w:tabs>
          <w:tab w:leader="none" w:pos="823" w:val="left"/>
          <w:tab w:leader="none" w:pos="2723" w:val="left"/>
          <w:tab w:leader="none" w:pos="3203" w:val="left"/>
          <w:tab w:leader="none" w:pos="5463" w:val="left"/>
          <w:tab w:leader="none" w:pos="594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Abstain</w:t>
      </w:r>
    </w:p>
    <w:p>
      <w:pPr>
        <w:spacing w:after="0" w:line="186" w:lineRule="exact"/>
        <w:rPr>
          <w:sz w:val="20"/>
          <w:szCs w:val="20"/>
          <w:color w:val="auto"/>
        </w:rPr>
      </w:pPr>
    </w:p>
    <w:p>
      <w:pPr>
        <w:ind w:left="283" w:right="3419" w:hanging="283"/>
        <w:spacing w:after="0" w:line="262" w:lineRule="auto"/>
        <w:tabs>
          <w:tab w:leader="none" w:pos="28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amend the 1993 Stock Incentive Plan of the Company to increase the aggregate number of shares of the Company's Common Stock that may be issued under such Plan from 1,000,000 to 4,000,000.</w:t>
      </w:r>
    </w:p>
    <w:p>
      <w:pPr>
        <w:spacing w:after="0" w:line="167" w:lineRule="exact"/>
        <w:rPr>
          <w:sz w:val="20"/>
          <w:szCs w:val="20"/>
          <w:color w:val="auto"/>
        </w:rPr>
      </w:pPr>
    </w:p>
    <w:p>
      <w:pPr>
        <w:ind w:left="383"/>
        <w:spacing w:after="0"/>
        <w:tabs>
          <w:tab w:leader="none" w:pos="823" w:val="left"/>
          <w:tab w:leader="none" w:pos="2723" w:val="left"/>
          <w:tab w:leader="none" w:pos="3203" w:val="left"/>
          <w:tab w:leader="none" w:pos="5463" w:val="left"/>
          <w:tab w:leader="none" w:pos="594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Abstain</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The undersigned hereby revokes</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all proxies heretofore given</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by the undersigned to vote at</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said meeting or any</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adjournment thereof.</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Please sign your name exactly</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as it appears hereon. Joint</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owners must each sign. When</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signing as attorney, executor,</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administrator, trustee, or</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guardian, please give your</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full title as such.</w:t>
      </w:r>
    </w:p>
    <w:p>
      <w:pPr>
        <w:sectPr>
          <w:pgSz w:w="11900" w:h="16838" w:orient="portrait"/>
          <w:cols w:equalWidth="0" w:num="1">
            <w:col w:w="10222"/>
          </w:cols>
          <w:pgMar w:left="237" w:top="295" w:right="1440" w:bottom="0" w:gutter="0" w:footer="0" w:header="0"/>
          <w:type w:val="continuous"/>
        </w:sectPr>
      </w:pPr>
    </w:p>
    <w:bookmarkStart w:id="297" w:name="page298"/>
    <w:bookmarkEnd w:id="297"/>
    <w:p>
      <w:pPr>
        <w:ind w:left="42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540"/>
        <w:spacing w:after="0"/>
        <w:tabs>
          <w:tab w:leader="none" w:pos="640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Date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138" w:right="1440" w:bottom="1440" w:gutter="0" w:footer="0" w:header="0"/>
        </w:sectPr>
      </w:pPr>
    </w:p>
    <w:bookmarkStart w:id="298" w:name="page299"/>
    <w:bookmarkEnd w:id="298"/>
    <w:p>
      <w:pPr>
        <w:ind w:left="283"/>
        <w:spacing w:after="0"/>
        <w:rPr>
          <w:sz w:val="20"/>
          <w:szCs w:val="20"/>
          <w:color w:val="auto"/>
        </w:rPr>
      </w:pPr>
      <w:r>
        <w:rPr>
          <w:rFonts w:ascii="Courier New" w:cs="Courier New" w:eastAsia="Courier New" w:hAnsi="Courier New"/>
          <w:sz w:val="16"/>
          <w:szCs w:val="16"/>
          <w:color w:val="auto"/>
        </w:rPr>
        <w:t>294</w:t>
      </w:r>
    </w:p>
    <w:p>
      <w:pPr>
        <w:spacing w:after="0" w:line="186" w:lineRule="exact"/>
        <w:rPr>
          <w:sz w:val="20"/>
          <w:szCs w:val="20"/>
          <w:color w:val="auto"/>
        </w:rPr>
      </w:pPr>
    </w:p>
    <w:p>
      <w:pPr>
        <w:ind w:left="183" w:hanging="183"/>
        <w:spacing w:after="0"/>
        <w:tabs>
          <w:tab w:leader="none" w:pos="18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21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THIS PROXY IS SOLICITED ON BEHALF OF THE BOARD OF DIRECTORS OF CHAMBERS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DEVELOPMENT COMPANY, INC.</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undersigned, having received the Notice of Special Meeting of Stockholders and Joint Proxy Statement and Prospectus, hereby appoints John G. Rangos, Sr, John G. Rangos, Jr. and Alexander W. Rangos, and each or any of them as proxies, with full power of substitution and revocation to each, for and in the name and on behalf of the undersigned, to vote all shares of Common Stock, $.50 par value, of Chambers Development Company, Inc. owned of record by the undersigned, which the undersigned is entitled to vote at the Special Meeting of Stockholders of Chambers Development Company, Inc. to be held on June 27, 1995, at 10:00 a.m., Dallas, Texas time, at The Grand Kempinski-Dallas Hotel, 15201 Dallas Parkway, Dallas, Texas 75248, and any adjournments thereof, upon the matter listed on the reverse side hereof.</w:t>
      </w:r>
    </w:p>
    <w:p>
      <w:pPr>
        <w:spacing w:after="0" w:line="189"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You are encouraged to specify your choice by marking the appropriate box (SEE REVERSE SIDE), but you need not mark any box if you wish to vote in accordance with the Board of Directors' recommendation. The proxies cannot vote your shares unless you sign and return this card.</w:t>
      </w:r>
    </w:p>
    <w:p>
      <w:pPr>
        <w:spacing w:after="0" w:line="187"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The Board of Directors recommends a vote FOR the Proposal. This proxy when properly executed will be voted in the manner directed herein. If no direction is made, this proxy will be voted FOR the Proposal.</w:t>
      </w:r>
    </w:p>
    <w:p>
      <w:pPr>
        <w:spacing w:after="0" w:line="184"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See Reverse Side</w:t>
      </w:r>
    </w:p>
    <w:p>
      <w:pPr>
        <w:spacing w:after="0" w:line="186" w:lineRule="exact"/>
        <w:rPr>
          <w:sz w:val="20"/>
          <w:szCs w:val="20"/>
          <w:color w:val="auto"/>
        </w:rPr>
      </w:pPr>
    </w:p>
    <w:p>
      <w:pPr>
        <w:ind w:left="183" w:hanging="183"/>
        <w:spacing w:after="0"/>
        <w:tabs>
          <w:tab w:leader="none" w:pos="18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3"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295" w:right="1440" w:bottom="1440" w:gutter="0" w:footer="0" w:header="0"/>
        </w:sectPr>
      </w:pPr>
    </w:p>
    <w:p>
      <w:pPr>
        <w:spacing w:after="0" w:line="194"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X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PLEASE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YOUR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AS IN</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THIS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EXAMPLE</w:t>
      </w:r>
    </w:p>
    <w:p>
      <w:pPr>
        <w:spacing w:after="0" w:line="200" w:lineRule="exact"/>
        <w:rPr>
          <w:sz w:val="20"/>
          <w:szCs w:val="20"/>
          <w:color w:val="auto"/>
        </w:rPr>
      </w:pPr>
    </w:p>
    <w:p>
      <w:pPr>
        <w:sectPr>
          <w:pgSz w:w="11900" w:h="16838" w:orient="portrait"/>
          <w:cols w:equalWidth="0" w:num="2">
            <w:col w:w="463" w:space="480"/>
            <w:col w:w="9279"/>
          </w:cols>
          <w:pgMar w:left="237" w:top="295" w:right="1440" w:bottom="1440" w:gutter="0" w:footer="0" w:header="0"/>
          <w:type w:val="continuous"/>
        </w:sectPr>
      </w:pPr>
    </w:p>
    <w:p>
      <w:pPr>
        <w:spacing w:after="0" w:line="168" w:lineRule="exact"/>
        <w:rPr>
          <w:sz w:val="20"/>
          <w:szCs w:val="20"/>
          <w:color w:val="auto"/>
        </w:rPr>
      </w:pPr>
    </w:p>
    <w:p>
      <w:pPr>
        <w:ind w:left="3" w:right="2839" w:firstLine="473"/>
        <w:spacing w:after="0" w:line="262" w:lineRule="auto"/>
        <w:rPr>
          <w:sz w:val="20"/>
          <w:szCs w:val="20"/>
          <w:color w:val="auto"/>
        </w:rPr>
      </w:pPr>
      <w:r>
        <w:rPr>
          <w:rFonts w:ascii="Courier New" w:cs="Courier New" w:eastAsia="Courier New" w:hAnsi="Courier New"/>
          <w:sz w:val="15"/>
          <w:szCs w:val="15"/>
          <w:color w:val="auto"/>
        </w:rPr>
        <w:t>Proposal to approve and adopt the Amended and Restated Agreement and Plan of Merger dated as of November 28, 1994, among USA Waste Services, Inc., Chambers Acquisition Corporation and Chambers Development Company, Inc.</w:t>
      </w:r>
    </w:p>
    <w:p>
      <w:pPr>
        <w:spacing w:after="0" w:line="167" w:lineRule="exact"/>
        <w:rPr>
          <w:sz w:val="20"/>
          <w:szCs w:val="20"/>
          <w:color w:val="auto"/>
        </w:rPr>
      </w:pPr>
    </w:p>
    <w:p>
      <w:pPr>
        <w:ind w:left="1223"/>
        <w:spacing w:after="0"/>
        <w:tabs>
          <w:tab w:leader="none" w:pos="3003" w:val="left"/>
          <w:tab w:leader="none" w:pos="5183"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The undersigned hereby revokes all</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proxies heretofore given by the</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undersigned to vote at said meeting</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or any adjournments thereof.</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Please sign your name exactly as it</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appears hereon. Joint owners must</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each sign. When signing as</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attorney, executor, administrator,</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trustee, or guardian, please give</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your full title as such.</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643"/>
        <w:spacing w:after="0"/>
        <w:tabs>
          <w:tab w:leader="none" w:pos="6783"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Date</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2"/>
          </w:cols>
          <w:pgMar w:left="237" w:top="295" w:right="1440" w:bottom="1440" w:gutter="0" w:footer="0" w:header="0"/>
          <w:type w:val="continuous"/>
        </w:sectPr>
      </w:pPr>
    </w:p>
    <w:bookmarkStart w:id="299" w:name="page300"/>
    <w:bookmarkEnd w:id="299"/>
    <w:p>
      <w:pPr>
        <w:ind w:left="283"/>
        <w:spacing w:after="0"/>
        <w:rPr>
          <w:sz w:val="20"/>
          <w:szCs w:val="20"/>
          <w:color w:val="auto"/>
        </w:rPr>
      </w:pPr>
      <w:r>
        <w:rPr>
          <w:rFonts w:ascii="Courier New" w:cs="Courier New" w:eastAsia="Courier New" w:hAnsi="Courier New"/>
          <w:sz w:val="16"/>
          <w:szCs w:val="16"/>
          <w:color w:val="auto"/>
        </w:rPr>
        <w:t>295</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THIS PROXY IS SOLICITED ON BEHALF OF THE BOARD OF DIRECTORS OF CHAMBERS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DEVELOPMENT COMPANY, INC.</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undersigned, having received the Notice of Special Meeting of Stockholders and Joint Proxy Statement and Prospectus, hereby appoints John G. Rangos, Sr, John G. Rangos, Jr. and Alexander W. Rangos, and each or any of them as proxies, with full power of substitution and revocation to each, for and in the name and on behalf of the undersigned, to vote all shares of Class A Common Stock, $.50 par value, of Chambers Development Company, Inc. owned of record by the undersigned, which the undersigned is entitled to vote at the Special Meeting of Stockholders of Chambers Development Company, Inc. to be held on June 27, 1995, at 10:00 a.m., Dallas, Texas time, at The Grand Kempinski-Dallas Hotel, 15201 Dallas Parkway, Dallas, Texas 75248, and any adjournments thereof, upon the matter listed on the reverse side hereof.</w:t>
      </w:r>
    </w:p>
    <w:p>
      <w:pPr>
        <w:spacing w:after="0" w:line="189"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You are encouraged to specify your choice by marking the appropriate box (SEE REVERSE SIDE), but you need not mark any box if you wish to vote in accordance with the Board of Directors' recommendation. The proxies cannot vote your shares unless you sign and return this card.</w:t>
      </w:r>
    </w:p>
    <w:p>
      <w:pPr>
        <w:spacing w:after="0" w:line="187"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The Board of Directors recommends a vote FOR the Proposal. This proxy when properly executed will be voted in the manner directed herein. If no direction is made, this proxy will be voted FOR the Proposal.</w:t>
      </w:r>
    </w:p>
    <w:p>
      <w:pPr>
        <w:spacing w:after="0" w:line="184"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See Reverse Side</w:t>
      </w:r>
    </w:p>
    <w:p>
      <w:pPr>
        <w:spacing w:after="0" w:line="5" w:lineRule="exact"/>
        <w:rPr>
          <w:sz w:val="20"/>
          <w:szCs w:val="20"/>
          <w:color w:val="auto"/>
        </w:rPr>
      </w:pPr>
    </w:p>
    <w:p>
      <w:pPr>
        <w:ind w:left="183" w:hanging="183"/>
        <w:spacing w:after="0"/>
        <w:tabs>
          <w:tab w:leader="none" w:pos="18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3"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295" w:right="1440" w:bottom="1440" w:gutter="0" w:footer="0" w:header="0"/>
        </w:sectPr>
      </w:pPr>
    </w:p>
    <w:p>
      <w:pPr>
        <w:spacing w:after="0" w:line="194"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X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PLEASE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YOUR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AS IN</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THIS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EXAMPLE</w:t>
      </w:r>
    </w:p>
    <w:p>
      <w:pPr>
        <w:spacing w:after="0" w:line="200" w:lineRule="exact"/>
        <w:rPr>
          <w:sz w:val="20"/>
          <w:szCs w:val="20"/>
          <w:color w:val="auto"/>
        </w:rPr>
      </w:pPr>
    </w:p>
    <w:p>
      <w:pPr>
        <w:sectPr>
          <w:pgSz w:w="11900" w:h="16838" w:orient="portrait"/>
          <w:cols w:equalWidth="0" w:num="2">
            <w:col w:w="463" w:space="480"/>
            <w:col w:w="9279"/>
          </w:cols>
          <w:pgMar w:left="237" w:top="295" w:right="1440" w:bottom="1440" w:gutter="0" w:footer="0" w:header="0"/>
          <w:type w:val="continuous"/>
        </w:sectPr>
      </w:pPr>
    </w:p>
    <w:p>
      <w:pPr>
        <w:spacing w:after="0" w:line="168" w:lineRule="exact"/>
        <w:rPr>
          <w:sz w:val="20"/>
          <w:szCs w:val="20"/>
          <w:color w:val="auto"/>
        </w:rPr>
      </w:pPr>
    </w:p>
    <w:p>
      <w:pPr>
        <w:ind w:left="3" w:right="2839" w:firstLine="473"/>
        <w:spacing w:after="0" w:line="262" w:lineRule="auto"/>
        <w:rPr>
          <w:sz w:val="20"/>
          <w:szCs w:val="20"/>
          <w:color w:val="auto"/>
        </w:rPr>
      </w:pPr>
      <w:r>
        <w:rPr>
          <w:rFonts w:ascii="Courier New" w:cs="Courier New" w:eastAsia="Courier New" w:hAnsi="Courier New"/>
          <w:sz w:val="15"/>
          <w:szCs w:val="15"/>
          <w:color w:val="auto"/>
        </w:rPr>
        <w:t>Proposal to approve and adopt the Amended and Restated Agreement and Plan of Merger dated as of November 28, 1994, among USA Waste Services, Inc., Chambers Acquisition Corporation and Chambers Development Company, Inc.</w:t>
      </w:r>
    </w:p>
    <w:p>
      <w:pPr>
        <w:spacing w:after="0" w:line="167" w:lineRule="exact"/>
        <w:rPr>
          <w:sz w:val="20"/>
          <w:szCs w:val="20"/>
          <w:color w:val="auto"/>
        </w:rPr>
      </w:pPr>
    </w:p>
    <w:p>
      <w:pPr>
        <w:ind w:left="1223"/>
        <w:spacing w:after="0"/>
        <w:tabs>
          <w:tab w:leader="none" w:pos="3003" w:val="left"/>
          <w:tab w:leader="none" w:pos="5183"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The undersigned hereby revokes all</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proxies heretofore given by the</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undersigned to vote at said meeting</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or any adjournments thereof.</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Please sign your name exactly as it</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appears hereon. Joint owners must</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each sign. When signing as</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attorney, executor, administrator,</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trustee, or guardian, please give</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your full title as such.</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643"/>
        <w:spacing w:after="0"/>
        <w:tabs>
          <w:tab w:leader="none" w:pos="6783"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Date</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2"/>
          </w:cols>
          <w:pgMar w:left="237" w:top="295" w:right="1440" w:bottom="1440" w:gutter="0" w:footer="0" w:header="0"/>
          <w:type w:val="continuous"/>
        </w:sectPr>
      </w:pPr>
    </w:p>
    <w:bookmarkStart w:id="300" w:name="page301"/>
    <w:bookmarkEnd w:id="300"/>
    <w:p>
      <w:pPr>
        <w:ind w:left="280"/>
        <w:spacing w:after="0"/>
        <w:rPr>
          <w:sz w:val="20"/>
          <w:szCs w:val="20"/>
          <w:color w:val="auto"/>
        </w:rPr>
      </w:pPr>
      <w:r>
        <w:rPr>
          <w:rFonts w:ascii="Courier New" w:cs="Courier New" w:eastAsia="Courier New" w:hAnsi="Courier New"/>
          <w:sz w:val="16"/>
          <w:szCs w:val="16"/>
          <w:color w:val="auto"/>
        </w:rPr>
        <w:t>296</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0"/>
        <w:spacing w:after="0"/>
        <w:tabs>
          <w:tab w:leader="none" w:pos="782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SEQUENTIAL</w:t>
      </w:r>
    </w:p>
    <w:p>
      <w:pPr>
        <w:spacing w:after="0" w:line="1" w:lineRule="exact"/>
        <w:rPr>
          <w:sz w:val="20"/>
          <w:szCs w:val="20"/>
          <w:color w:val="auto"/>
        </w:rPr>
      </w:pPr>
    </w:p>
    <w:p>
      <w:pPr>
        <w:ind w:left="280"/>
        <w:spacing w:after="0"/>
        <w:tabs>
          <w:tab w:leader="none" w:pos="3860" w:val="left"/>
          <w:tab w:leader="none" w:pos="7820"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5"/>
          <w:szCs w:val="15"/>
          <w:color w:val="auto"/>
        </w:rPr>
        <w:t>PAGE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94" w:lineRule="exact"/>
        <w:rPr>
          <w:sz w:val="20"/>
          <w:szCs w:val="20"/>
          <w:color w:val="auto"/>
        </w:rPr>
      </w:pPr>
    </w:p>
    <w:p>
      <w:pPr>
        <w:ind w:left="1040" w:right="2459" w:hanging="945"/>
        <w:spacing w:after="0" w:line="239" w:lineRule="auto"/>
        <w:tabs>
          <w:tab w:leader="none" w:pos="10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 Amended and Restated Agreement and Plan of Merger dated as of November 28, 1994, among USA Waste Services, Inc. ("USA Waste"), Chambers Acquisition Corporation, a wholly owned subsidiary of USA Waste, and Chambers Development Company, Inc. ("Chambers") [included as Appendix A to the Joint Proxy Statement/Prospectus herein].</w:t>
      </w:r>
    </w:p>
    <w:p>
      <w:pPr>
        <w:spacing w:after="0" w:line="7" w:lineRule="exact"/>
        <w:rPr>
          <w:sz w:val="20"/>
          <w:szCs w:val="20"/>
          <w:color w:val="auto"/>
        </w:rPr>
      </w:pPr>
    </w:p>
    <w:p>
      <w:pPr>
        <w:ind w:left="1040" w:right="2559" w:hanging="945"/>
        <w:spacing w:after="0" w:line="238" w:lineRule="auto"/>
        <w:tabs>
          <w:tab w:leader="none" w:pos="10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 Certificate of Incorporation, as amended [incorporated by reference to Exhibit 3.1 to the Registrant's Registration Statement on Form S-18, File No. 33-20237-FW].</w:t>
      </w:r>
    </w:p>
    <w:p>
      <w:pPr>
        <w:spacing w:after="0" w:line="2" w:lineRule="exact"/>
        <w:rPr>
          <w:sz w:val="20"/>
          <w:szCs w:val="20"/>
          <w:color w:val="auto"/>
        </w:rPr>
      </w:pPr>
    </w:p>
    <w:p>
      <w:pPr>
        <w:jc w:val="center"/>
        <w:ind w:right="2179"/>
        <w:spacing w:after="0"/>
        <w:tabs>
          <w:tab w:leader="none" w:pos="3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 Bylaws, as amended [incorporated by reference to Exhibit 3.2 of the</w:t>
      </w:r>
    </w:p>
    <w:p>
      <w:pPr>
        <w:spacing w:after="0" w:line="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6"/>
          <w:szCs w:val="16"/>
          <w:color w:val="auto"/>
        </w:rPr>
        <w:t>Registrant's Registration Statement on Form S-18, File No.</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33-20237-FW].</w:t>
      </w:r>
    </w:p>
    <w:p>
      <w:pPr>
        <w:spacing w:after="0" w:line="5" w:lineRule="exact"/>
        <w:rPr>
          <w:sz w:val="20"/>
          <w:szCs w:val="20"/>
          <w:color w:val="auto"/>
        </w:rPr>
      </w:pPr>
    </w:p>
    <w:p>
      <w:pPr>
        <w:ind w:left="1040" w:right="2459" w:hanging="945"/>
        <w:spacing w:after="0" w:line="237" w:lineRule="auto"/>
        <w:tabs>
          <w:tab w:leader="none" w:pos="10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 Specimen Stock Certificate [incorporated by reference to Exhibit 3.2 of the Registrant's Registration Statement on Form 8-A, File No.</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0-17034, Reference No. 8-15-2847].</w:t>
      </w:r>
    </w:p>
    <w:p>
      <w:pPr>
        <w:spacing w:after="0" w:line="5" w:lineRule="exact"/>
        <w:rPr>
          <w:sz w:val="20"/>
          <w:szCs w:val="20"/>
          <w:color w:val="auto"/>
        </w:rPr>
      </w:pPr>
    </w:p>
    <w:p>
      <w:pPr>
        <w:ind w:left="1040" w:right="2559" w:hanging="945"/>
        <w:spacing w:after="0" w:line="256" w:lineRule="auto"/>
        <w:tabs>
          <w:tab w:leader="none" w:pos="10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 Indenture dated September 25, 1992, between USA Waste and The First National Bank of Boston, as trustee, with respect to USA Waste's</w:t>
      </w:r>
    </w:p>
    <w:p>
      <w:pPr>
        <w:spacing w:after="0" w:line="1" w:lineRule="exact"/>
        <w:rPr>
          <w:sz w:val="20"/>
          <w:szCs w:val="20"/>
          <w:color w:val="auto"/>
        </w:rPr>
      </w:pPr>
    </w:p>
    <w:p>
      <w:pPr>
        <w:ind w:left="1320" w:right="2459"/>
        <w:spacing w:after="0" w:line="238" w:lineRule="auto"/>
        <w:rPr>
          <w:sz w:val="20"/>
          <w:szCs w:val="20"/>
          <w:color w:val="auto"/>
        </w:rPr>
      </w:pPr>
      <w:r>
        <w:rPr>
          <w:rFonts w:ascii="Courier New" w:cs="Courier New" w:eastAsia="Courier New" w:hAnsi="Courier New"/>
          <w:sz w:val="16"/>
          <w:szCs w:val="16"/>
          <w:color w:val="auto"/>
        </w:rPr>
        <w:t>8 1/2% Convertible Subordinated Debentures Due 2002 [incorporated by reference to Exhibit 4.1 of the Registrant's Registration Statement on Form S-1, file No. 33-50918.]</w:t>
      </w:r>
    </w:p>
    <w:p>
      <w:pPr>
        <w:spacing w:after="0" w:line="6" w:lineRule="exact"/>
        <w:rPr>
          <w:sz w:val="20"/>
          <w:szCs w:val="20"/>
          <w:color w:val="auto"/>
        </w:rPr>
      </w:pPr>
    </w:p>
    <w:p>
      <w:pPr>
        <w:ind w:left="1040" w:right="2559" w:hanging="945"/>
        <w:spacing w:after="0" w:line="237" w:lineRule="auto"/>
        <w:tabs>
          <w:tab w:leader="none" w:pos="10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 Opinion of Snell &amp; Smith, P.C. as to the legality of the securities being registered.</w:t>
      </w:r>
    </w:p>
    <w:p>
      <w:pPr>
        <w:spacing w:after="0" w:line="6" w:lineRule="exact"/>
        <w:rPr>
          <w:sz w:val="20"/>
          <w:szCs w:val="20"/>
          <w:color w:val="auto"/>
        </w:rPr>
      </w:pPr>
    </w:p>
    <w:p>
      <w:pPr>
        <w:ind w:left="1040" w:right="2559" w:hanging="945"/>
        <w:spacing w:after="0" w:line="237" w:lineRule="auto"/>
        <w:tabs>
          <w:tab w:leader="none" w:pos="102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 Opinion of Thorp, Reed &amp; Armstrong as to certain federal income tax matters.</w:t>
      </w:r>
    </w:p>
    <w:p>
      <w:pPr>
        <w:spacing w:after="0" w:line="6" w:lineRule="exact"/>
        <w:rPr>
          <w:sz w:val="20"/>
          <w:szCs w:val="20"/>
          <w:color w:val="auto"/>
        </w:rPr>
      </w:pPr>
    </w:p>
    <w:p>
      <w:pPr>
        <w:ind w:left="1040" w:right="245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-- 1990 Stock Option Plan [incorporated by reference to Exhibit 10.1 of the Registrant's Annual Report on Form 10-K for the year ended December 31, 1990].</w:t>
      </w:r>
    </w:p>
    <w:p>
      <w:pPr>
        <w:spacing w:after="0" w:line="6" w:lineRule="exact"/>
        <w:rPr>
          <w:sz w:val="20"/>
          <w:szCs w:val="20"/>
          <w:color w:val="auto"/>
        </w:rPr>
      </w:pPr>
    </w:p>
    <w:p>
      <w:pPr>
        <w:ind w:left="1040" w:right="245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-- 1993 Stock Incentive Plan [incorporated by reference to Exhibit 10.1 of the Registrant's Annual Report on Form 10-K for the year ended December 31, 1993].</w:t>
      </w:r>
    </w:p>
    <w:p>
      <w:pPr>
        <w:spacing w:after="0" w:line="6" w:lineRule="exact"/>
        <w:rPr>
          <w:sz w:val="20"/>
          <w:szCs w:val="20"/>
          <w:color w:val="auto"/>
        </w:rPr>
      </w:pPr>
    </w:p>
    <w:p>
      <w:pPr>
        <w:ind w:left="1040" w:right="237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 Envirofil, Inc. ("Envirofil") 1993 Stock Incentive Plan [incorporated by reference to Exhibit 10.3 of the Registrant's Annual Report on Form 10-K for the year ended December 31, 1994].</w:t>
      </w:r>
    </w:p>
    <w:p>
      <w:pPr>
        <w:spacing w:after="0" w:line="6" w:lineRule="exact"/>
        <w:rPr>
          <w:sz w:val="20"/>
          <w:szCs w:val="20"/>
          <w:color w:val="auto"/>
        </w:rPr>
      </w:pPr>
    </w:p>
    <w:p>
      <w:pPr>
        <w:ind w:left="1040" w:right="25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 Asset Purchase Agreement dated August 12, 1993, between Chambers of Indiana, Inc. and USA Waste of Indiana, Inc. [incorporated by reference to Exhibit 2.2 of the Registrant's Current Report on Form 8-K dated September 30, 1993].</w:t>
      </w:r>
    </w:p>
    <w:p>
      <w:pPr>
        <w:spacing w:after="0" w:line="6" w:lineRule="exact"/>
        <w:rPr>
          <w:sz w:val="20"/>
          <w:szCs w:val="20"/>
          <w:color w:val="auto"/>
        </w:rPr>
      </w:pPr>
    </w:p>
    <w:p>
      <w:pPr>
        <w:ind w:left="1040" w:right="24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 Stock Purchase Agreement dated August 12, 1993, between Chambers and USA Waste of Indiana, Inc. [incorporated by reference to Exhibit 2.1 of the Registrant's Current Report on Form 8-K dated September 30, 1993].</w:t>
      </w:r>
    </w:p>
    <w:p>
      <w:pPr>
        <w:spacing w:after="0" w:line="6" w:lineRule="exact"/>
        <w:rPr>
          <w:sz w:val="20"/>
          <w:szCs w:val="20"/>
          <w:color w:val="auto"/>
        </w:rPr>
      </w:pPr>
    </w:p>
    <w:p>
      <w:pPr>
        <w:ind w:left="1040" w:right="24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 Agreement of Merger dated as of September 29, 1993, among USA Waste, USA Acquisition Co., Soil Remediation of Philadelphia, Inc., and Louis D. Paolino, Jr. [incorporated by reference to Exhibit 2.3 of the Registrant's Current Report on Form 8-K dated September 30, 1993].</w:t>
      </w:r>
    </w:p>
    <w:p>
      <w:pPr>
        <w:spacing w:after="0" w:line="7" w:lineRule="exact"/>
        <w:rPr>
          <w:sz w:val="20"/>
          <w:szCs w:val="20"/>
          <w:color w:val="auto"/>
        </w:rPr>
      </w:pPr>
    </w:p>
    <w:p>
      <w:pPr>
        <w:ind w:left="1040" w:right="24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 Agreement and Plan of Reorganization dated as of March 17, 1993, as amended on March 25, 1993, March 31, 1993 and August 20, 1993, between Envirofil and Environmental Waste of America, Inc. [incorporated by reference to Exhibit (c)(i) of Envirofil's Current Report on Form 8-K filed on November 16, 1993, as amended by Current Report on Form 8-K/A filed on January 18, 1994].</w:t>
      </w:r>
    </w:p>
    <w:p>
      <w:pPr>
        <w:spacing w:after="0" w:line="8" w:lineRule="exact"/>
        <w:rPr>
          <w:sz w:val="20"/>
          <w:szCs w:val="20"/>
          <w:color w:val="auto"/>
        </w:rPr>
      </w:pPr>
    </w:p>
    <w:p>
      <w:pPr>
        <w:ind w:left="1040" w:right="23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 Stock Purchase Agreement dated March 15, 1993, between Environmental Waste of America, Inc. and Donald G. Lindgren, as amended and assigned to Envirofil as of November 5, 1993 [incorporated by reference to Exhibit (c)(i) to Envirofil's Current Report on Form 8-K filed on November 16, 1993, as amended by Current Report on Form 8-K/A filed on January 18, 1994].</w:t>
      </w:r>
    </w:p>
    <w:p>
      <w:pPr>
        <w:sectPr>
          <w:pgSz w:w="11900" w:h="16838" w:orient="portrait"/>
          <w:cols w:equalWidth="0" w:num="1">
            <w:col w:w="10219"/>
          </w:cols>
          <w:pgMar w:left="240" w:top="295" w:right="1440" w:bottom="1440" w:gutter="0" w:footer="0" w:header="0"/>
        </w:sectPr>
      </w:pPr>
    </w:p>
    <w:bookmarkStart w:id="301" w:name="page302"/>
    <w:bookmarkEnd w:id="301"/>
    <w:p>
      <w:pPr>
        <w:ind w:left="280"/>
        <w:spacing w:after="0"/>
        <w:rPr>
          <w:sz w:val="20"/>
          <w:szCs w:val="20"/>
          <w:color w:val="auto"/>
        </w:rPr>
      </w:pPr>
      <w:r>
        <w:rPr>
          <w:rFonts w:ascii="Courier New" w:cs="Courier New" w:eastAsia="Courier New" w:hAnsi="Courier New"/>
          <w:sz w:val="16"/>
          <w:szCs w:val="16"/>
          <w:color w:val="auto"/>
        </w:rPr>
        <w:t>297</w:t>
      </w: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782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SEQUENTIAL</w:t>
      </w:r>
    </w:p>
    <w:p>
      <w:pPr>
        <w:spacing w:after="0" w:line="1" w:lineRule="exact"/>
        <w:rPr>
          <w:sz w:val="20"/>
          <w:szCs w:val="20"/>
          <w:color w:val="auto"/>
        </w:rPr>
      </w:pPr>
    </w:p>
    <w:p>
      <w:pPr>
        <w:ind w:left="280"/>
        <w:spacing w:after="0"/>
        <w:tabs>
          <w:tab w:leader="none" w:pos="3860" w:val="left"/>
          <w:tab w:leader="none" w:pos="7820"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5"/>
          <w:szCs w:val="15"/>
          <w:color w:val="auto"/>
        </w:rPr>
        <w:t>PAGE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94" w:lineRule="exact"/>
        <w:rPr>
          <w:sz w:val="20"/>
          <w:szCs w:val="20"/>
          <w:color w:val="auto"/>
        </w:rPr>
      </w:pPr>
    </w:p>
    <w:p>
      <w:pPr>
        <w:ind w:left="1040" w:right="24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 Stock Purchase Agreement dated March 19, 1993, among Envirofil, Meadowbrook Carting Co., Inc., and certain shareholders of Meadowbrook Carting Co., Inc. [incorporated by reference to Exhibit (c)(ii) of Envirofil's Current Report on Form 8-K filed February 28, 1994, as amended by Current Report on Form 8-K/A filed on May 11, 1994].</w:t>
      </w:r>
    </w:p>
    <w:p>
      <w:pPr>
        <w:spacing w:after="0" w:line="8" w:lineRule="exact"/>
        <w:rPr>
          <w:sz w:val="20"/>
          <w:szCs w:val="20"/>
          <w:color w:val="auto"/>
        </w:rPr>
      </w:pPr>
    </w:p>
    <w:p>
      <w:pPr>
        <w:ind w:left="1040" w:right="24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10.10</w:t>
        <w:tab/>
        <w:t>-- Stock Purchase Agreement dated March 19, 1993, among Envirofil, Mid-Jersey Disposal, Co., Inc., and certain shareholders of Mid-Jersey Disposal Co., Inc. [incorporated by reference to Exhibit (c)(ii) of Envirofil's Current Report on Form 8-K filed February 28, 1994, as amended by Current Report on Form 8-K/A filed on May 11, 1994].</w:t>
      </w:r>
    </w:p>
    <w:p>
      <w:pPr>
        <w:spacing w:after="0" w:line="8" w:lineRule="exact"/>
        <w:rPr>
          <w:sz w:val="20"/>
          <w:szCs w:val="20"/>
          <w:color w:val="auto"/>
        </w:rPr>
      </w:pPr>
    </w:p>
    <w:p>
      <w:pPr>
        <w:ind w:left="1040" w:right="23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10.11</w:t>
        <w:tab/>
        <w:t>-- Stock Purchase Agreement dated March 19, 1993, among Envirofil, Quality Recycling Co., Inc., and certain shareholders of Quality Recycling Co., Inc. [incorporated by reference to Exhibit (c)(iii) of Envirofil's Current Report on Form 8-K filed February 28, 1994, as amended by Current Report on Form 8-K/A filed on May 11, 1994].</w:t>
      </w:r>
    </w:p>
    <w:p>
      <w:pPr>
        <w:spacing w:after="0" w:line="7" w:lineRule="exact"/>
        <w:rPr>
          <w:sz w:val="20"/>
          <w:szCs w:val="20"/>
          <w:color w:val="auto"/>
        </w:rPr>
      </w:pPr>
    </w:p>
    <w:p>
      <w:pPr>
        <w:ind w:left="1040" w:right="24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10.12</w:t>
        <w:tab/>
        <w:t>-- Stock Purchase Agreement dated March 19, 1993, among Envirofil, Forcees, Inc., and certain shareholders of Forcees, Inc. [incorporated by reference to Exhibit (c)(iv) of Envirofil's Current Report on Form 8-K filed February 28, 1994, as amended by Current Report on Form 8-K/A filed on May 11, 1994].</w:t>
      </w:r>
    </w:p>
    <w:p>
      <w:pPr>
        <w:spacing w:after="0" w:line="7" w:lineRule="exact"/>
        <w:rPr>
          <w:sz w:val="20"/>
          <w:szCs w:val="20"/>
          <w:color w:val="auto"/>
        </w:rPr>
      </w:pPr>
    </w:p>
    <w:p>
      <w:pPr>
        <w:ind w:left="1040" w:right="23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10.13</w:t>
        <w:tab/>
        <w:t>-- Amended and Restated Plan and Agreement of Reorganization dated March 29, 1994, among USA Waste, Envirofil Acquisition Corporation, a wholly owned subsidiary of the Registrant, and Envirofil [incorporated by reference to Exhibit 2.1 to Registration Statement on Form S-4 (File No. 33-77110)].</w:t>
      </w:r>
    </w:p>
    <w:p>
      <w:pPr>
        <w:spacing w:after="0" w:line="7" w:lineRule="exact"/>
        <w:rPr>
          <w:sz w:val="20"/>
          <w:szCs w:val="20"/>
          <w:color w:val="auto"/>
        </w:rPr>
      </w:pPr>
    </w:p>
    <w:p>
      <w:pPr>
        <w:ind w:left="1040" w:right="23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10.14</w:t>
        <w:tab/>
        <w:t>-- Amended and Restated Revolving Credit Agreement dated as of November 28, 1994, among USA Waste, its subsidiaries, The First National Bank of Boston, Bank of America Illinois, Bank One Texas, National Association, The Bank of Nova Scotia, National Westminster Bank USA, and Banque Paribas [incorporated by reference to Exhibit 10.17 of the Registrant's Annual Report on Form 10-K for the year ended December 31, 1994].</w:t>
      </w:r>
    </w:p>
    <w:p>
      <w:pPr>
        <w:spacing w:after="0" w:line="10" w:lineRule="exact"/>
        <w:rPr>
          <w:sz w:val="20"/>
          <w:szCs w:val="20"/>
          <w:color w:val="auto"/>
        </w:rPr>
      </w:pPr>
    </w:p>
    <w:p>
      <w:pPr>
        <w:ind w:left="1040" w:right="25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10.15</w:t>
        <w:tab/>
        <w:t>-- Form of Employment Agreement between USA Waste and each of John E. Drury, Donald F. Moorehead, Jr., David Sutherland-Yoest and Charles A. Wilcox [incorporated by reference to Exhibit 10.18 of the Registrant's Annual Report on Form 10-K for the year ended December 31, 1994].</w:t>
      </w:r>
    </w:p>
    <w:p>
      <w:pPr>
        <w:spacing w:after="0" w:line="7" w:lineRule="exact"/>
        <w:rPr>
          <w:sz w:val="20"/>
          <w:szCs w:val="20"/>
          <w:color w:val="auto"/>
        </w:rPr>
      </w:pPr>
    </w:p>
    <w:p>
      <w:pPr>
        <w:ind w:left="1040" w:right="275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10.16</w:t>
        <w:tab/>
        <w:t>-- Employment Agreement between USA Waste and Earl E. DeFrates [incorporated by reference to Exhibit 10.19 of the Registrant's Annual Report on Form 10-K for the year ended December 31, 1994].</w:t>
      </w:r>
    </w:p>
    <w:p>
      <w:pPr>
        <w:spacing w:after="0" w:line="2" w:lineRule="exact"/>
        <w:rPr>
          <w:sz w:val="20"/>
          <w:szCs w:val="20"/>
          <w:color w:val="auto"/>
        </w:rPr>
      </w:pPr>
    </w:p>
    <w:p>
      <w:pPr>
        <w:ind w:left="280"/>
        <w:spacing w:after="0"/>
        <w:tabs>
          <w:tab w:leader="none" w:pos="102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5"/>
          <w:szCs w:val="15"/>
          <w:color w:val="auto"/>
        </w:rPr>
        <w:t>-- Employment Agreement between USA Waste and Gregory T. Sangalis.</w:t>
      </w:r>
    </w:p>
    <w:p>
      <w:pPr>
        <w:spacing w:after="0" w:line="5" w:lineRule="exact"/>
        <w:rPr>
          <w:sz w:val="20"/>
          <w:szCs w:val="20"/>
          <w:color w:val="auto"/>
        </w:rPr>
      </w:pPr>
    </w:p>
    <w:p>
      <w:pPr>
        <w:ind w:left="1040" w:right="255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6"/>
          <w:szCs w:val="16"/>
          <w:color w:val="auto"/>
        </w:rPr>
        <w:t>-- USA Waste statement regarding computation of earnings per share [incorporated by reference to Exhibit 11 of the Registrant's Annual Report on Form 10-K for the year ended December 31, 1994].</w:t>
      </w:r>
    </w:p>
    <w:p>
      <w:pPr>
        <w:spacing w:after="0" w:line="6" w:lineRule="exact"/>
        <w:rPr>
          <w:sz w:val="20"/>
          <w:szCs w:val="20"/>
          <w:color w:val="auto"/>
        </w:rPr>
      </w:pPr>
    </w:p>
    <w:p>
      <w:pPr>
        <w:ind w:left="1320" w:right="2459" w:hanging="1039"/>
        <w:spacing w:after="0" w:line="238" w:lineRule="auto"/>
        <w:tabs>
          <w:tab w:leader="none" w:pos="1036"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Subsidiaries of the Registrant [incorporated by reference to Exhibit 21 of the Registrant's Annual Report on Form 10-K for the year ended December 31, 1994].</w:t>
      </w:r>
    </w:p>
    <w:p>
      <w:pPr>
        <w:spacing w:after="0" w:line="2"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 Consent of Coopers &amp; Lybrand L.L.P.</w:t>
      </w:r>
    </w:p>
    <w:p>
      <w:pPr>
        <w:spacing w:after="0" w:line="1"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 Consent of Deloitte &amp; Touche LLP.</w:t>
      </w:r>
    </w:p>
    <w:p>
      <w:pPr>
        <w:spacing w:after="0" w:line="1"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5"/>
          <w:szCs w:val="15"/>
          <w:color w:val="auto"/>
        </w:rPr>
        <w:t>-- Consent of Arthur Andersen LLP.</w:t>
      </w:r>
    </w:p>
    <w:p>
      <w:pPr>
        <w:spacing w:after="0" w:line="1" w:lineRule="exact"/>
        <w:rPr>
          <w:sz w:val="20"/>
          <w:szCs w:val="20"/>
          <w:color w:val="auto"/>
        </w:rPr>
      </w:pPr>
    </w:p>
    <w:p>
      <w:pPr>
        <w:ind w:left="280"/>
        <w:spacing w:after="0"/>
        <w:tabs>
          <w:tab w:leader="none" w:pos="102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5"/>
          <w:szCs w:val="15"/>
          <w:color w:val="auto"/>
        </w:rPr>
        <w:t>-- Consent of Snell &amp; Smith, P.C. [included in Exhibit 5.1].</w:t>
      </w:r>
    </w:p>
    <w:p>
      <w:pPr>
        <w:spacing w:after="0" w:line="1" w:lineRule="exact"/>
        <w:rPr>
          <w:sz w:val="20"/>
          <w:szCs w:val="20"/>
          <w:color w:val="auto"/>
        </w:rPr>
      </w:pPr>
    </w:p>
    <w:p>
      <w:pPr>
        <w:ind w:left="280"/>
        <w:spacing w:after="0"/>
        <w:tabs>
          <w:tab w:leader="none" w:pos="102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5"/>
          <w:szCs w:val="15"/>
          <w:color w:val="auto"/>
        </w:rPr>
        <w:t>-- Consent of Thorp, Reed &amp; Armstrong [included in Exhibit 8.1].</w:t>
      </w:r>
    </w:p>
    <w:p>
      <w:pPr>
        <w:sectPr>
          <w:pgSz w:w="11900" w:h="16838" w:orient="portrait"/>
          <w:cols w:equalWidth="0" w:num="1">
            <w:col w:w="10219"/>
          </w:cols>
          <w:pgMar w:left="240" w:top="296" w:right="1440" w:bottom="1440" w:gutter="0" w:footer="0" w:header="0"/>
        </w:sectPr>
      </w:pPr>
    </w:p>
    <w:bookmarkStart w:id="302" w:name="page303"/>
    <w:bookmarkEnd w:id="302"/>
    <w:p>
      <w:pPr>
        <w:ind w:left="283"/>
        <w:spacing w:after="0"/>
        <w:rPr>
          <w:sz w:val="20"/>
          <w:szCs w:val="20"/>
          <w:color w:val="auto"/>
        </w:rPr>
      </w:pPr>
      <w:r>
        <w:rPr>
          <w:rFonts w:ascii="Courier New" w:cs="Courier New" w:eastAsia="Courier New" w:hAnsi="Courier New"/>
          <w:sz w:val="16"/>
          <w:szCs w:val="16"/>
          <w:color w:val="auto"/>
        </w:rPr>
        <w:t>298</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3"/>
        <w:spacing w:after="0"/>
        <w:tabs>
          <w:tab w:leader="none" w:pos="7823"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SEQUENTIAL</w:t>
      </w:r>
    </w:p>
    <w:p>
      <w:pPr>
        <w:spacing w:after="0" w:line="1" w:lineRule="exact"/>
        <w:rPr>
          <w:sz w:val="20"/>
          <w:szCs w:val="20"/>
          <w:color w:val="auto"/>
        </w:rPr>
      </w:pPr>
    </w:p>
    <w:p>
      <w:pPr>
        <w:ind w:left="283"/>
        <w:spacing w:after="0"/>
        <w:tabs>
          <w:tab w:leader="none" w:pos="3863" w:val="left"/>
          <w:tab w:leader="none" w:pos="7823"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5"/>
          <w:szCs w:val="15"/>
          <w:color w:val="auto"/>
        </w:rPr>
        <w:t>PAGE NUMBER</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 -----------------------------------------------------------------------------------</w:t>
      </w:r>
    </w:p>
    <w:p>
      <w:pPr>
        <w:spacing w:after="0" w:line="194" w:lineRule="exact"/>
        <w:rPr>
          <w:sz w:val="20"/>
          <w:szCs w:val="20"/>
          <w:color w:val="auto"/>
        </w:rPr>
      </w:pPr>
    </w:p>
    <w:p>
      <w:pPr>
        <w:ind w:left="1043" w:right="3039" w:hanging="1039"/>
        <w:spacing w:after="0" w:line="237" w:lineRule="auto"/>
        <w:tabs>
          <w:tab w:leader="none" w:pos="1023"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6"/>
          <w:szCs w:val="16"/>
          <w:color w:val="auto"/>
        </w:rPr>
        <w:t>-- Consent of Donaldson, Lufkin &amp; Jenrette Securities Corporation [included in Exhibit 99.1].</w:t>
      </w:r>
    </w:p>
    <w:p>
      <w:pPr>
        <w:spacing w:after="0" w:line="2" w:lineRule="exact"/>
        <w:rPr>
          <w:sz w:val="20"/>
          <w:szCs w:val="20"/>
          <w:color w:val="auto"/>
        </w:rPr>
      </w:pPr>
    </w:p>
    <w:p>
      <w:pPr>
        <w:ind w:left="283"/>
        <w:spacing w:after="0"/>
        <w:tabs>
          <w:tab w:leader="none" w:pos="1023" w:val="left"/>
        </w:tabs>
        <w:rPr>
          <w:sz w:val="20"/>
          <w:szCs w:val="20"/>
          <w:color w:val="auto"/>
        </w:rPr>
      </w:pPr>
      <w:r>
        <w:rPr>
          <w:rFonts w:ascii="Courier New" w:cs="Courier New" w:eastAsia="Courier New" w:hAnsi="Courier New"/>
          <w:sz w:val="16"/>
          <w:szCs w:val="16"/>
          <w:color w:val="auto"/>
        </w:rPr>
        <w:t>23.7</w:t>
      </w:r>
      <w:r>
        <w:rPr>
          <w:sz w:val="20"/>
          <w:szCs w:val="20"/>
          <w:color w:val="auto"/>
        </w:rPr>
        <w:tab/>
      </w:r>
      <w:r>
        <w:rPr>
          <w:rFonts w:ascii="Courier New" w:cs="Courier New" w:eastAsia="Courier New" w:hAnsi="Courier New"/>
          <w:sz w:val="15"/>
          <w:szCs w:val="15"/>
          <w:color w:val="auto"/>
        </w:rPr>
        <w:t>-- Consent of J.P. Morgan Securities Inc. [included in Exhibit 99.2].</w:t>
      </w:r>
    </w:p>
    <w:p>
      <w:pPr>
        <w:spacing w:after="0" w:line="5" w:lineRule="exact"/>
        <w:rPr>
          <w:sz w:val="20"/>
          <w:szCs w:val="20"/>
          <w:color w:val="auto"/>
        </w:rPr>
      </w:pPr>
    </w:p>
    <w:p>
      <w:pPr>
        <w:ind w:left="1043" w:right="2759" w:hanging="1039"/>
        <w:spacing w:after="0" w:line="237" w:lineRule="auto"/>
        <w:tabs>
          <w:tab w:leader="none" w:pos="1023"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 Powers of Attorney [included on the signature pages in Part II of this Registration Statement].</w:t>
      </w:r>
    </w:p>
    <w:p>
      <w:pPr>
        <w:spacing w:after="0" w:line="6" w:lineRule="exact"/>
        <w:rPr>
          <w:sz w:val="20"/>
          <w:szCs w:val="20"/>
          <w:color w:val="auto"/>
        </w:rPr>
      </w:pPr>
    </w:p>
    <w:p>
      <w:pPr>
        <w:ind w:left="1043" w:right="2939" w:hanging="1039"/>
        <w:spacing w:after="0" w:line="238" w:lineRule="auto"/>
        <w:tabs>
          <w:tab w:leader="none" w:pos="1023"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 Opinion of Donaldson, Lufkin &amp; Jenrette Securities Corporation [included as Appendix B to the Joint Proxy Statement/Prospectus herein].</w:t>
      </w:r>
    </w:p>
    <w:p>
      <w:pPr>
        <w:spacing w:after="0" w:line="6" w:lineRule="exact"/>
        <w:rPr>
          <w:sz w:val="20"/>
          <w:szCs w:val="20"/>
          <w:color w:val="auto"/>
        </w:rPr>
      </w:pPr>
    </w:p>
    <w:p>
      <w:pPr>
        <w:ind w:left="1043" w:right="2379" w:hanging="1039"/>
        <w:spacing w:after="0" w:line="237" w:lineRule="auto"/>
        <w:tabs>
          <w:tab w:leader="none" w:pos="1023" w:val="left"/>
        </w:tabs>
        <w:rPr>
          <w:sz w:val="20"/>
          <w:szCs w:val="20"/>
          <w:color w:val="auto"/>
        </w:rPr>
      </w:pPr>
      <w:r>
        <w:rPr>
          <w:rFonts w:ascii="Courier New" w:cs="Courier New" w:eastAsia="Courier New" w:hAnsi="Courier New"/>
          <w:sz w:val="16"/>
          <w:szCs w:val="16"/>
          <w:color w:val="auto"/>
        </w:rPr>
        <w:t>99.2</w:t>
      </w:r>
      <w:r>
        <w:rPr>
          <w:sz w:val="20"/>
          <w:szCs w:val="20"/>
          <w:color w:val="auto"/>
        </w:rPr>
        <w:tab/>
      </w:r>
      <w:r>
        <w:rPr>
          <w:rFonts w:ascii="Courier New" w:cs="Courier New" w:eastAsia="Courier New" w:hAnsi="Courier New"/>
          <w:sz w:val="16"/>
          <w:szCs w:val="16"/>
          <w:color w:val="auto"/>
        </w:rPr>
        <w:t>-- Opinion of J.P. Morgan Securities Inc. [included as Appendix C to the Joint Proxy Statement/Prospectus herein].</w:t>
      </w:r>
    </w:p>
    <w:p>
      <w:pPr>
        <w:spacing w:after="0" w:line="200" w:lineRule="exact"/>
        <w:rPr>
          <w:sz w:val="20"/>
          <w:szCs w:val="20"/>
          <w:color w:val="auto"/>
        </w:rPr>
      </w:pPr>
    </w:p>
    <w:p>
      <w:pPr>
        <w:spacing w:after="0" w:line="347" w:lineRule="exact"/>
        <w:rPr>
          <w:sz w:val="20"/>
          <w:szCs w:val="20"/>
          <w:color w:val="auto"/>
        </w:rPr>
      </w:pPr>
    </w:p>
    <w:p>
      <w:pPr>
        <w:ind w:left="183" w:hanging="183"/>
        <w:spacing w:after="0"/>
        <w:tabs>
          <w:tab w:leader="none" w:pos="18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ectPr>
          <w:pgSz w:w="11900" w:h="16838" w:orient="portrait"/>
          <w:cols w:equalWidth="0" w:num="1">
            <w:col w:w="10222"/>
          </w:cols>
          <w:pgMar w:left="237" w:top="295" w:right="1440" w:bottom="1440" w:gutter="0" w:footer="0" w:header="0"/>
        </w:sectPr>
      </w:pPr>
    </w:p>
    <w:bookmarkStart w:id="303" w:name="page304"/>
    <w:bookmarkEnd w:id="303"/>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23.1</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USA Waste Services, Inc.:</w:t>
      </w:r>
    </w:p>
    <w:p>
      <w:pPr>
        <w:spacing w:after="0" w:line="368"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We consent to the inclusion in and incorporation by reference into this registration statement of USA Waste Services, Inc. on Amendment No. 2 to Form S-4 of our report dated March 10, 1995, on our audits of the consolidated financial statements of USA Waste Services, Inc. included in this registration statement and incorporated by reference in the Annual Report on Form 10-K for the year ended December 31, 1994, as amended on Form 10-K/A (Amendment No. 1). We also consent to the reference to our firm under the caption "Experts."</w:t>
      </w:r>
    </w:p>
    <w:p>
      <w:pPr>
        <w:spacing w:after="0" w:line="354"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6"/>
          <w:szCs w:val="16"/>
          <w:color w:val="auto"/>
        </w:rPr>
        <w:t>COOPERS &amp; LYBRAND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18, 1995</w:t>
      </w:r>
    </w:p>
    <w:p>
      <w:pPr>
        <w:sectPr>
          <w:pgSz w:w="11900" w:h="16838" w:orient="portrait"/>
          <w:cols w:equalWidth="0" w:num="1">
            <w:col w:w="10219"/>
          </w:cols>
          <w:pgMar w:left="240" w:top="138" w:right="1440" w:bottom="1440" w:gutter="0" w:footer="0" w:header="0"/>
        </w:sectPr>
      </w:pPr>
    </w:p>
    <w:bookmarkStart w:id="304" w:name="page305"/>
    <w:bookmarkEnd w:id="304"/>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23.2</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INDEPENDENT AUDITORS' CONSENT</w:t>
      </w:r>
    </w:p>
    <w:p>
      <w:pPr>
        <w:spacing w:after="0" w:line="36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We consent to the use in this Amendment No. 2 to Registration Statement No. 33-59259 of USA Waste Services, Inc. on Form S-4 of our report dated March 30, 1995 on the consolidated financial statements of Chambers Development Company, Inc. and subsidiaries, appearing in the Joint Proxy Statement and Prospectus, which is part of such Registration Statement, and to the incorporation by reference into such Registration Statement of our report dated March 30, 1995 on the consolidated financial statements of Chambers Development Company, Inc. and subsidiaries, appearing in the Annual Report on Form 10-K of Chambers Development Company, Inc. for the year ended December 31, 1994. We also consent to the incorporation by reference of our report dated March 30, 1995 on the consolidated financial statements of Chambers Development Company, Inc. and subsidiaries, appearing in the Joint Proxy Statement and Prospectus, into the Registration Statements on Form S-3 (File Nos. 33-42988, 33-43809, 33-76226 and 33-85018) and on Form S-8 (File Nos. 33-43619, 33-72436, 33-84990 and 33-84988) of USA Waste Services, Inc. In addition, we consent to the reference to us under the heading "Experts" in the Joint Proxy Statement and Prospectus.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18, 1995</w:t>
      </w:r>
    </w:p>
    <w:p>
      <w:pPr>
        <w:sectPr>
          <w:pgSz w:w="11900" w:h="16838" w:orient="portrait"/>
          <w:cols w:equalWidth="0" w:num="1">
            <w:col w:w="10219"/>
          </w:cols>
          <w:pgMar w:left="240" w:top="137" w:right="1440" w:bottom="1440" w:gutter="0" w:footer="0" w:header="0"/>
        </w:sectPr>
      </w:pPr>
    </w:p>
    <w:bookmarkStart w:id="305" w:name="page306"/>
    <w:bookmarkEnd w:id="305"/>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23.3</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USA Waste Services, Inc.:</w:t>
      </w:r>
    </w:p>
    <w:p>
      <w:pPr>
        <w:spacing w:after="0" w:line="3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Amendment No. 2 to the Registration Statement on Form S-4 of our report dated March 25, 1994 on the Acquired New Jersey Solid Waste Companies included in the Envirofil, Inc.'s previously filed Form 8-K/A filed as of May 11, 1994. In addition, we hereby consent to the incorporation of our report dated September 22, 1993 on Envirofil, Inc. included in this Amendment No. 2 to the Registration Statement on Form S-4 and our report dated March 25, 1994 on the Acquired New Jersey Solid Waste Companies incorporated by reference in this Amendment No. 2 to the Registration Statement on Form S-4 into the USA Waste Services, Inc.'s previously filed Registration Statements on Form S-3 (File Nos. 33-42988, 33-43809, 33-76226 and 33-85018) and Registration Statements on Form S-8 (File Nos. 33-43619, 33-72436, 33-84990 and 33-84988) and to all references to our Firm included in this Amendment No. 2 to the Registration Statement on Form S-4.</w:t>
      </w:r>
    </w:p>
    <w:p>
      <w:pPr>
        <w:spacing w:after="0" w:line="36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ARTHUR ANDERSEN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18, 1995</w:t>
      </w:r>
    </w:p>
    <w:sectPr>
      <w:pgSz w:w="11900" w:h="16838" w:orient="portrait"/>
      <w:cols w:equalWidth="0" w:num="1">
        <w:col w:w="10219"/>
      </w:cols>
      <w:pgMar w:left="24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amp;"/>
      <w:numFmt w:val="bullet"/>
      <w:start w:val="1"/>
    </w:lvl>
  </w:abstractNum>
  <w:abstractNum w:abstractNumId="4">
    <w:nsid w:val="540A471C"/>
    <w:multiLevelType w:val="hybridMultilevel"/>
    <w:lvl w:ilvl="0">
      <w:lvlJc w:val="left"/>
      <w:lvlText w:val="%1."/>
      <w:numFmt w:val="decimal"/>
      <w:start w:val="1"/>
    </w:lvl>
  </w:abstractNum>
  <w:abstractNum w:abstractNumId="5">
    <w:nsid w:val="7BD3EE7B"/>
    <w:multiLevelType w:val="hybridMultilevel"/>
    <w:lvl w:ilvl="0">
      <w:lvlJc w:val="left"/>
      <w:lvlText w:val="(%1)"/>
      <w:numFmt w:val="decimal"/>
      <w:start w:val="214"/>
    </w:lvl>
  </w:abstractNum>
  <w:abstractNum w:abstractNumId="6">
    <w:nsid w:val="51D9C564"/>
    <w:multiLevelType w:val="hybridMultilevel"/>
    <w:lvl w:ilvl="0">
      <w:lvlJc w:val="left"/>
      <w:lvlText w:val="(%1)"/>
      <w:numFmt w:val="lowerRoman"/>
      <w:start w:val="3"/>
    </w:lvl>
  </w:abstractNum>
  <w:abstractNum w:abstractNumId="7">
    <w:nsid w:val="613EFDC5"/>
    <w:multiLevelType w:val="hybridMultilevel"/>
    <w:lvl w:ilvl="0">
      <w:lvlJc w:val="left"/>
      <w:lvlText w:val="(%1)"/>
      <w:numFmt w:val="lowerLetter"/>
      <w:start w:val="35"/>
    </w:lvl>
  </w:abstractNum>
  <w:abstractNum w:abstractNumId="8">
    <w:nsid w:val="BF72B14"/>
    <w:multiLevelType w:val="hybridMultilevel"/>
    <w:lvl w:ilvl="0">
      <w:lvlJc w:val="left"/>
      <w:lvlText w:val="(%1)"/>
      <w:numFmt w:val="lowerLetter"/>
      <w:start w:val="25"/>
    </w:lvl>
  </w:abstractNum>
  <w:abstractNum w:abstractNumId="9">
    <w:nsid w:val="11447B73"/>
    <w:multiLevelType w:val="hybridMultilevel"/>
    <w:lvl w:ilvl="0">
      <w:lvlJc w:val="left"/>
      <w:lvlText w:val="(%1)"/>
      <w:numFmt w:val="decimal"/>
      <w:start w:val="1"/>
    </w:lvl>
  </w:abstractNum>
  <w:abstractNum w:abstractNumId="10">
    <w:nsid w:val="42963E5A"/>
    <w:multiLevelType w:val="hybridMultilevel"/>
    <w:lvl w:ilvl="0">
      <w:lvlJc w:val="left"/>
      <w:lvlText w:val="(%1)"/>
      <w:numFmt w:val="decimal"/>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1)"/>
      <w:numFmt w:val="decimal"/>
      <w:start w:val="1"/>
    </w:lvl>
  </w:abstractNum>
  <w:abstractNum w:abstractNumId="13">
    <w:nsid w:val="1A32234B"/>
    <w:multiLevelType w:val="hybridMultilevel"/>
    <w:lvl w:ilvl="0">
      <w:lvlJc w:val="left"/>
      <w:lvlText w:val="(%1)"/>
      <w:numFmt w:val="lowerRoman"/>
      <w:start w:val="4"/>
    </w:lvl>
  </w:abstractNum>
  <w:abstractNum w:abstractNumId="14">
    <w:nsid w:val="3B0FD379"/>
    <w:multiLevelType w:val="hybridMultilevel"/>
    <w:lvl w:ilvl="0">
      <w:lvlJc w:val="left"/>
      <w:lvlText w:val="(%1)"/>
      <w:numFmt w:val="lowerRoman"/>
      <w:start w:val="7"/>
    </w:lvl>
  </w:abstractNum>
  <w:abstractNum w:abstractNumId="15">
    <w:nsid w:val="68EB2F63"/>
    <w:multiLevelType w:val="hybridMultilevel"/>
    <w:lvl w:ilvl="0">
      <w:lvlJc w:val="left"/>
      <w:lvlText w:val="(%1)"/>
      <w:numFmt w:val="upperLetter"/>
      <w:start w:val="3"/>
    </w:lvl>
  </w:abstractNum>
  <w:abstractNum w:abstractNumId="16">
    <w:nsid w:val="4962813B"/>
    <w:multiLevelType w:val="hybridMultilevel"/>
    <w:lvl w:ilvl="0">
      <w:lvlJc w:val="left"/>
      <w:lvlText w:val="(%1)"/>
      <w:numFmt w:val="lowerLetter"/>
      <w:start w:val="1"/>
    </w:lvl>
  </w:abstractNum>
  <w:abstractNum w:abstractNumId="17">
    <w:nsid w:val="60B6DF70"/>
    <w:multiLevelType w:val="hybridMultilevel"/>
    <w:lvl w:ilvl="0">
      <w:lvlJc w:val="left"/>
      <w:lvlText w:val="(%1)"/>
      <w:numFmt w:val="decimal"/>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1)"/>
      <w:numFmt w:val="decimal"/>
      <w:start w:val="1"/>
    </w:lvl>
  </w:abstractNum>
  <w:abstractNum w:abstractNumId="20">
    <w:nsid w:val="7FFFCA11"/>
    <w:multiLevelType w:val="hybridMultilevel"/>
    <w:lvl w:ilvl="0">
      <w:lvlJc w:val="left"/>
      <w:lvlText w:val="-"/>
      <w:numFmt w:val="bullet"/>
      <w:start w:val="1"/>
    </w:lvl>
    <w:lvl w:ilvl="1">
      <w:lvlJc w:val="left"/>
      <w:lvlText w:val="(%2)"/>
      <w:numFmt w:val="decimal"/>
      <w:start w:val="1"/>
    </w:lvl>
  </w:abstractNum>
  <w:abstractNum w:abstractNumId="21">
    <w:nsid w:val="1A27709E"/>
    <w:multiLevelType w:val="hybridMultilevel"/>
    <w:lvl w:ilvl="0">
      <w:lvlJc w:val="left"/>
      <w:lvlText w:val="(%1)"/>
      <w:numFmt w:val="decimal"/>
      <w:start w:val="1"/>
    </w:lvl>
  </w:abstractNum>
  <w:abstractNum w:abstractNumId="22">
    <w:nsid w:val="71EA1109"/>
    <w:multiLevelType w:val="hybridMultilevel"/>
    <w:lvl w:ilvl="0">
      <w:lvlJc w:val="left"/>
      <w:lvlText w:val="(%1)"/>
      <w:numFmt w:val="decimal"/>
      <w:start w:val="2"/>
    </w:lvl>
  </w:abstractNum>
  <w:abstractNum w:abstractNumId="23">
    <w:nsid w:val="100F59DC"/>
    <w:multiLevelType w:val="hybridMultilevel"/>
    <w:lvl w:ilvl="0">
      <w:lvlJc w:val="left"/>
      <w:lvlText w:val="(%1)"/>
      <w:numFmt w:val="decimal"/>
      <w:start w:val="1"/>
    </w:lvl>
  </w:abstractNum>
  <w:abstractNum w:abstractNumId="24">
    <w:nsid w:val="7FB7E0AA"/>
    <w:multiLevelType w:val="hybridMultilevel"/>
    <w:lvl w:ilvl="0">
      <w:lvlJc w:val="left"/>
      <w:lvlText w:val="(%1)"/>
      <w:numFmt w:val="decimal"/>
      <w:start w:val="4"/>
    </w:lvl>
  </w:abstractNum>
  <w:abstractNum w:abstractNumId="25">
    <w:nsid w:val="6EB5BD4"/>
    <w:multiLevelType w:val="hybridMultilevel"/>
    <w:lvl w:ilvl="0">
      <w:lvlJc w:val="left"/>
      <w:lvlText w:val="(%1)"/>
      <w:numFmt w:val="lowerRoman"/>
      <w:start w:val="2"/>
    </w:lvl>
  </w:abstractNum>
  <w:abstractNum w:abstractNumId="26">
    <w:nsid w:val="6F6DD9AC"/>
    <w:multiLevelType w:val="hybridMultilevel"/>
    <w:lvl w:ilvl="0">
      <w:lvlJc w:val="left"/>
      <w:lvlText w:val="(%1)"/>
      <w:numFmt w:val="lowerRoman"/>
      <w:start w:val="4"/>
    </w:lvl>
  </w:abstractNum>
  <w:abstractNum w:abstractNumId="27">
    <w:nsid w:val="94211F2"/>
    <w:multiLevelType w:val="hybridMultilevel"/>
    <w:lvl w:ilvl="0">
      <w:lvlJc w:val="left"/>
      <w:lvlText w:val="&amp;"/>
      <w:numFmt w:val="bullet"/>
      <w:start w:val="1"/>
    </w:lvl>
  </w:abstractNum>
  <w:abstractNum w:abstractNumId="28">
    <w:nsid w:val="885E1B"/>
    <w:multiLevelType w:val="hybridMultilevel"/>
    <w:lvl w:ilvl="0">
      <w:lvlJc w:val="left"/>
      <w:lvlText w:val="(%1)"/>
      <w:numFmt w:val="lowerLetter"/>
      <w:start w:val="5"/>
    </w:lvl>
  </w:abstractNum>
  <w:abstractNum w:abstractNumId="29">
    <w:nsid w:val="76272110"/>
    <w:multiLevelType w:val="hybridMultilevel"/>
    <w:lvl w:ilvl="0">
      <w:lvlJc w:val="left"/>
      <w:lvlText w:val="(%1)"/>
      <w:numFmt w:val="lowerRoman"/>
      <w:start w:val="3"/>
    </w:lvl>
  </w:abstractNum>
  <w:abstractNum w:abstractNumId="30">
    <w:nsid w:val="4C04A8AF"/>
    <w:multiLevelType w:val="hybridMultilevel"/>
    <w:lvl w:ilvl="0">
      <w:lvlJc w:val="left"/>
      <w:lvlText w:val="(%1)"/>
      <w:numFmt w:val="lowerRoman"/>
      <w:start w:val="6"/>
    </w:lvl>
  </w:abstractNum>
  <w:abstractNum w:abstractNumId="31">
    <w:nsid w:val="1716703B"/>
    <w:multiLevelType w:val="hybridMultilevel"/>
    <w:lvl w:ilvl="0">
      <w:lvlJc w:val="left"/>
      <w:lvlText w:val="(%1)"/>
      <w:numFmt w:val="lowerRoman"/>
      <w:start w:val="1"/>
    </w:lvl>
  </w:abstractNum>
  <w:abstractNum w:abstractNumId="32">
    <w:nsid w:val="14E17E33"/>
    <w:multiLevelType w:val="hybridMultilevel"/>
    <w:lvl w:ilvl="0">
      <w:lvlJc w:val="left"/>
      <w:lvlText w:val="(%1)"/>
      <w:numFmt w:val="lowerRoman"/>
      <w:start w:val="8"/>
    </w:lvl>
  </w:abstractNum>
  <w:abstractNum w:abstractNumId="33">
    <w:nsid w:val="3222E7CD"/>
    <w:multiLevelType w:val="hybridMultilevel"/>
    <w:lvl w:ilvl="0">
      <w:lvlJc w:val="left"/>
      <w:lvlText w:val="(%1)"/>
      <w:numFmt w:val="lowerLetter"/>
      <w:start w:val="1"/>
    </w:lvl>
  </w:abstractNum>
  <w:abstractNum w:abstractNumId="34">
    <w:nsid w:val="74DE0EE3"/>
    <w:multiLevelType w:val="hybridMultilevel"/>
    <w:lvl w:ilvl="0">
      <w:lvlJc w:val="left"/>
      <w:lvlText w:val="(%1)"/>
      <w:numFmt w:val="lowerLetter"/>
      <w:start w:val="4"/>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1)"/>
      <w:numFmt w:val="decimal"/>
      <w:start w:val="1"/>
    </w:lvl>
  </w:abstractNum>
  <w:abstractNum w:abstractNumId="37">
    <w:nsid w:val="46B7D447"/>
    <w:multiLevelType w:val="hybridMultilevel"/>
    <w:lvl w:ilvl="0">
      <w:lvlJc w:val="left"/>
      <w:lvlText w:val="(%1)"/>
      <w:numFmt w:val="decimal"/>
      <w:start w:val="1"/>
    </w:lvl>
  </w:abstractNum>
  <w:abstractNum w:abstractNumId="38">
    <w:nsid w:val="4A2AC315"/>
    <w:multiLevelType w:val="hybridMultilevel"/>
    <w:lvl w:ilvl="0">
      <w:lvlJc w:val="left"/>
      <w:lvlText w:val="(%1)"/>
      <w:numFmt w:val="decimal"/>
      <w:start w:val="2"/>
    </w:lvl>
  </w:abstractNum>
  <w:abstractNum w:abstractNumId="39">
    <w:nsid w:val="39EE015C"/>
    <w:multiLevelType w:val="hybridMultilevel"/>
    <w:lvl w:ilvl="0">
      <w:lvlJc w:val="left"/>
      <w:lvlText w:val="(%1)"/>
      <w:numFmt w:val="decimal"/>
      <w:start w:val="1"/>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1."/>
      <w:numFmt w:val="decimal"/>
      <w:start w:val="6"/>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1."/>
      <w:numFmt w:val="decimal"/>
      <w:start w:val="14"/>
    </w:lvl>
  </w:abstractNum>
  <w:abstractNum w:abstractNumId="44">
    <w:nsid w:val="26F324BA"/>
    <w:multiLevelType w:val="hybridMultilevel"/>
    <w:lvl w:ilvl="0">
      <w:lvlJc w:val="left"/>
      <w:lvlText w:val="(%1)"/>
      <w:numFmt w:val="lowerRoman"/>
      <w:start w:val="7"/>
    </w:lvl>
  </w:abstractNum>
  <w:abstractNum w:abstractNumId="45">
    <w:nsid w:val="7F01579B"/>
    <w:multiLevelType w:val="hybridMultilevel"/>
    <w:lvl w:ilvl="0">
      <w:lvlJc w:val="left"/>
      <w:lvlText w:val="(%1)"/>
      <w:numFmt w:val="lowerRoman"/>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1)"/>
      <w:numFmt w:val="lowerLetter"/>
      <w:start w:val="1"/>
    </w:lvl>
  </w:abstractNum>
  <w:abstractNum w:abstractNumId="49">
    <w:nsid w:val="50801EE1"/>
    <w:multiLevelType w:val="hybridMultilevel"/>
    <w:lvl w:ilvl="0">
      <w:lvlJc w:val="left"/>
      <w:lvlText w:val="(%1)"/>
      <w:numFmt w:val="lowerLetter"/>
      <w:start w:val="1"/>
    </w:lvl>
  </w:abstractNum>
  <w:abstractNum w:abstractNumId="50">
    <w:nsid w:val="488AC1A"/>
    <w:multiLevelType w:val="hybridMultilevel"/>
    <w:lvl w:ilvl="0">
      <w:lvlJc w:val="left"/>
      <w:lvlText w:val="(%1)"/>
      <w:numFmt w:val="lowerLetter"/>
      <w:start w:val="2"/>
    </w:lvl>
  </w:abstractNum>
  <w:abstractNum w:abstractNumId="51">
    <w:nsid w:val="5FB8011C"/>
    <w:multiLevelType w:val="hybridMultilevel"/>
    <w:lvl w:ilvl="0">
      <w:lvlJc w:val="left"/>
      <w:lvlText w:val="(%1)"/>
      <w:numFmt w:val="lowerLetter"/>
      <w:start w:val="1"/>
    </w:lvl>
  </w:abstractNum>
  <w:abstractNum w:abstractNumId="52">
    <w:nsid w:val="6AA78F7F"/>
    <w:multiLevelType w:val="hybridMultilevel"/>
    <w:lvl w:ilvl="0">
      <w:lvlJc w:val="left"/>
      <w:lvlText w:val="(%1)"/>
      <w:numFmt w:val="lowerLetter"/>
      <w:start w:val="2"/>
    </w:lvl>
  </w:abstractNum>
  <w:abstractNum w:abstractNumId="53">
    <w:nsid w:val="7672BD23"/>
    <w:multiLevelType w:val="hybridMultilevel"/>
    <w:lvl w:ilvl="0">
      <w:lvlJc w:val="left"/>
      <w:lvlText w:val="(%1)"/>
      <w:numFmt w:val="lowerLetter"/>
      <w:start w:val="1"/>
    </w:lvl>
  </w:abstractNum>
  <w:abstractNum w:abstractNumId="54">
    <w:nsid w:val="6FC75AF8"/>
    <w:multiLevelType w:val="hybridMultilevel"/>
    <w:lvl w:ilvl="0">
      <w:lvlJc w:val="left"/>
      <w:lvlText w:val="(%1)"/>
      <w:numFmt w:val="lowerLetter"/>
      <w:start w:val="2"/>
    </w:lvl>
  </w:abstractNum>
  <w:abstractNum w:abstractNumId="55">
    <w:nsid w:val="6A5F7029"/>
    <w:multiLevelType w:val="hybridMultilevel"/>
    <w:lvl w:ilvl="0">
      <w:lvlJc w:val="left"/>
      <w:lvlText w:val="(%1)"/>
      <w:numFmt w:val="lowerRoman"/>
      <w:start w:val="1"/>
    </w:lvl>
  </w:abstractNum>
  <w:abstractNum w:abstractNumId="56">
    <w:nsid w:val="7D5E18F8"/>
    <w:multiLevelType w:val="hybridMultilevel"/>
    <w:lvl w:ilvl="0">
      <w:lvlJc w:val="left"/>
      <w:lvlText w:val="(%1)"/>
      <w:numFmt w:val="lowerLetter"/>
      <w:start w:val="1"/>
    </w:lvl>
  </w:abstractNum>
  <w:abstractNum w:abstractNumId="57">
    <w:nsid w:val="5F3534A4"/>
    <w:multiLevelType w:val="hybridMultilevel"/>
    <w:lvl w:ilvl="0">
      <w:lvlJc w:val="left"/>
      <w:lvlText w:val="(%1)"/>
      <w:numFmt w:val="lowerLetter"/>
      <w:start w:val="2"/>
    </w:lvl>
  </w:abstractNum>
  <w:abstractNum w:abstractNumId="58">
    <w:nsid w:val="73A1821B"/>
    <w:multiLevelType w:val="hybridMultilevel"/>
    <w:lvl w:ilvl="0">
      <w:lvlJc w:val="left"/>
      <w:lvlText w:val="%1"/>
      <w:numFmt w:val="lowerLetter"/>
      <w:start w:val="1"/>
    </w:lvl>
    <w:lvl w:ilvl="1">
      <w:lvlJc w:val="left"/>
      <w:lvlText w:val="(%2)"/>
      <w:numFmt w:val="lowerLetter"/>
      <w:start w:val="2"/>
    </w:lvl>
  </w:abstractNum>
  <w:abstractNum w:abstractNumId="59">
    <w:nsid w:val="7DE67713"/>
    <w:multiLevelType w:val="hybridMultilevel"/>
    <w:lvl w:ilvl="0">
      <w:lvlJc w:val="left"/>
      <w:lvlText w:val="(%1)"/>
      <w:numFmt w:val="lowerLetter"/>
      <w:start w:val="61"/>
    </w:lvl>
    <w:lvl w:ilvl="1">
      <w:lvlJc w:val="left"/>
      <w:lvlText w:val="%2"/>
      <w:numFmt w:val="lowerLetter"/>
      <w:start w:val="1"/>
    </w:lvl>
  </w:abstractNum>
  <w:abstractNum w:abstractNumId="60">
    <w:nsid w:val="555C55B5"/>
    <w:multiLevelType w:val="hybridMultilevel"/>
    <w:lvl w:ilvl="0">
      <w:lvlJc w:val="left"/>
      <w:lvlText w:val="(%1)"/>
      <w:numFmt w:val="lowerRoman"/>
      <w:start w:val="8"/>
    </w:lvl>
    <w:lvl w:ilvl="1">
      <w:lvlJc w:val="left"/>
      <w:lvlText w:val="(%2)"/>
      <w:numFmt w:val="lowerLetter"/>
      <w:start w:val="3"/>
    </w:lvl>
  </w:abstractNum>
  <w:abstractNum w:abstractNumId="61">
    <w:nsid w:val="3FA62ACA"/>
    <w:multiLevelType w:val="hybridMultilevel"/>
    <w:lvl w:ilvl="0">
      <w:lvlJc w:val="left"/>
      <w:lvlText w:val="%1"/>
      <w:numFmt w:val="lowerLetter"/>
      <w:start w:val="1"/>
    </w:lvl>
    <w:lvl w:ilvl="1">
      <w:lvlJc w:val="left"/>
      <w:lvlText w:val="(%2)"/>
      <w:numFmt w:val="lowerLetter"/>
      <w:start w:val="2"/>
    </w:lvl>
  </w:abstractNum>
  <w:abstractNum w:abstractNumId="62">
    <w:nsid w:val="14FCE74E"/>
    <w:multiLevelType w:val="hybridMultilevel"/>
    <w:lvl w:ilvl="0">
      <w:lvlJc w:val="left"/>
      <w:lvlText w:val="(%1)"/>
      <w:numFmt w:val="lowerLetter"/>
      <w:start w:val="24"/>
    </w:lvl>
    <w:lvl w:ilvl="1">
      <w:lvlJc w:val="left"/>
      <w:lvlText w:val="(%2)"/>
      <w:numFmt w:val="lowerLetter"/>
      <w:start w:val="3"/>
    </w:lvl>
  </w:abstractNum>
  <w:abstractNum w:abstractNumId="63">
    <w:nsid w:val="6A3DD3E8"/>
    <w:multiLevelType w:val="hybridMultilevel"/>
    <w:lvl w:ilvl="0">
      <w:lvlJc w:val="left"/>
      <w:lvlText w:val="(%1)"/>
      <w:numFmt w:val="lowerLetter"/>
      <w:start w:val="1"/>
    </w:lvl>
  </w:abstractNum>
  <w:abstractNum w:abstractNumId="64">
    <w:nsid w:val="71C91298"/>
    <w:multiLevelType w:val="hybridMultilevel"/>
    <w:lvl w:ilvl="0">
      <w:lvlJc w:val="left"/>
      <w:lvlText w:val="(%1)"/>
      <w:numFmt w:val="lowerLetter"/>
      <w:start w:val="1"/>
    </w:lvl>
  </w:abstractNum>
  <w:abstractNum w:abstractNumId="65">
    <w:nsid w:val="9DAF632"/>
    <w:multiLevelType w:val="hybridMultilevel"/>
    <w:lvl w:ilvl="0">
      <w:lvlJc w:val="left"/>
      <w:lvlText w:val="(%1)"/>
      <w:numFmt w:val="lowerLetter"/>
      <w:start w:val="1"/>
    </w:lvl>
  </w:abstractNum>
  <w:abstractNum w:abstractNumId="66">
    <w:nsid w:val="53299938"/>
    <w:multiLevelType w:val="hybridMultilevel"/>
    <w:lvl w:ilvl="0">
      <w:lvlJc w:val="left"/>
      <w:lvlText w:val="(%1)"/>
      <w:numFmt w:val="lowerLetter"/>
      <w:start w:val="25"/>
    </w:lvl>
    <w:lvl w:ilvl="1">
      <w:lvlJc w:val="left"/>
      <w:lvlText w:val="(%2)"/>
      <w:numFmt w:val="lowerLetter"/>
      <w:start w:val="3"/>
    </w:lvl>
  </w:abstractNum>
  <w:abstractNum w:abstractNumId="67">
    <w:nsid w:val="1FBFE8E0"/>
    <w:multiLevelType w:val="hybridMultilevel"/>
    <w:lvl w:ilvl="0">
      <w:lvlJc w:val="left"/>
      <w:lvlText w:val="(%1)"/>
      <w:numFmt w:val="lowerLetter"/>
      <w:start w:val="1"/>
    </w:lvl>
  </w:abstractNum>
  <w:abstractNum w:abstractNumId="68">
    <w:nsid w:val="5092CA79"/>
    <w:multiLevelType w:val="hybridMultilevel"/>
    <w:lvl w:ilvl="0">
      <w:lvlJc w:val="left"/>
      <w:lvlText w:val="(%1)"/>
      <w:numFmt w:val="lowerLetter"/>
      <w:start w:val="1"/>
    </w:lvl>
  </w:abstractNum>
  <w:abstractNum w:abstractNumId="69">
    <w:nsid w:val="1D545C4D"/>
    <w:multiLevelType w:val="hybridMultilevel"/>
    <w:lvl w:ilvl="0">
      <w:lvlJc w:val="left"/>
      <w:lvlText w:val="%1"/>
      <w:numFmt w:val="lowerRoman"/>
      <w:start w:val="1"/>
    </w:lvl>
    <w:lvl w:ilvl="1">
      <w:lvlJc w:val="left"/>
      <w:lvlText w:val="(%2)"/>
      <w:numFmt w:val="lowerLetter"/>
      <w:start w:val="2"/>
    </w:lvl>
  </w:abstractNum>
  <w:abstractNum w:abstractNumId="70">
    <w:nsid w:val="59ADEA3D"/>
    <w:multiLevelType w:val="hybridMultilevel"/>
    <w:lvl w:ilvl="0">
      <w:lvlJc w:val="left"/>
      <w:lvlText w:val="(%1)"/>
      <w:numFmt w:val="lowerRoman"/>
      <w:start w:val="3"/>
    </w:lvl>
    <w:lvl w:ilvl="1">
      <w:lvlJc w:val="left"/>
      <w:lvlText w:val="%2"/>
      <w:numFmt w:val="lowerLetter"/>
      <w:start w:val="1"/>
    </w:lvl>
  </w:abstractNum>
  <w:abstractNum w:abstractNumId="71">
    <w:nsid w:val="288F1A34"/>
    <w:multiLevelType w:val="hybridMultilevel"/>
    <w:lvl w:ilvl="0">
      <w:lvlJc w:val="left"/>
      <w:lvlText w:val="(%1)"/>
      <w:numFmt w:val="lowerRoman"/>
      <w:start w:val="8"/>
    </w:lvl>
    <w:lvl w:ilvl="1">
      <w:lvlJc w:val="left"/>
      <w:lvlText w:val="(%2)"/>
      <w:numFmt w:val="lowerLetter"/>
      <w:start w:val="3"/>
    </w:lvl>
  </w:abstractNum>
  <w:abstractNum w:abstractNumId="72">
    <w:nsid w:val="2A155DBC"/>
    <w:multiLevelType w:val="hybridMultilevel"/>
    <w:lvl w:ilvl="0">
      <w:lvlJc w:val="left"/>
      <w:lvlText w:val="%1"/>
      <w:numFmt w:val="lowerLetter"/>
      <w:start w:val="1"/>
    </w:lvl>
    <w:lvl w:ilvl="1">
      <w:lvlJc w:val="left"/>
      <w:lvlText w:val="(%2)"/>
      <w:numFmt w:val="lowerLetter"/>
      <w:start w:val="1"/>
    </w:lvl>
  </w:abstractNum>
  <w:abstractNum w:abstractNumId="73">
    <w:nsid w:val="1D9F6E5F"/>
    <w:multiLevelType w:val="hybridMultilevel"/>
    <w:lvl w:ilvl="0">
      <w:lvlJc w:val="left"/>
      <w:lvlText w:val="(%1)"/>
      <w:numFmt w:val="lowerLetter"/>
      <w:start w:val="35"/>
    </w:lvl>
    <w:lvl w:ilvl="1">
      <w:lvlJc w:val="left"/>
      <w:lvlText w:val="%2"/>
      <w:numFmt w:val="lowerLetter"/>
      <w:start w:val="1"/>
    </w:lvl>
  </w:abstractNum>
  <w:abstractNum w:abstractNumId="74">
    <w:nsid w:val="97E1B4E"/>
    <w:multiLevelType w:val="hybridMultilevel"/>
    <w:lvl w:ilvl="0">
      <w:lvlJc w:val="left"/>
      <w:lvlText w:val="(%1)"/>
      <w:numFmt w:val="lowerLetter"/>
      <w:start w:val="5"/>
    </w:lvl>
  </w:abstractNum>
  <w:abstractNum w:abstractNumId="75">
    <w:nsid w:val="51088277"/>
    <w:multiLevelType w:val="hybridMultilevel"/>
    <w:lvl w:ilvl="0">
      <w:lvlJc w:val="left"/>
      <w:lvlText w:val="%1"/>
      <w:numFmt w:val="lowerLetter"/>
      <w:start w:val="1"/>
    </w:lvl>
    <w:lvl w:ilvl="1">
      <w:lvlJc w:val="left"/>
      <w:lvlText w:val="(%2)"/>
      <w:numFmt w:val="lowerLetter"/>
      <w:start w:val="1"/>
    </w:lvl>
  </w:abstractNum>
  <w:abstractNum w:abstractNumId="76">
    <w:nsid w:val="1CA0C5FA"/>
    <w:multiLevelType w:val="hybridMultilevel"/>
    <w:lvl w:ilvl="0">
      <w:lvlJc w:val="left"/>
      <w:lvlText w:val="(%1)"/>
      <w:numFmt w:val="lowerLetter"/>
      <w:start w:val="35"/>
    </w:lvl>
    <w:lvl w:ilvl="1">
      <w:lvlJc w:val="left"/>
      <w:lvlText w:val="%2"/>
      <w:numFmt w:val="lowerLetter"/>
      <w:start w:val="1"/>
    </w:lvl>
  </w:abstractNum>
  <w:abstractNum w:abstractNumId="77">
    <w:nsid w:val="53584BCB"/>
    <w:multiLevelType w:val="hybridMultilevel"/>
    <w:lvl w:ilvl="0">
      <w:lvlJc w:val="left"/>
      <w:lvlText w:val="(%1)"/>
      <w:numFmt w:val="lowerRoman"/>
      <w:start w:val="7"/>
    </w:lvl>
    <w:lvl w:ilvl="1">
      <w:lvlJc w:val="left"/>
      <w:lvlText w:val="(%2)"/>
      <w:numFmt w:val="lowerLetter"/>
      <w:start w:val="5"/>
    </w:lvl>
  </w:abstractNum>
  <w:abstractNum w:abstractNumId="78">
    <w:nsid w:val="415E286C"/>
    <w:multiLevelType w:val="hybridMultilevel"/>
    <w:lvl w:ilvl="0">
      <w:lvlJc w:val="left"/>
      <w:lvlText w:val="(%1)"/>
      <w:numFmt w:val="lowerLetter"/>
      <w:start w:val="1"/>
    </w:lvl>
  </w:abstractNum>
  <w:abstractNum w:abstractNumId="79">
    <w:nsid w:val="7C58FD05"/>
    <w:multiLevelType w:val="hybridMultilevel"/>
    <w:lvl w:ilvl="0">
      <w:lvlJc w:val="left"/>
      <w:lvlText w:val="%1"/>
      <w:numFmt w:val="lowerLetter"/>
      <w:start w:val="1"/>
    </w:lvl>
    <w:lvl w:ilvl="1">
      <w:lvlJc w:val="left"/>
      <w:lvlText w:val="(%2)"/>
      <w:numFmt w:val="lowerLetter"/>
      <w:start w:val="3"/>
    </w:lvl>
  </w:abstractNum>
  <w:abstractNum w:abstractNumId="80">
    <w:nsid w:val="23D86AAC"/>
    <w:multiLevelType w:val="hybridMultilevel"/>
    <w:lvl w:ilvl="0">
      <w:lvlJc w:val="left"/>
      <w:lvlText w:val="(%1)"/>
      <w:numFmt w:val="lowerLetter"/>
      <w:start w:val="35"/>
    </w:lvl>
    <w:lvl w:ilvl="1">
      <w:lvlJc w:val="left"/>
      <w:lvlText w:val="(%2)"/>
      <w:numFmt w:val="lowerLetter"/>
      <w:start w:val="5"/>
    </w:lvl>
  </w:abstractNum>
  <w:abstractNum w:abstractNumId="81">
    <w:nsid w:val="45E6D486"/>
    <w:multiLevelType w:val="hybridMultilevel"/>
    <w:lvl w:ilvl="0">
      <w:lvlJc w:val="left"/>
      <w:lvlText w:val="(%1)"/>
      <w:numFmt w:val="lowerLetter"/>
      <w:start w:val="2"/>
    </w:lvl>
  </w:abstractNum>
  <w:abstractNum w:abstractNumId="82">
    <w:nsid w:val="5C10FE21"/>
    <w:multiLevelType w:val="hybridMultilevel"/>
    <w:lvl w:ilvl="0">
      <w:lvlJc w:val="left"/>
      <w:lvlText w:val="(%1)"/>
      <w:numFmt w:val="lowerLetter"/>
      <w:start w:val="1"/>
    </w:lvl>
  </w:abstractNum>
  <w:abstractNum w:abstractNumId="83">
    <w:nsid w:val="E7FFA2B"/>
    <w:multiLevelType w:val="hybridMultilevel"/>
    <w:lvl w:ilvl="0">
      <w:lvlJc w:val="left"/>
      <w:lvlText w:val="%1"/>
      <w:numFmt w:val="lowerLetter"/>
      <w:start w:val="1"/>
    </w:lvl>
    <w:lvl w:ilvl="1">
      <w:lvlJc w:val="left"/>
      <w:lvlText w:val="(%2)"/>
      <w:numFmt w:val="lowerLetter"/>
      <w:start w:val="2"/>
    </w:lvl>
  </w:abstractNum>
  <w:abstractNum w:abstractNumId="84">
    <w:nsid w:val="3C5991AA"/>
    <w:multiLevelType w:val="hybridMultilevel"/>
    <w:lvl w:ilvl="0">
      <w:lvlJc w:val="left"/>
      <w:lvlText w:val="(%1)"/>
      <w:numFmt w:val="lowerLetter"/>
      <w:start w:val="9"/>
    </w:lvl>
    <w:lvl w:ilvl="1">
      <w:lvlJc w:val="left"/>
      <w:lvlText w:val="%2"/>
      <w:numFmt w:val="lowerLetter"/>
      <w:start w:val="1"/>
    </w:lvl>
  </w:abstractNum>
  <w:abstractNum w:abstractNumId="85">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6">
    <w:nsid w:val="78DF6A55"/>
    <w:multiLevelType w:val="hybridMultilevel"/>
    <w:lvl w:ilvl="0">
      <w:lvlJc w:val="left"/>
      <w:lvlText w:val="%1"/>
      <w:numFmt w:val="lowerLetter"/>
      <w:start w:val="1"/>
    </w:lvl>
    <w:lvl w:ilvl="1">
      <w:lvlJc w:val="left"/>
      <w:lvlText w:val="(%2)"/>
      <w:numFmt w:val="decimal"/>
      <w:start w:val="3"/>
    </w:lvl>
  </w:abstractNum>
  <w:abstractNum w:abstractNumId="87">
    <w:nsid w:val="39B7AAA2"/>
    <w:multiLevelType w:val="hybridMultilevel"/>
    <w:lvl w:ilvl="0">
      <w:lvlJc w:val="left"/>
      <w:lvlText w:val="(%1)"/>
      <w:numFmt w:val="lowerLetter"/>
      <w:start w:val="3"/>
    </w:lvl>
    <w:lvl w:ilvl="1">
      <w:lvlJc w:val="left"/>
      <w:lvlText w:val="%2"/>
      <w:numFmt w:val="decimal"/>
      <w:start w:val="1"/>
    </w:lvl>
  </w:abstractNum>
  <w:abstractNum w:abstractNumId="88">
    <w:nsid w:val="2B0D8DBE"/>
    <w:multiLevelType w:val="hybridMultilevel"/>
    <w:lvl w:ilvl="0">
      <w:lvlJc w:val="left"/>
      <w:lvlText w:val="(%1)"/>
      <w:numFmt w:val="lowerLetter"/>
      <w:start w:val="1"/>
    </w:lvl>
  </w:abstractNum>
  <w:abstractNum w:abstractNumId="89">
    <w:nsid w:val="6C80EC70"/>
    <w:multiLevelType w:val="hybridMultilevel"/>
    <w:lvl w:ilvl="0">
      <w:lvlJc w:val="left"/>
      <w:lvlText w:val="(%1)"/>
      <w:numFmt w:val="lowerLetter"/>
      <w:start w:val="1"/>
    </w:lvl>
  </w:abstractNum>
  <w:abstractNum w:abstractNumId="90">
    <w:nsid w:val="379E21B5"/>
    <w:multiLevelType w:val="hybridMultilevel"/>
    <w:lvl w:ilvl="0">
      <w:lvlJc w:val="left"/>
      <w:lvlText w:val="(%1)"/>
      <w:numFmt w:val="lowerLetter"/>
      <w:start w:val="1"/>
    </w:lvl>
  </w:abstractNum>
  <w:abstractNum w:abstractNumId="91">
    <w:nsid w:val="69E373"/>
    <w:multiLevelType w:val="hybridMultilevel"/>
    <w:lvl w:ilvl="0">
      <w:lvlJc w:val="left"/>
      <w:lvlText w:val="(%1)"/>
      <w:numFmt w:val="lowerLetter"/>
      <w:start w:val="1"/>
    </w:lvl>
  </w:abstractNum>
  <w:abstractNum w:abstractNumId="92">
    <w:nsid w:val="2C27173B"/>
    <w:multiLevelType w:val="hybridMultilevel"/>
    <w:lvl w:ilvl="0">
      <w:lvlJc w:val="left"/>
      <w:lvlText w:val="&amp;"/>
      <w:numFmt w:val="bullet"/>
      <w:start w:val="1"/>
    </w:lvl>
    <w:lvl w:ilvl="1">
      <w:lvlJc w:val="left"/>
      <w:lvlText w:val="(%2)"/>
      <w:numFmt w:val="lowerLetter"/>
      <w:start w:val="2"/>
    </w:lvl>
  </w:abstractNum>
  <w:abstractNum w:abstractNumId="93">
    <w:nsid w:val="4C9B0904"/>
    <w:multiLevelType w:val="hybridMultilevel"/>
    <w:lvl w:ilvl="0">
      <w:lvlJc w:val="left"/>
      <w:lvlText w:val="&amp;"/>
      <w:numFmt w:val="bullet"/>
      <w:start w:val="1"/>
    </w:lvl>
    <w:lvl w:ilvl="1">
      <w:lvlJc w:val="left"/>
      <w:lvlText w:val="(%2)"/>
      <w:numFmt w:val="lowerLetter"/>
      <w:start w:val="4"/>
    </w:lvl>
  </w:abstractNum>
  <w:abstractNum w:abstractNumId="94">
    <w:nsid w:val="6AA7B75C"/>
    <w:multiLevelType w:val="hybridMultilevel"/>
    <w:lvl w:ilvl="0">
      <w:lvlJc w:val="left"/>
      <w:lvlText w:val="(%1)"/>
      <w:numFmt w:val="lowerLetter"/>
      <w:start w:val="1"/>
    </w:lvl>
  </w:abstractNum>
  <w:abstractNum w:abstractNumId="95">
    <w:nsid w:val="1DF029D3"/>
    <w:multiLevelType w:val="hybridMultilevel"/>
    <w:lvl w:ilvl="0">
      <w:lvlJc w:val="left"/>
      <w:lvlText w:val="(%1)"/>
      <w:numFmt w:val="lowerLetter"/>
      <w:start w:val="3"/>
    </w:lvl>
  </w:abstractNum>
  <w:abstractNum w:abstractNumId="96">
    <w:nsid w:val="5675FF36"/>
    <w:multiLevelType w:val="hybridMultilevel"/>
    <w:lvl w:ilvl="0">
      <w:lvlJc w:val="left"/>
      <w:lvlText w:val="(%1)"/>
      <w:numFmt w:val="lowerLetter"/>
      <w:start w:val="1"/>
    </w:lvl>
    <w:lvl w:ilvl="1">
      <w:lvlJc w:val="left"/>
      <w:lvlText w:val="(%2)"/>
      <w:numFmt w:val="lowerLetter"/>
      <w:start w:val="9"/>
    </w:lvl>
  </w:abstractNum>
  <w:abstractNum w:abstractNumId="97">
    <w:nsid w:val="3DD1509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8">
    <w:nsid w:val="3DB012B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99">
    <w:nsid w:val="2708C9A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lvl w:ilvl="3">
      <w:lvlJc w:val="left"/>
      <w:lvlText w:val="%4"/>
      <w:numFmt w:val="upperLetter"/>
      <w:start w:val="1"/>
    </w:lvl>
  </w:abstractNum>
  <w:abstractNum w:abstractNumId="100">
    <w:nsid w:val="5B25ACE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1">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02">
    <w:nsid w:val="4F97E3E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3">
    <w:nsid w:val="53B0A9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4">
    <w:nsid w:val="34FD6B4F"/>
    <w:multiLevelType w:val="hybridMultilevel"/>
    <w:lvl w:ilvl="0">
      <w:lvlJc w:val="left"/>
      <w:lvlText w:val="(%1)"/>
      <w:numFmt w:val="lowerLetter"/>
      <w:start w:val="2"/>
    </w:lvl>
  </w:abstractNum>
  <w:abstractNum w:abstractNumId="105">
    <w:nsid w:val="5915FF32"/>
    <w:multiLevelType w:val="hybridMultilevel"/>
    <w:lvl w:ilvl="0">
      <w:lvlJc w:val="left"/>
      <w:lvlText w:val="(%1)"/>
      <w:numFmt w:val="lowerLetter"/>
      <w:start w:val="2"/>
    </w:lvl>
  </w:abstractNum>
  <w:abstractNum w:abstractNumId="106">
    <w:nsid w:val="56438D15"/>
    <w:multiLevelType w:val="hybridMultilevel"/>
    <w:lvl w:ilvl="0">
      <w:lvlJc w:val="left"/>
      <w:lvlText w:val="(%1)"/>
      <w:numFmt w:val="lowerLetter"/>
      <w:start w:val="1"/>
    </w:lvl>
  </w:abstractNum>
  <w:abstractNum w:abstractNumId="107">
    <w:nsid w:val="519E3149"/>
    <w:multiLevelType w:val="hybridMultilevel"/>
    <w:lvl w:ilvl="0">
      <w:lvlJc w:val="left"/>
      <w:lvlText w:val="(%1)"/>
      <w:numFmt w:val="lowerLetter"/>
      <w:start w:val="2"/>
    </w:lvl>
  </w:abstractNum>
  <w:abstractNum w:abstractNumId="108">
    <w:nsid w:val="2C6E4AFD"/>
    <w:multiLevelType w:val="hybridMultilevel"/>
    <w:lvl w:ilvl="0">
      <w:lvlJc w:val="left"/>
      <w:lvlText w:val="(%1)"/>
      <w:numFmt w:val="lowerLetter"/>
      <w:start w:val="3"/>
    </w:lvl>
  </w:abstractNum>
  <w:abstractNum w:abstractNumId="109">
    <w:nsid w:val="17A1B582"/>
    <w:multiLevelType w:val="hybridMultilevel"/>
    <w:lvl w:ilvl="0">
      <w:lvlJc w:val="left"/>
      <w:lvlText w:val="(%1)"/>
      <w:numFmt w:val="lowerLetter"/>
      <w:start w:val="1"/>
    </w:lvl>
  </w:abstractNum>
  <w:abstractNum w:abstractNumId="110">
    <w:nsid w:val="4DF72E4E"/>
    <w:multiLevelType w:val="hybridMultilevel"/>
    <w:lvl w:ilvl="0">
      <w:lvlJc w:val="left"/>
      <w:lvlText w:val="(%1)"/>
      <w:numFmt w:val="lowerLetter"/>
      <w:start w:val="1"/>
    </w:lvl>
  </w:abstractNum>
  <w:abstractNum w:abstractNumId="111">
    <w:nsid w:val="5046B5A9"/>
    <w:multiLevelType w:val="hybridMultilevel"/>
    <w:lvl w:ilvl="0">
      <w:lvlJc w:val="left"/>
      <w:lvlText w:val="(%1)"/>
      <w:numFmt w:val="decimal"/>
      <w:start w:val="1"/>
    </w:lvl>
  </w:abstractNum>
  <w:abstractNum w:abstractNumId="112">
    <w:nsid w:val="5D888A08"/>
    <w:multiLevelType w:val="hybridMultilevel"/>
    <w:lvl w:ilvl="0">
      <w:lvlJc w:val="left"/>
      <w:lvlText w:val="%1"/>
      <w:numFmt w:val="upperLetter"/>
      <w:start w:val="1"/>
    </w:lvl>
    <w:lvl w:ilvl="1">
      <w:lvlJc w:val="left"/>
      <w:lvlText w:val="(%2)"/>
      <w:numFmt w:val="decimal"/>
      <w:start w:val="5"/>
    </w:lvl>
  </w:abstractNum>
  <w:abstractNum w:abstractNumId="113">
    <w:nsid w:val="2A082C70"/>
    <w:multiLevelType w:val="hybridMultilevel"/>
    <w:lvl w:ilvl="0">
      <w:lvlJc w:val="left"/>
      <w:lvlText w:val="%1."/>
      <w:numFmt w:val="upperLetter"/>
      <w:start w:val="4"/>
    </w:lvl>
    <w:lvl w:ilvl="1">
      <w:lvlJc w:val="left"/>
      <w:lvlText w:val="%2"/>
      <w:numFmt w:val="decimal"/>
      <w:start w:val="1"/>
    </w:lvl>
  </w:abstractNum>
  <w:abstractNum w:abstractNumId="114">
    <w:nsid w:val="5EC6AFD4"/>
    <w:multiLevelType w:val="hybridMultilevel"/>
    <w:lvl w:ilvl="0">
      <w:lvlJc w:val="left"/>
      <w:lvlText w:val="(%1)"/>
      <w:numFmt w:val="lowerRoman"/>
      <w:start w:val="3"/>
    </w:lvl>
  </w:abstractNum>
  <w:abstractNum w:abstractNumId="115">
    <w:nsid w:val="19E21BB2"/>
    <w:multiLevelType w:val="hybridMultilevel"/>
    <w:lvl w:ilvl="0">
      <w:lvlJc w:val="left"/>
      <w:lvlText w:val="(%1)"/>
      <w:numFmt w:val="upperLetter"/>
      <w:start w:val="2"/>
    </w:lvl>
  </w:abstractNum>
  <w:abstractNum w:abstractNumId="116">
    <w:nsid w:val="75E0858A"/>
    <w:multiLevelType w:val="hybridMultilevel"/>
    <w:lvl w:ilvl="0">
      <w:lvlJc w:val="left"/>
      <w:lvlText w:val="(%1)"/>
      <w:numFmt w:val="upperLetter"/>
      <w:start w:val="4"/>
    </w:lvl>
  </w:abstractNum>
  <w:abstractNum w:abstractNumId="117">
    <w:nsid w:val="57A61A29"/>
    <w:multiLevelType w:val="hybridMultilevel"/>
    <w:lvl w:ilvl="0">
      <w:lvlJc w:val="left"/>
      <w:lvlText w:val="(%1)"/>
      <w:numFmt w:val="lowerLetter"/>
      <w:start w:val="1"/>
    </w:lvl>
  </w:abstractNum>
  <w:abstractNum w:abstractNumId="118">
    <w:nsid w:val="5399C654"/>
    <w:multiLevelType w:val="hybridMultilevel"/>
    <w:lvl w:ilvl="0">
      <w:lvlJc w:val="left"/>
      <w:lvlText w:val="(%1)"/>
      <w:numFmt w:val="lowerLetter"/>
      <w:start w:val="3"/>
    </w:lvl>
  </w:abstractNum>
  <w:abstractNum w:abstractNumId="119">
    <w:nsid w:val="20EE1348"/>
    <w:multiLevelType w:val="hybridMultilevel"/>
    <w:lvl w:ilvl="0">
      <w:lvlJc w:val="left"/>
      <w:lvlText w:val="(%1)"/>
      <w:numFmt w:val="lowerLetter"/>
      <w:start w:val="1"/>
    </w:lvl>
  </w:abstractNum>
  <w:abstractNum w:abstractNumId="120">
    <w:nsid w:val="4427069A"/>
    <w:multiLevelType w:val="hybridMultilevel"/>
    <w:lvl w:ilvl="0">
      <w:lvlJc w:val="left"/>
      <w:lvlText w:val="(%1)"/>
      <w:numFmt w:val="lowerLetter"/>
      <w:start w:val="8"/>
    </w:lvl>
  </w:abstractNum>
  <w:abstractNum w:abstractNumId="121">
    <w:nsid w:val="B37E80A"/>
    <w:multiLevelType w:val="hybridMultilevel"/>
    <w:lvl w:ilvl="0">
      <w:lvlJc w:val="left"/>
      <w:lvlText w:val="(%1)"/>
      <w:numFmt w:val="lowerRoman"/>
      <w:start w:val="4"/>
    </w:lvl>
  </w:abstractNum>
  <w:abstractNum w:abstractNumId="122">
    <w:nsid w:val="2157F6BC"/>
    <w:multiLevelType w:val="hybridMultilevel"/>
    <w:lvl w:ilvl="0">
      <w:lvlJc w:val="left"/>
      <w:lvlText w:val="(%1)"/>
      <w:numFmt w:val="upperLetter"/>
      <w:start w:val="2"/>
    </w:lvl>
  </w:abstractNum>
  <w:abstractNum w:abstractNumId="123">
    <w:nsid w:val="704E1DD5"/>
    <w:multiLevelType w:val="hybridMultilevel"/>
    <w:lvl w:ilvl="0">
      <w:lvlJc w:val="left"/>
      <w:lvlText w:val="(%1)"/>
      <w:numFmt w:val="upperLetter"/>
      <w:start w:val="7"/>
    </w:lvl>
  </w:abstractNum>
  <w:abstractNum w:abstractNumId="124">
    <w:nsid w:val="57D2F10E"/>
    <w:multiLevelType w:val="hybridMultilevel"/>
    <w:lvl w:ilvl="0">
      <w:lvlJc w:val="left"/>
      <w:lvlText w:val="(%1)"/>
      <w:numFmt w:val="lowerLetter"/>
      <w:start w:val="1"/>
    </w:lvl>
  </w:abstractNum>
  <w:abstractNum w:abstractNumId="125">
    <w:nsid w:val="BFFAE18"/>
    <w:multiLevelType w:val="hybridMultilevel"/>
    <w:lvl w:ilvl="0">
      <w:lvlJc w:val="left"/>
      <w:lvlText w:val="%1"/>
      <w:numFmt w:val="decimal"/>
      <w:start w:val="21"/>
    </w:lvl>
  </w:abstractNum>
  <w:abstractNum w:abstractNumId="126">
    <w:nsid w:val="E3E47A8"/>
    <w:multiLevelType w:val="hybridMultilevel"/>
    <w:lvl w:ilvl="0">
      <w:lvlJc w:val="left"/>
      <w:lvlText w:val="-"/>
      <w:numFmt w:val="bullet"/>
      <w:start w:val="1"/>
    </w:lvl>
  </w:abstractNum>
  <w:abstractNum w:abstractNumId="127">
    <w:nsid w:val="2E48F044"/>
    <w:multiLevelType w:val="hybridMultilevel"/>
    <w:lvl w:ilvl="0">
      <w:lvlJc w:val="left"/>
      <w:lvlText w:val="%1"/>
      <w:numFmt w:val="decimal"/>
      <w:start w:val="1"/>
    </w:lvl>
    <w:lvl w:ilvl="1">
      <w:lvlJc w:val="left"/>
      <w:lvlText w:val="(%2)"/>
      <w:numFmt w:val="decimal"/>
      <w:start w:val="1"/>
    </w:lvl>
  </w:abstractNum>
  <w:abstractNum w:abstractNumId="128">
    <w:nsid w:val="49D0FEAC"/>
    <w:multiLevelType w:val="hybridMultilevel"/>
    <w:lvl w:ilvl="0">
      <w:lvlJc w:val="left"/>
      <w:lvlText w:val="(%1)"/>
      <w:numFmt w:val="decimal"/>
      <w:start w:val="4"/>
    </w:lvl>
    <w:lvl w:ilvl="1">
      <w:lvlJc w:val="left"/>
      <w:lvlText w:val="(%2)"/>
      <w:numFmt w:val="decimal"/>
      <w:start w:val="2"/>
    </w:lvl>
  </w:abstractNum>
  <w:abstractNum w:abstractNumId="129">
    <w:nsid w:val="4BEE5A5B"/>
    <w:multiLevelType w:val="hybridMultilevel"/>
    <w:lvl w:ilvl="0">
      <w:lvlJc w:val="left"/>
      <w:lvlText w:val="(%1)"/>
      <w:numFmt w:val="decimal"/>
      <w:start w:val="1"/>
    </w:lvl>
  </w:abstractNum>
  <w:abstractNum w:abstractNumId="130">
    <w:nsid w:val="5551B9F3"/>
    <w:multiLevelType w:val="hybridMultilevel"/>
    <w:lvl w:ilvl="0">
      <w:lvlJc w:val="left"/>
      <w:lvlText w:val="(%1)"/>
      <w:numFmt w:val="decimal"/>
      <w:start w:val="2"/>
    </w:lvl>
  </w:abstractNum>
  <w:abstractNum w:abstractNumId="131">
    <w:nsid w:val="24F6AB8E"/>
    <w:multiLevelType w:val="hybridMultilevel"/>
    <w:lvl w:ilvl="0">
      <w:lvlJc w:val="left"/>
      <w:lvlText w:val="*"/>
      <w:numFmt w:val="bullet"/>
      <w:start w:val="1"/>
    </w:lvl>
  </w:abstractNum>
  <w:abstractNum w:abstractNumId="132">
    <w:nsid w:val="634C574C"/>
    <w:multiLevelType w:val="hybridMultilevel"/>
    <w:lvl w:ilvl="0">
      <w:lvlJc w:val="left"/>
      <w:lvlText w:val="-"/>
      <w:numFmt w:val="bullet"/>
      <w:start w:val="1"/>
    </w:lvl>
  </w:abstractNum>
  <w:abstractNum w:abstractNumId="133">
    <w:nsid w:val="24E99DD7"/>
    <w:multiLevelType w:val="hybridMultilevel"/>
    <w:lvl w:ilvl="0">
      <w:lvlJc w:val="left"/>
      <w:lvlText w:val="%1."/>
      <w:numFmt w:val="decimal"/>
      <w:start w:val="1"/>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1."/>
      <w:numFmt w:val="decimal"/>
      <w:start w:val="3"/>
    </w:lvl>
  </w:abstractNum>
  <w:abstractNum w:abstractNumId="136">
    <w:nsid w:val="7DFF9D09"/>
    <w:multiLevelType w:val="hybridMultilevel"/>
    <w:lvl w:ilvl="0">
      <w:lvlJc w:val="left"/>
      <w:lvlText w:val="%1."/>
      <w:numFmt w:val="decimal"/>
      <w:start w:val="4"/>
    </w:lvl>
  </w:abstractNum>
  <w:abstractNum w:abstractNumId="137">
    <w:nsid w:val="754342"/>
    <w:multiLevelType w:val="hybridMultilevel"/>
    <w:lvl w:ilvl="0">
      <w:lvlJc w:val="left"/>
      <w:lvlText w:val="%1."/>
      <w:numFmt w:val="decimal"/>
      <w:start w:val="5"/>
    </w:lvl>
  </w:abstractNum>
  <w:abstractNum w:abstractNumId="138">
    <w:nsid w:val="69E7F3E5"/>
    <w:multiLevelType w:val="hybridMultilevel"/>
    <w:lvl w:ilvl="0">
      <w:lvlJc w:val="left"/>
      <w:lvlText w:val="%1."/>
      <w:numFmt w:val="decimal"/>
      <w:start w:val="6"/>
    </w:lvl>
  </w:abstractNum>
  <w:abstractNum w:abstractNumId="139">
    <w:nsid w:val="2A6DE806"/>
    <w:multiLevelType w:val="hybridMultilevel"/>
    <w:lvl w:ilvl="0">
      <w:lvlJc w:val="left"/>
      <w:lvlText w:val="-"/>
      <w:numFmt w:val="bullet"/>
      <w:start w:val="1"/>
    </w:lvl>
  </w:abstractNum>
  <w:abstractNum w:abstractNumId="140">
    <w:nsid w:val="1816F8C4"/>
    <w:multiLevelType w:val="hybridMultilevel"/>
    <w:lvl w:ilvl="0">
      <w:lvlJc w:val="left"/>
      <w:lvlText w:val="-"/>
      <w:numFmt w:val="bullet"/>
      <w:start w:val="1"/>
    </w:lvl>
  </w:abstractNum>
  <w:abstractNum w:abstractNumId="141">
    <w:nsid w:val="37DF2233"/>
    <w:multiLevelType w:val="hybridMultilevel"/>
    <w:lvl w:ilvl="0">
      <w:lvlJc w:val="left"/>
      <w:lvlText w:val="-"/>
      <w:numFmt w:val="bullet"/>
      <w:start w:val="1"/>
    </w:lvl>
  </w:abstractNum>
  <w:abstractNum w:abstractNumId="142">
    <w:nsid w:val="7AB49DAF"/>
    <w:multiLevelType w:val="hybridMultilevel"/>
    <w:lvl w:ilvl="0">
      <w:lvlJc w:val="left"/>
      <w:lvlText w:val="%1"/>
      <w:numFmt w:val="decimal"/>
      <w:start w:val="21"/>
    </w:lvl>
  </w:abstractNum>
  <w:abstractNum w:abstractNumId="143">
    <w:nsid w:val="759F82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2019-12-20T04:19:12Z</dcterms:created>
  <dcterms:modified xsi:type="dcterms:W3CDTF">2019-12-20T04:19:12Z</dcterms:modified>
</cp:coreProperties>
</file>