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12" w:lineRule="exact"/>
        <w:rPr>
          <w:sz w:val="24"/>
          <w:szCs w:val="24"/>
          <w:color w:val="auto"/>
        </w:rPr>
      </w:pPr>
    </w:p>
    <w:p>
      <w:pPr>
        <w:sectPr>
          <w:pgSz w:w="11900" w:h="16838" w:orient="portrait"/>
          <w:cols w:equalWidth="0" w:num="3">
            <w:col w:w="4820" w:space="720"/>
            <w:col w:w="2900" w:space="720"/>
            <w:col w:w="2140"/>
          </w:cols>
          <w:pgMar w:left="240" w:top="362" w:right="359"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260"/>
          </w:cols>
          <w:pgMar w:left="240" w:top="362" w:right="359" w:bottom="1440" w:gutter="0" w:footer="0" w:header="0"/>
          <w:type w:val="continuous"/>
        </w:sectPr>
      </w:pPr>
    </w:p>
    <w:p>
      <w:pPr>
        <w:spacing w:after="0" w:line="29"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1001 Fannin, Suite 4000 Houston, Texas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sectPr>
          <w:pgSz w:w="11900" w:h="16838" w:orient="portrait"/>
          <w:cols w:equalWidth="0" w:num="2">
            <w:col w:w="7700" w:space="720"/>
            <w:col w:w="2880"/>
          </w:cols>
          <w:pgMar w:left="240" w:top="362" w:right="35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600" w:space="720"/>
            <w:col w:w="2980"/>
          </w:cols>
          <w:pgMar w:left="240" w:top="362" w:right="3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512-6200</w:t>
      </w:r>
    </w:p>
    <w:p>
      <w:pPr>
        <w:spacing w:after="0" w:line="200" w:lineRule="exact"/>
        <w:rPr>
          <w:sz w:val="24"/>
          <w:szCs w:val="24"/>
          <w:color w:val="auto"/>
        </w:rPr>
      </w:pPr>
    </w:p>
    <w:p>
      <w:pPr>
        <w:spacing w:after="0" w:line="2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239395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On May 9, 2016, Waste Management, Inc. (the “Company”) commenced an underwritten public offering of $500,000,000 aggregate principal amount of its 2.400% Senior Notes due 2023 (the “Notes”) under the Company’s Registration Statement on Form S-3 (No. 333-207628) (the “Registration Statement”). The Notes, which will be fully and unconditionally guaranteed by the Company’s wholly owned subsidiary Waste Management Holdings, Inc. (“WM Holdings”), will be sold pursuant to an underwriting agreement (the “Underwriting Agreement”) entered into on May 9, 2016 among the Company and WM Holdings and Citigroup Global Markets Inc., Merrill Lynch, Pierce, Fenner &amp; Smith Incorporated and Mizuho Securities USA Inc. as representatives of the several underwriters named therein.</w:t>
      </w:r>
    </w:p>
    <w:p>
      <w:pPr>
        <w:spacing w:after="0" w:line="188"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The Underwriting Agreement includes the terms and conditions for the issuance and sale of the Notes, indemnification and contribution obligations and other terms and conditions customary in agreements of this type. Certain of the underwriters and their respective affiliates have, from time to time, performed, and may in the future perform, various financial advisory, investment banking and commercial services for the Company, for which they have received or will receive customary fees and expense reimbursements.</w:t>
      </w:r>
    </w:p>
    <w:p>
      <w:pPr>
        <w:spacing w:after="0" w:line="180"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Closing of the issuance and sale of the Notes is expected to occur on May 16, 2016. The Notes will be issued under an indenture dated as of September 10, 1997, between the Company and The Bank of New York Mellon Trust Company, N.A. (the current successor to Texas Commerce Bank National Association), as trustee (the “Indenture”). The terms of the Notes and the guarantee by WM Holdings will be set forth in an officers’ certificate of the Company (the “Officers’ Certificate”) delivered pursuant to the Indenture on the closing date.</w:t>
      </w:r>
    </w:p>
    <w:p>
      <w:pPr>
        <w:spacing w:after="0" w:line="180"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Copies of the Underwriting Agreement and the Indenture, and the form of the Officers’ Certificate and the guarantee agreement by WM Holdings are being filed as Exhibits 1.1, 4.1, 4.2 and 4.4, respectively, to this Form 8-K and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Number</w:t>
      </w:r>
    </w:p>
    <w:p>
      <w:pPr>
        <w:spacing w:after="0" w:line="98"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1.1</w:t>
            </w: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Underwriting Agreement dated May 9, 2016 by and among the Company, WM Holdings and Citigroup Global Markets Inc., Merrill Lynch,</w:t>
            </w:r>
          </w:p>
        </w:tc>
      </w:tr>
      <w:tr>
        <w:trPr>
          <w:trHeight w:val="234"/>
        </w:trPr>
        <w:tc>
          <w:tcPr>
            <w:tcW w:w="600" w:type="dxa"/>
            <w:vAlign w:val="bottom"/>
          </w:tcPr>
          <w:p>
            <w:pPr>
              <w:spacing w:after="0"/>
              <w:rPr>
                <w:sz w:val="20"/>
                <w:szCs w:val="20"/>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Pierce, Fenner &amp; Smith Incorporated and Mizuho Securities USA Inc. as representatives of the several Underwriters named therein.</w:t>
            </w:r>
          </w:p>
        </w:tc>
      </w:tr>
      <w:tr>
        <w:trPr>
          <w:trHeight w:val="306"/>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4.1</w:t>
            </w: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Indenture dated September 10, 1997 by and between the Company and The Bank of New York Mellon Trust Company, N.A. (the current</w:t>
            </w:r>
          </w:p>
        </w:tc>
      </w:tr>
      <w:tr>
        <w:trPr>
          <w:trHeight w:val="216"/>
        </w:trPr>
        <w:tc>
          <w:tcPr>
            <w:tcW w:w="60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successor to Texas Commerce Bank National Association), as Trustee, relating to senior debt securities of the Company (incorporated by</w:t>
            </w:r>
          </w:p>
        </w:tc>
      </w:tr>
      <w:tr>
        <w:trPr>
          <w:trHeight w:val="234"/>
        </w:trPr>
        <w:tc>
          <w:tcPr>
            <w:tcW w:w="600" w:type="dxa"/>
            <w:vAlign w:val="bottom"/>
          </w:tcPr>
          <w:p>
            <w:pPr>
              <w:spacing w:after="0"/>
              <w:rPr>
                <w:sz w:val="20"/>
                <w:szCs w:val="20"/>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reference to Exhibit 4.1 to Current Report on Form 8-K filed September 24, 1997).</w:t>
            </w:r>
          </w:p>
        </w:tc>
      </w:tr>
      <w:tr>
        <w:trPr>
          <w:trHeight w:val="306"/>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4.2</w:t>
            </w: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Form of Officers’ Certificate delivered pursuant to Section 3.01 of the Indenture establishing the terms and form of the 2.400% Senior Notes</w:t>
            </w:r>
          </w:p>
        </w:tc>
      </w:tr>
      <w:tr>
        <w:trPr>
          <w:trHeight w:val="234"/>
        </w:trPr>
        <w:tc>
          <w:tcPr>
            <w:tcW w:w="600" w:type="dxa"/>
            <w:vAlign w:val="bottom"/>
          </w:tcPr>
          <w:p>
            <w:pPr>
              <w:spacing w:after="0"/>
              <w:rPr>
                <w:sz w:val="20"/>
                <w:szCs w:val="20"/>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due 2023.</w:t>
            </w:r>
          </w:p>
        </w:tc>
      </w:tr>
      <w:tr>
        <w:trPr>
          <w:trHeight w:val="324"/>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4.3</w:t>
            </w: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2.400% Senior Note due 2023 (included in Exhibit 4.2 above).</w:t>
            </w:r>
          </w:p>
        </w:tc>
      </w:tr>
      <w:tr>
        <w:trPr>
          <w:trHeight w:val="324"/>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4.4</w:t>
            </w: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Guarantee Agreement by WM Holdings in favor of the holders of Waste Management, Inc.’s 2.400% Senior Notes due 2023.</w:t>
            </w:r>
          </w:p>
        </w:tc>
      </w:tr>
      <w:tr>
        <w:trPr>
          <w:trHeight w:val="324"/>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5.1</w:t>
            </w:r>
          </w:p>
        </w:tc>
        <w:tc>
          <w:tcPr>
            <w:tcW w:w="10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Opinion of Baker Botts L.L.P.</w:t>
            </w:r>
          </w:p>
        </w:tc>
      </w:tr>
    </w:tbl>
    <w:p>
      <w:pPr>
        <w:sectPr>
          <w:pgSz w:w="11900" w:h="16838" w:orient="portrait"/>
          <w:cols w:equalWidth="0" w:num="1">
            <w:col w:w="11400"/>
          </w:cols>
          <w:pgMar w:left="240" w:top="266" w:right="25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spacing w:after="0"/>
        <w:tabs>
          <w:tab w:leader="none" w:pos="540" w:val="left"/>
          <w:tab w:leader="none" w:pos="6460" w:val="left"/>
        </w:tabs>
        <w:rPr>
          <w:sz w:val="20"/>
          <w:szCs w:val="20"/>
          <w:color w:val="auto"/>
        </w:rPr>
      </w:pPr>
      <w:r>
        <w:rPr>
          <w:rFonts w:ascii="Times New Roman" w:cs="Times New Roman" w:eastAsia="Times New Roman" w:hAnsi="Times New Roman"/>
          <w:sz w:val="18"/>
          <w:szCs w:val="18"/>
          <w:color w:val="auto"/>
        </w:rPr>
        <w:t>Date:</w:t>
        <w:tab/>
        <w:t>May 12, 2016</w:t>
      </w:r>
      <w:r>
        <w:rPr>
          <w:sz w:val="20"/>
          <w:szCs w:val="20"/>
          <w:color w:val="auto"/>
        </w:rPr>
        <w:tab/>
      </w:r>
      <w:r>
        <w:rPr>
          <w:rFonts w:ascii="Times New Roman" w:cs="Times New Roman" w:eastAsia="Times New Roman" w:hAnsi="Times New Roman"/>
          <w:sz w:val="18"/>
          <w:szCs w:val="18"/>
          <w:color w:val="auto"/>
        </w:rPr>
        <w:t>By:  /s/ Barry H. Caldwell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Barry H. Caldwell</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 Corporate Affairs</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Legal Officer</w:t>
      </w:r>
    </w:p>
    <w:p>
      <w:pPr>
        <w:sectPr>
          <w:pgSz w:w="11900" w:h="16838" w:orient="portrait"/>
          <w:cols w:equalWidth="0" w:num="1">
            <w:col w:w="11340"/>
          </w:cols>
          <w:pgMar w:left="240" w:top="266"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10540" w:type="dxa"/>
            <w:vAlign w:val="bottom"/>
            <w:gridSpan w:val="3"/>
          </w:tcPr>
          <w:p>
            <w:pPr>
              <w:ind w:left="410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92"/>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540" w:type="dxa"/>
            <w:vAlign w:val="bottom"/>
            <w:gridSpan w:val="3"/>
          </w:tcPr>
          <w:p>
            <w:pPr>
              <w:ind w:left="54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299"/>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05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Underwriting Agreement dated May 9, 2016 by and among the Company, WM Holdings and Citigroup Global Markets Inc., Merrill</w:t>
            </w:r>
          </w:p>
        </w:tc>
      </w:tr>
      <w:tr>
        <w:trPr>
          <w:trHeight w:val="216"/>
        </w:trPr>
        <w:tc>
          <w:tcPr>
            <w:tcW w:w="720" w:type="dxa"/>
            <w:vAlign w:val="bottom"/>
          </w:tcPr>
          <w:p>
            <w:pPr>
              <w:spacing w:after="0"/>
              <w:rPr>
                <w:sz w:val="18"/>
                <w:szCs w:val="18"/>
                <w:color w:val="auto"/>
              </w:rPr>
            </w:pPr>
          </w:p>
        </w:tc>
        <w:tc>
          <w:tcPr>
            <w:tcW w:w="105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Lynch, Pierce, Fenner &amp; Smith Incorporated and Mizuho Securities USA Inc. as representatives of the several Underwriters named</w:t>
            </w:r>
          </w:p>
        </w:tc>
      </w:tr>
      <w:tr>
        <w:trPr>
          <w:trHeight w:val="234"/>
        </w:trPr>
        <w:tc>
          <w:tcPr>
            <w:tcW w:w="720" w:type="dxa"/>
            <w:vAlign w:val="bottom"/>
          </w:tcPr>
          <w:p>
            <w:pPr>
              <w:spacing w:after="0"/>
              <w:rPr>
                <w:sz w:val="20"/>
                <w:szCs w:val="20"/>
                <w:color w:val="auto"/>
              </w:rPr>
            </w:pPr>
          </w:p>
        </w:tc>
        <w:tc>
          <w:tcPr>
            <w:tcW w:w="105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therein.</w:t>
            </w:r>
          </w:p>
        </w:tc>
      </w:tr>
      <w:tr>
        <w:trPr>
          <w:trHeight w:val="306"/>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5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Indenture dated September 10, 1997 by and between the Company and The Bank of New York Mellon Trust Company, N.A. (the</w:t>
            </w:r>
          </w:p>
        </w:tc>
      </w:tr>
      <w:tr>
        <w:trPr>
          <w:trHeight w:val="216"/>
        </w:trPr>
        <w:tc>
          <w:tcPr>
            <w:tcW w:w="720" w:type="dxa"/>
            <w:vAlign w:val="bottom"/>
          </w:tcPr>
          <w:p>
            <w:pPr>
              <w:spacing w:after="0"/>
              <w:rPr>
                <w:sz w:val="18"/>
                <w:szCs w:val="18"/>
                <w:color w:val="auto"/>
              </w:rPr>
            </w:pPr>
          </w:p>
        </w:tc>
        <w:tc>
          <w:tcPr>
            <w:tcW w:w="105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current successor to Texas Commerce Bank National Association), as Trustee, relating to senior debt securities of the Company</w:t>
            </w:r>
          </w:p>
        </w:tc>
      </w:tr>
      <w:tr>
        <w:trPr>
          <w:trHeight w:val="234"/>
        </w:trPr>
        <w:tc>
          <w:tcPr>
            <w:tcW w:w="720" w:type="dxa"/>
            <w:vAlign w:val="bottom"/>
          </w:tcPr>
          <w:p>
            <w:pPr>
              <w:spacing w:after="0"/>
              <w:rPr>
                <w:sz w:val="20"/>
                <w:szCs w:val="20"/>
                <w:color w:val="auto"/>
              </w:rPr>
            </w:pPr>
          </w:p>
        </w:tc>
        <w:tc>
          <w:tcPr>
            <w:tcW w:w="105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(incorporated by reference to Exhibit 4.1 to Current Report on Form 8-K filed September 24, 1997).</w:t>
            </w:r>
          </w:p>
        </w:tc>
      </w:tr>
      <w:tr>
        <w:trPr>
          <w:trHeight w:val="306"/>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5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9"/>
              </w:rPr>
              <w:t>Form of Officers’ Certificate delivered pursuant to Section 3.01 of the Indenture establishing the terms and form of the 2.400% Senior</w:t>
            </w:r>
          </w:p>
        </w:tc>
      </w:tr>
      <w:tr>
        <w:trPr>
          <w:trHeight w:val="234"/>
        </w:trPr>
        <w:tc>
          <w:tcPr>
            <w:tcW w:w="720" w:type="dxa"/>
            <w:vAlign w:val="bottom"/>
          </w:tcPr>
          <w:p>
            <w:pPr>
              <w:spacing w:after="0"/>
              <w:rPr>
                <w:sz w:val="20"/>
                <w:szCs w:val="20"/>
                <w:color w:val="auto"/>
              </w:rPr>
            </w:pPr>
          </w:p>
        </w:tc>
        <w:tc>
          <w:tcPr>
            <w:tcW w:w="105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Notes due 2023.</w:t>
            </w:r>
          </w:p>
        </w:tc>
      </w:tr>
      <w:tr>
        <w:trPr>
          <w:trHeight w:val="324"/>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5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Form of 2.400% Senior Note due 2023 (included in Exhibit 4.2 above).</w:t>
            </w:r>
          </w:p>
        </w:tc>
      </w:tr>
      <w:tr>
        <w:trPr>
          <w:trHeight w:val="324"/>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5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9"/>
              </w:rPr>
              <w:t>Form of Guarantee Agreement by WM Holdings in favor of the holders of Waste Management, Inc.’s 2.400% Senior Notes due 2023.</w:t>
            </w:r>
          </w:p>
        </w:tc>
      </w:tr>
      <w:tr>
        <w:trPr>
          <w:trHeight w:val="324"/>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105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Opinion of Baker Botts L.L.P.</w:t>
            </w:r>
          </w:p>
        </w:tc>
      </w:tr>
    </w:tbl>
    <w:p>
      <w:pPr>
        <w:ind w:left="860"/>
        <w:spacing w:after="0"/>
        <w:rPr>
          <w:sz w:val="20"/>
          <w:szCs w:val="20"/>
          <w:color w:val="auto"/>
        </w:rPr>
        <w:sectPr>
          <w:pgSz w:w="11900" w:h="16838" w:orient="portrait"/>
          <w:cols w:equalWidth="0" w:num="1">
            <w:col w:w="11260"/>
          </w:cols>
          <w:pgMar w:left="240" w:top="266" w:right="3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5"/>
          <w:szCs w:val="15"/>
          <w:b w:val="1"/>
          <w:bCs w:val="1"/>
          <w:color w:val="auto"/>
        </w:rPr>
        <w:t>ASTE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5"/>
          <w:szCs w:val="15"/>
          <w:b w:val="1"/>
          <w:bCs w:val="1"/>
          <w:color w:val="auto"/>
        </w:rPr>
        <w:t>ANAGEMENT</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$500,000,000 2.400% Senior Notes due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9,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Representatives named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II hereto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Merrill Lynch, Pierce, Fenner &amp; Smith</w:t>
      </w:r>
    </w:p>
    <w:p>
      <w:pPr>
        <w:spacing w:after="0" w:line="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Mizuho Securities USA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320 Park Avenue – 12th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80" w:firstLine="456"/>
        <w:spacing w:after="0" w:line="276" w:lineRule="auto"/>
        <w:rPr>
          <w:sz w:val="20"/>
          <w:szCs w:val="20"/>
          <w:color w:val="auto"/>
        </w:rPr>
      </w:pPr>
      <w:r>
        <w:rPr>
          <w:rFonts w:ascii="Times New Roman" w:cs="Times New Roman" w:eastAsia="Times New Roman" w:hAnsi="Times New Roman"/>
          <w:sz w:val="17"/>
          <w:szCs w:val="17"/>
          <w:color w:val="auto"/>
        </w:rPr>
        <w:t>Waste Management, Inc., a corporation organized under the laws of Delaware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proposes to sell to the several underwriters named in Schedule II hereto (the “</w:t>
      </w:r>
      <w:r>
        <w:rPr>
          <w:rFonts w:ascii="Times New Roman" w:cs="Times New Roman" w:eastAsia="Times New Roman" w:hAnsi="Times New Roman"/>
          <w:sz w:val="17"/>
          <w:szCs w:val="17"/>
          <w:u w:val="single" w:color="auto"/>
          <w:color w:val="auto"/>
        </w:rPr>
        <w:t>Underwriters</w:t>
      </w:r>
      <w:r>
        <w:rPr>
          <w:rFonts w:ascii="Times New Roman" w:cs="Times New Roman" w:eastAsia="Times New Roman" w:hAnsi="Times New Roman"/>
          <w:sz w:val="17"/>
          <w:szCs w:val="17"/>
          <w:color w:val="auto"/>
        </w:rPr>
        <w:t>”), for whom you (the “</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are acting as representatives, $500,000,000 aggregate principal amount of</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2.400% Senior Notes due 2023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to be issued under an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dated as of September 10, 1997, between the Company and The Bank of New York Mellon Trust Company, N.A. (as the current successor to the initial trustee, Texas Commerce Bank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to be guaranteed on a senior unsecured basis (the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by Waste Management Holdings, Inc.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pursuant to a guarantee (the “</w:t>
      </w: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in favor of the holders of the Notes to be dated as of the Closing Date (as defined in Section 3 hereof). The Notes and the Guarantee are sometimes referred to herein collectively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Any reference herein to the Registration Statement, the Preliminary Prospectus or the Final Prospectus shall be deemed to refer to and include the documents incorporated by reference therein pursuant to Item 12 of Form S-3 under the Act, which were filed under the Exchange Act on or before the</w:t>
      </w:r>
    </w:p>
    <w:p>
      <w:pPr>
        <w:sectPr>
          <w:pgSz w:w="11900" w:h="16838" w:orient="portrait"/>
          <w:cols w:equalWidth="0" w:num="1">
            <w:col w:w="11420"/>
          </w:cols>
          <w:pgMar w:left="240" w:top="117" w:right="239" w:bottom="1440" w:gutter="0" w:footer="0" w:header="0"/>
        </w:sectPr>
      </w:pPr>
    </w:p>
    <w:bookmarkStart w:id="5" w:name="page6"/>
    <w:bookmarkEnd w:id="5"/>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Date of the Registration Statement or the date of the Preliminary Prospectus or the Final Prospectus, as the case may be; and any reference herein to the terms “amend,” “amendment” or “supplement” with respect to the Registration Statement, the Preliminary Prospectus or the Final Prospectus shall be deemed to refer to and include the filing of any document under the Exchange Act after the Effective Date of the Registration Statement or the date of the Preliminary Prospectus or the Final Prospectus, as the case may be, deemed to be incorporated therein by reference. Certain terms used herein are defined in Section 18 hereof.</w:t>
      </w:r>
    </w:p>
    <w:p>
      <w:pPr>
        <w:spacing w:after="0" w:line="184"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At or prior to the Time of Sale, the Company had prepared the following information (the “</w:t>
      </w:r>
      <w:r>
        <w:rPr>
          <w:rFonts w:ascii="Times New Roman" w:cs="Times New Roman" w:eastAsia="Times New Roman" w:hAnsi="Times New Roman"/>
          <w:sz w:val="18"/>
          <w:szCs w:val="18"/>
          <w:u w:val="single" w:color="auto"/>
          <w:color w:val="auto"/>
        </w:rPr>
        <w:t>Time of Sale Information</w:t>
      </w:r>
      <w:r>
        <w:rPr>
          <w:rFonts w:ascii="Times New Roman" w:cs="Times New Roman" w:eastAsia="Times New Roman" w:hAnsi="Times New Roman"/>
          <w:sz w:val="18"/>
          <w:szCs w:val="18"/>
          <w:color w:val="auto"/>
        </w:rPr>
        <w:t>”): the Preliminary Prospectus and each “free-writing prospectus” (as defined pursuant to Rule 405 under the Act) listed on Annex A hereto.</w:t>
      </w:r>
    </w:p>
    <w:p>
      <w:pPr>
        <w:spacing w:after="0" w:line="162" w:lineRule="exact"/>
        <w:rPr>
          <w:sz w:val="20"/>
          <w:szCs w:val="20"/>
          <w:color w:val="auto"/>
        </w:rPr>
      </w:pPr>
    </w:p>
    <w:p>
      <w:pPr>
        <w:ind w:firstLine="464"/>
        <w:spacing w:after="0" w:line="282" w:lineRule="auto"/>
        <w:tabs>
          <w:tab w:leader="none" w:pos="6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Company and Holdings represents and warrants to, and agrees with, each Underwriter as set forth below in this Section 1.</w:t>
      </w:r>
    </w:p>
    <w:p>
      <w:pPr>
        <w:spacing w:after="0" w:line="53" w:lineRule="exact"/>
        <w:rPr>
          <w:rFonts w:ascii="Times New Roman" w:cs="Times New Roman" w:eastAsia="Times New Roman" w:hAnsi="Times New Roman"/>
          <w:sz w:val="18"/>
          <w:szCs w:val="18"/>
          <w:color w:val="auto"/>
        </w:rPr>
      </w:pPr>
    </w:p>
    <w:p>
      <w:pPr>
        <w:ind w:left="460" w:right="60" w:firstLine="443"/>
        <w:spacing w:after="0" w:line="254" w:lineRule="auto"/>
        <w:tabs>
          <w:tab w:leader="none" w:pos="1143"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meets the requirements for use of Form S-3 under the Act and has prepared and filed with the Commission a registration statement (File Number 333-207628) on Form S-3, including a related base prospectus, for registration under the Act of the offering and sale of the Securities. The Registration Statement is an “automatic effective registration statement” as defined under Rule 405 of the Act that has been filed with the Commission not earlier than three years prior to the date hereof; and no notice of objection of the Commission to the use of such registration statement or any post-effective amendment thereto pursuant to Rule 401(g)(2) under the Act has been received by the Company. No order suspending the effectiveness of the Registration Statement has been issued by the Commission and no proceeding for that purpose or pursuant to Section 8A of the Act against the Company or related to the offering has been initiated or threatened by the Commission. The Company may have filed one or more amendments thereto, each of which has previously been furnished to you. The Company will next file with the Commission a final prospectus in accordance with Rules 415 and 424(b). The Registration Statement, at the Time of Sale, meets the requirements set forth in Rule 415(a)(1)(x).</w:t>
      </w:r>
    </w:p>
    <w:p>
      <w:pPr>
        <w:spacing w:after="0" w:line="81" w:lineRule="exact"/>
        <w:rPr>
          <w:rFonts w:ascii="Times New Roman" w:cs="Times New Roman" w:eastAsia="Times New Roman" w:hAnsi="Times New Roman"/>
          <w:sz w:val="18"/>
          <w:szCs w:val="18"/>
          <w:color w:val="auto"/>
        </w:rPr>
      </w:pPr>
    </w:p>
    <w:p>
      <w:pPr>
        <w:ind w:left="460" w:right="120" w:firstLine="443"/>
        <w:spacing w:after="0" w:line="254" w:lineRule="auto"/>
        <w:tabs>
          <w:tab w:leader="none" w:pos="1153"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Date, the Registration Statement did, and when the Final Prospectus is first filed in accordance with Rule 424(b) and on the Closing Date (as defined herein), the Final Prospectus (and any supplement thereto) will, comply in all material respects with the applicable requirements of the Act, the Exchange Act and the Trust Indenture Act and the respective rules thereunder; on the Effective Date the Registration Statement did not, and on the Closing Date the Registration Statement will not, contain any untrue statement of a material fact or omit to state any material fact required to be stated therein or necessary to make the statements therein not misleading; on the Effective Date the Indenture did, and on the Closing Date the Indenture will, comply in all material respects with the applicable requirements of the Trust Indenture Act and the rules thereunder; and on the date of filing of the Final Prospectus pursuant to Rule 424(b) and on the Closing Date, the Registration Statement and the Final Prospectus (together with any supplement thereto) will not include any untrue statement of a material fact or omit to state a material fact necessary in order to make the statements therein, in the light of the circumstances under which they were made with respect to the Final</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0" w:right="259" w:bottom="1440" w:gutter="0" w:footer="0" w:header="0"/>
        </w:sectPr>
      </w:pPr>
    </w:p>
    <w:bookmarkStart w:id="6" w:name="page7"/>
    <w:bookmarkEnd w:id="6"/>
    <w:p>
      <w:pPr>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Prospectus, not misleading;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makes no representations or warranties as to (i) that part of the Registration Statement which shall constitute the Statement of Eligibility and Qualification (Form T-1) under the Trust Indenture Act of the Trustee or (ii)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w:t>
      </w:r>
    </w:p>
    <w:p>
      <w:pPr>
        <w:spacing w:after="0" w:line="74" w:lineRule="exact"/>
        <w:rPr>
          <w:sz w:val="20"/>
          <w:szCs w:val="20"/>
          <w:color w:val="auto"/>
        </w:rPr>
      </w:pPr>
    </w:p>
    <w:p>
      <w:pPr>
        <w:ind w:right="20" w:firstLine="443"/>
        <w:spacing w:after="0" w:line="255" w:lineRule="auto"/>
        <w:tabs>
          <w:tab w:leader="none" w:pos="68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Time of Sale Information. No statement of material fact included in the Final Prospectus has been omitted from the Time of Sale Information and no statement of material fact included in the Time of Sale Information that is required to be included in the Final Prospectus has been omitted therefrom.</w:t>
      </w:r>
    </w:p>
    <w:p>
      <w:pPr>
        <w:spacing w:after="0" w:line="81" w:lineRule="exact"/>
        <w:rPr>
          <w:rFonts w:ascii="Times New Roman" w:cs="Times New Roman" w:eastAsia="Times New Roman" w:hAnsi="Times New Roman"/>
          <w:sz w:val="18"/>
          <w:szCs w:val="18"/>
          <w:color w:val="auto"/>
        </w:rPr>
      </w:pPr>
    </w:p>
    <w:p>
      <w:pPr>
        <w:ind w:right="40" w:firstLine="443"/>
        <w:spacing w:after="0" w:line="252" w:lineRule="auto"/>
        <w:tabs>
          <w:tab w:leader="none" w:pos="69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Act) that constitutes an offer to sell or solicitation of an offer to buy the Securities (each such communication by the Company or its agents and representatives (other than a communication referred to in clauses (i), (ii) and (iii) below) an “</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xml:space="preserve">”) other than (i) any document not constituting a prospectus pursuant to Section 2(a)(10)(a) of the Act or Rule 134 under the Act, (ii) the Preliminary Prospectus, (iii) the Final Prospectus, (iv) the documents constituting the Time of Sale Information, and (v) any electronic road show or other written communications, in each case approved in writing in advance by the Representatives. Each such Issuer Free Writing Prospectus complied in all material respects with the Act, has been or will be (within the time period specified in Rule 433) filed in accordance with the Act (to the extent required thereby) and, when taken together with the Preliminary Prospectus filed prior to the first use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makes no representation and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90" w:lineRule="exact"/>
        <w:rPr>
          <w:rFonts w:ascii="Times New Roman" w:cs="Times New Roman" w:eastAsia="Times New Roman" w:hAnsi="Times New Roman"/>
          <w:sz w:val="18"/>
          <w:szCs w:val="18"/>
          <w:color w:val="auto"/>
        </w:rPr>
      </w:pPr>
    </w:p>
    <w:p>
      <w:pPr>
        <w:ind w:right="300" w:firstLine="443"/>
        <w:spacing w:after="0" w:line="282" w:lineRule="auto"/>
        <w:tabs>
          <w:tab w:leader="none" w:pos="68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by reference in the Registration Statement, the Time of Sale Information and the Final Prospectus, when they were filed with the</w:t>
      </w:r>
    </w:p>
    <w:p>
      <w:pPr>
        <w:spacing w:after="0" w:line="9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700" w:top="268" w:right="239" w:bottom="1440" w:gutter="0" w:footer="0" w:header="0"/>
        </w:sectPr>
      </w:pPr>
    </w:p>
    <w:bookmarkStart w:id="7" w:name="page8"/>
    <w:bookmarkEnd w:id="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Commission, conformed in all material respects to the requirements of the Exchange Act and none of such documents contained any untrue statement of a material fact or omitted to state a material fact required to be stated therein or necessary to make the statements therein, in the light of the circumstances under which they were made, not misleading; and any further documents so filed and incorporated by reference in the Registration Statement, the Time of Sale Information and the Final Prospectus, when such documents become effective or are filed with the Commission, as the case may be, will conform in all material respects to the requirements of the Act or the Exchange Act, as applicable, and will not contain any untrue statement of a material fact or omit to state a material fact required to be stated therein or necessary to make the statements therein, in the light of the circumstances under which they were made, not misleading.</w:t>
      </w:r>
    </w:p>
    <w:p>
      <w:pPr>
        <w:spacing w:after="0" w:line="81" w:lineRule="exact"/>
        <w:rPr>
          <w:sz w:val="20"/>
          <w:szCs w:val="20"/>
          <w:color w:val="auto"/>
        </w:rPr>
      </w:pPr>
    </w:p>
    <w:p>
      <w:pPr>
        <w:ind w:right="160" w:firstLine="443"/>
        <w:spacing w:after="0" w:line="256" w:lineRule="auto"/>
        <w:tabs>
          <w:tab w:leader="none" w:pos="6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authorized, executed and delivered by the Company and, assuming it was duly executed and delivered by the Trustee, is a valid and binding agreement of the Company, enforceable against the Company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Indenture has been duly qualified under the Trust Indenture Act and conforms to the description thereof in the Registration Statement, the Time of Sale Information and the Final Prospectus.</w:t>
      </w:r>
    </w:p>
    <w:p>
      <w:pPr>
        <w:spacing w:after="0" w:line="79" w:lineRule="exact"/>
        <w:rPr>
          <w:rFonts w:ascii="Times New Roman" w:cs="Times New Roman" w:eastAsia="Times New Roman" w:hAnsi="Times New Roman"/>
          <w:sz w:val="18"/>
          <w:szCs w:val="18"/>
          <w:color w:val="auto"/>
        </w:rPr>
      </w:pPr>
    </w:p>
    <w:p>
      <w:pPr>
        <w:ind w:firstLine="443"/>
        <w:spacing w:after="0" w:line="255" w:lineRule="auto"/>
        <w:tabs>
          <w:tab w:leader="none" w:pos="6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have been duly authorized and, when executed by the Company and authenticated by the Trustee in accordance with the Indenture and delivered to you against payment therefor in accordance with the terms hereof, will have been validly issued and delivered, and will constitute valid and binding obligations of the Company entitled to the benefits of the Indenture and enforceable against the Company in accordance with their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Notes conform to the description thereof in the Registration Statement, the Time of Sale Information and the Final Prospectus.</w:t>
      </w:r>
    </w:p>
    <w:p>
      <w:pPr>
        <w:spacing w:after="0" w:line="81" w:lineRule="exact"/>
        <w:rPr>
          <w:rFonts w:ascii="Times New Roman" w:cs="Times New Roman" w:eastAsia="Times New Roman" w:hAnsi="Times New Roman"/>
          <w:sz w:val="18"/>
          <w:szCs w:val="18"/>
          <w:color w:val="auto"/>
        </w:rPr>
      </w:pPr>
    </w:p>
    <w:p>
      <w:pPr>
        <w:ind w:right="60" w:firstLine="443"/>
        <w:spacing w:after="0" w:line="256" w:lineRule="auto"/>
        <w:tabs>
          <w:tab w:leader="none" w:pos="6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Agreement has been duly authorized and, when executed and delivered by Holdings against payment for the Notes in accordance with the terms thereof, will have been validly executed and delivered, and will constitute a valid and binding agreement of Holdings, enforceable against Holdings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Guarantee conforms to the description thereof in the Registration Statement, the Time of Sale Information and the Final Prospectus.</w:t>
      </w:r>
    </w:p>
    <w:p>
      <w:pPr>
        <w:spacing w:after="0" w:line="1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700" w:top="270" w:right="239" w:bottom="1440" w:gutter="0" w:footer="0" w:header="0"/>
        </w:sectPr>
      </w:pPr>
    </w:p>
    <w:bookmarkStart w:id="8" w:name="page9"/>
    <w:bookmarkEnd w:id="8"/>
    <w:p>
      <w:pPr>
        <w:ind w:firstLine="443"/>
        <w:spacing w:after="0" w:line="256" w:lineRule="auto"/>
        <w:tabs>
          <w:tab w:leader="none" w:pos="6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 on the condition (financial or other), prospects, earnings, business or properties of the Company and its subsidiaries taken as a whole, whether or not arising from transactions in the ordinary course of business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right="220" w:firstLine="443"/>
        <w:spacing w:after="0" w:line="258" w:lineRule="auto"/>
        <w:tabs>
          <w:tab w:leader="none" w:pos="6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w:t>
      </w:r>
    </w:p>
    <w:p>
      <w:pPr>
        <w:spacing w:after="0" w:line="75" w:lineRule="exact"/>
        <w:rPr>
          <w:rFonts w:ascii="Times New Roman" w:cs="Times New Roman" w:eastAsia="Times New Roman" w:hAnsi="Times New Roman"/>
          <w:sz w:val="18"/>
          <w:szCs w:val="18"/>
          <w:color w:val="auto"/>
        </w:rPr>
      </w:pPr>
    </w:p>
    <w:p>
      <w:pPr>
        <w:ind w:right="100" w:firstLine="443"/>
        <w:spacing w:after="0" w:line="255" w:lineRule="auto"/>
        <w:tabs>
          <w:tab w:leader="none" w:pos="6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“significant subsidiaries” (as such term is defined in Regulation S-X under the Exchange Act) (the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is included in the list of subsidiaries on Exhibit 21.1 of the Annual Report on Form 10-K for the year ended December 31, 2015, and each of the Subsidiaries has been duly organized, is validly existing and is in good standing in the jurisdiction of its incorporation, with full corporate power and authority to own, lease and operate its properties and to conduct its business as described in the Registration Statement, the Time of Sale Information and the Final Prospectus; and each of the Subsidiaries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singly or in the aggregate, have a Material Adverse Effect.</w:t>
      </w:r>
    </w:p>
    <w:p>
      <w:pPr>
        <w:spacing w:after="0" w:line="81" w:lineRule="exact"/>
        <w:rPr>
          <w:rFonts w:ascii="Times New Roman" w:cs="Times New Roman" w:eastAsia="Times New Roman" w:hAnsi="Times New Roman"/>
          <w:sz w:val="18"/>
          <w:szCs w:val="18"/>
          <w:color w:val="auto"/>
        </w:rPr>
      </w:pPr>
    </w:p>
    <w:p>
      <w:pPr>
        <w:ind w:right="80" w:firstLine="443"/>
        <w:spacing w:after="0" w:line="255" w:lineRule="auto"/>
        <w:tabs>
          <w:tab w:leader="none" w:pos="6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shares of capital stock of each of the Subsidiaries have been duly authorized and validly issued and are owned, directly or indirectly, by the Company. All such shares are fully paid and nonassessable, and, except as disclosed in the Registration Statement, the Time of Sale Information and the Final Prospectus, are owned by the Company, directly or indirectly, free and clear of any security interest, mortgage, pledge, claim, lien, encumbrance or adverse interest of any nature (each, a “</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Except as disclosed in the Registration Statement, the Time of Sale Information and the Final Prospectus, there are no outstanding subscriptions, rights, warrants, options, calls, convertible or exchangeable securities, commitments of sale, or Liens related to or entitling any person to purchase or otherwise to acquire any shares of the capital stock of, or other ownership interests in, any Subsidiary.</w:t>
      </w:r>
    </w:p>
    <w:p>
      <w:pPr>
        <w:spacing w:after="0" w:line="1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700" w:top="270" w:right="259" w:bottom="1440" w:gutter="0" w:footer="0" w:header="0"/>
        </w:sectPr>
      </w:pPr>
    </w:p>
    <w:bookmarkStart w:id="9" w:name="page10"/>
    <w:bookmarkEnd w:id="9"/>
    <w:p>
      <w:pPr>
        <w:ind w:left="740" w:hanging="29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has been duly and validly authorized, executed and delivered by the Company and Holdings.</w:t>
      </w:r>
    </w:p>
    <w:p>
      <w:pPr>
        <w:spacing w:after="0" w:line="117" w:lineRule="exact"/>
        <w:rPr>
          <w:rFonts w:ascii="Times New Roman" w:cs="Times New Roman" w:eastAsia="Times New Roman" w:hAnsi="Times New Roman"/>
          <w:sz w:val="18"/>
          <w:szCs w:val="18"/>
          <w:color w:val="auto"/>
        </w:rPr>
      </w:pPr>
    </w:p>
    <w:p>
      <w:pPr>
        <w:ind w:firstLine="443"/>
        <w:spacing w:after="0" w:line="253" w:lineRule="auto"/>
        <w:tabs>
          <w:tab w:leader="none" w:pos="6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Time of Sale Information and the Final Prospectus, there is no action, suit or proceeding before or by any court or governmental agency or body or any arbitrator pending against the Company or any of its subsidiaries that is required to be disclosed in the Registration Statement, the Time of Sale Information or the Final Prospectus, or which could reasonably be expected to have a Material Adverse Effect, or materially and adversely affect the performance of the Company’s obligations pursuant to this Agreement and, to the best of the Company’s knowledge, no such proceedings are contemplated or threatened. No action has been taken with respect to the Company or any subsidiary, and no statute, rule or regulation or order has been enacted, adopted or issued by any governmental agency and no injunction, restraining order or other order of any court of competent jurisdiction has been issued with respect to the Company or any subsidiary that prevents the issuance of the Securities or suspends the effectiveness of the Registration Statement, prevents or suspends the use of the Final Prospectus or prevents or suspends the sale of the Securities in any of the jurisdictions that you may have specified pursuant to Section 5(h) hereof; and every request of the Commission, or any securities authority or agency of any jurisdiction, for additional information to be included in the Registration Statement or the Final Prospectus or otherwise has been complied with in all material respects.</w:t>
      </w:r>
    </w:p>
    <w:p>
      <w:pPr>
        <w:spacing w:after="0" w:line="84" w:lineRule="exact"/>
        <w:rPr>
          <w:rFonts w:ascii="Times New Roman" w:cs="Times New Roman" w:eastAsia="Times New Roman" w:hAnsi="Times New Roman"/>
          <w:sz w:val="18"/>
          <w:szCs w:val="18"/>
          <w:color w:val="auto"/>
        </w:rPr>
      </w:pPr>
    </w:p>
    <w:p>
      <w:pPr>
        <w:ind w:right="20" w:firstLine="443"/>
        <w:spacing w:after="0" w:line="255" w:lineRule="auto"/>
        <w:tabs>
          <w:tab w:leader="none" w:pos="6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Time of Sale Information and the Final Prospectus (or any amendment or supplement thereto), subsequent to the respective dates as of which such information is given in the Registration Statement, the Time of Sale Information and the Final Prospectus (or any amendment or supplement thereto), neither the Company nor any of its subsidiaries has incurred any liability or obligation, direct or contingent, that is material to the Company and its subsidiaries taken as a whole, or entered into any transaction, not in the ordinary course of business, that is material to the Company and its subsidiaries taken as a whole, and there has not been any material adverse change, or any development involving or which may reasonably be expected to involve, a prospective material adverse change, in the condition (financial or other), prospects, earnings, business or properties of the Company and its subsidiaries taken as a whole, whether or not arising from transactions in the ordinary course of business.</w:t>
      </w:r>
    </w:p>
    <w:p>
      <w:pPr>
        <w:spacing w:after="0" w:line="77" w:lineRule="exact"/>
        <w:rPr>
          <w:rFonts w:ascii="Times New Roman" w:cs="Times New Roman" w:eastAsia="Times New Roman" w:hAnsi="Times New Roman"/>
          <w:sz w:val="18"/>
          <w:szCs w:val="18"/>
          <w:color w:val="auto"/>
        </w:rPr>
      </w:pPr>
    </w:p>
    <w:p>
      <w:pPr>
        <w:ind w:firstLine="443"/>
        <w:spacing w:after="0" w:line="255" w:lineRule="auto"/>
        <w:tabs>
          <w:tab w:leader="none" w:pos="6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the Registration Statement, the Time of Sale Information and the Final Prospectus or such as would not have a Material Adverse Effect, each of the Company and its subsidiaries has good and marketable title to all property (real and personal) described in the Registration Statement, the Time of Sale Information and the Final Prospectus as being owned by it, free and clear of all Liens, except Liens for taxes not yet due and payable and Liens described in the Registration Statement, the Time of Sale Information and the Final Prospectus or in a document filed as an exhibit to the Registration Statement. All the property described in the Registration Statement, the Time of Sale Information and the Final Prospectus as being held under lease by each of the Company and its subsidiaries is held by it under valid, subsisting and enforceable leases, except as would not have a Material Adverse Effect.</w:t>
      </w:r>
    </w:p>
    <w:p>
      <w:pPr>
        <w:spacing w:after="0" w:line="12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700" w:top="270" w:right="239" w:bottom="1440" w:gutter="0" w:footer="0" w:header="0"/>
        </w:sectPr>
      </w:pPr>
    </w:p>
    <w:bookmarkStart w:id="10" w:name="page11"/>
    <w:bookmarkEnd w:id="10"/>
    <w:p>
      <w:pPr>
        <w:ind w:right="40" w:firstLine="443"/>
        <w:spacing w:after="0" w:line="258" w:lineRule="auto"/>
        <w:tabs>
          <w:tab w:leader="none" w:pos="6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where such violation or default would not have a Material Adverse Effect.</w:t>
      </w:r>
    </w:p>
    <w:p>
      <w:pPr>
        <w:spacing w:after="0" w:line="75" w:lineRule="exact"/>
        <w:rPr>
          <w:rFonts w:ascii="Times New Roman" w:cs="Times New Roman" w:eastAsia="Times New Roman" w:hAnsi="Times New Roman"/>
          <w:sz w:val="18"/>
          <w:szCs w:val="18"/>
          <w:color w:val="auto"/>
        </w:rPr>
      </w:pPr>
    </w:p>
    <w:p>
      <w:pPr>
        <w:ind w:right="20" w:firstLine="443"/>
        <w:spacing w:after="0" w:line="266" w:lineRule="auto"/>
        <w:tabs>
          <w:tab w:leader="none" w:pos="6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Holdings has distributed and, prior to the later to occur of (i) the Closing Date and (ii) completion of the distribution of the Securities, neither will distribute any offering material in connection with the offering and sale of the Securities other than the Registration Statement, the Time of Sale Information and the Final Prospectus or other materials, if any, permitted by the Act.</w:t>
      </w:r>
    </w:p>
    <w:p>
      <w:pPr>
        <w:spacing w:after="0" w:line="68" w:lineRule="exact"/>
        <w:rPr>
          <w:rFonts w:ascii="Times New Roman" w:cs="Times New Roman" w:eastAsia="Times New Roman" w:hAnsi="Times New Roman"/>
          <w:sz w:val="18"/>
          <w:szCs w:val="18"/>
          <w:color w:val="auto"/>
        </w:rPr>
      </w:pPr>
    </w:p>
    <w:p>
      <w:pPr>
        <w:ind w:right="20" w:firstLine="443"/>
        <w:spacing w:after="0" w:line="258" w:lineRule="auto"/>
        <w:tabs>
          <w:tab w:leader="none" w:pos="67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Material Adverse Effect, each of the Company and its subsidiaries own or possess the right to use all patents, trademarks, trademark registrations, service marks, service mark registrations, trade names, copyrights, licenses, inventions, trade secrets and rights described in the Registration Statement, the Time of Sale Information and the Final Prospectus as being owned by them or any of them or necessary for the conduct of their respective businesses, and the Company is not aware of any claim to the contrary or any challenge by any other person to the rights of the Company and its subsidiaries with respect to the foregoing.</w:t>
      </w:r>
    </w:p>
    <w:p>
      <w:pPr>
        <w:spacing w:after="0" w:line="75" w:lineRule="exact"/>
        <w:rPr>
          <w:rFonts w:ascii="Times New Roman" w:cs="Times New Roman" w:eastAsia="Times New Roman" w:hAnsi="Times New Roman"/>
          <w:sz w:val="18"/>
          <w:szCs w:val="18"/>
          <w:color w:val="auto"/>
        </w:rPr>
      </w:pPr>
    </w:p>
    <w:p>
      <w:pPr>
        <w:ind w:right="120" w:firstLine="443"/>
        <w:spacing w:after="0" w:line="266" w:lineRule="auto"/>
        <w:tabs>
          <w:tab w:leader="none" w:pos="65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Holdings is and, after giving effect to the offering and sale of the Securities and the application of the proceeds thereof as described in the Registration Statement, the Time of Sale Information and the Final Prospectus, neither will be an “investment company” as defined in the 1940 Act.</w:t>
      </w:r>
    </w:p>
    <w:p>
      <w:pPr>
        <w:spacing w:after="0" w:line="68" w:lineRule="exact"/>
        <w:rPr>
          <w:rFonts w:ascii="Times New Roman" w:cs="Times New Roman" w:eastAsia="Times New Roman" w:hAnsi="Times New Roman"/>
          <w:sz w:val="18"/>
          <w:szCs w:val="18"/>
          <w:color w:val="auto"/>
        </w:rPr>
      </w:pPr>
    </w:p>
    <w:p>
      <w:pPr>
        <w:ind w:right="140" w:firstLine="443"/>
        <w:spacing w:after="0" w:line="261" w:lineRule="auto"/>
        <w:tabs>
          <w:tab w:leader="none" w:pos="6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filing with or order of any court or governmental agency or body is required in connection with the transactions contemplated herein, except such as have been obtained under the Act and the Trust Indenture Act and such as may be required under the blue sky laws of any jurisdiction in connection with the purchase and distribution of the Securities by the Underwriters in the manner contemplated herein and in the Registration Statement, the Time of Sale Information and the Final Prospectus.</w:t>
      </w:r>
    </w:p>
    <w:p>
      <w:pPr>
        <w:spacing w:after="0" w:line="71" w:lineRule="exact"/>
        <w:rPr>
          <w:rFonts w:ascii="Times New Roman" w:cs="Times New Roman" w:eastAsia="Times New Roman" w:hAnsi="Times New Roman"/>
          <w:sz w:val="18"/>
          <w:szCs w:val="18"/>
          <w:color w:val="auto"/>
        </w:rPr>
      </w:pPr>
    </w:p>
    <w:p>
      <w:pPr>
        <w:ind w:firstLine="443"/>
        <w:spacing w:after="0" w:line="256" w:lineRule="auto"/>
        <w:tabs>
          <w:tab w:leader="none" w:pos="6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except as would not have a Material Adverse Effect, or (iii) any statute, law, rule,</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700" w:top="270" w:right="259" w:bottom="1440" w:gutter="0" w:footer="0" w:header="0"/>
        </w:sectPr>
      </w:pPr>
    </w:p>
    <w:bookmarkStart w:id="11" w:name="page12"/>
    <w:bookmarkEnd w:id="11"/>
    <w:p>
      <w:pPr>
        <w:jc w:val="both"/>
        <w:ind w:right="620"/>
        <w:spacing w:after="0" w:line="31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w:t>
      </w:r>
    </w:p>
    <w:p>
      <w:pPr>
        <w:spacing w:after="0" w:line="30" w:lineRule="exact"/>
        <w:rPr>
          <w:sz w:val="20"/>
          <w:szCs w:val="20"/>
          <w:color w:val="auto"/>
        </w:rPr>
      </w:pPr>
    </w:p>
    <w:p>
      <w:pPr>
        <w:ind w:right="20" w:firstLine="443"/>
        <w:spacing w:after="0" w:line="258" w:lineRule="auto"/>
        <w:tabs>
          <w:tab w:leader="none" w:pos="73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historical financial statements and schedules of the Company and its consolidated subsidiaries included or incorporated by reference in the Registration Statement, the Time of Sale Information and the Final Prospectus present fairly in all material respects the financial condition, results of operations and cash flows of the Company as of the dates and for the periods indicated, comply as to form with the applicable accounting requirements of the Act and have been prepared in conformity with generally accepted accounting principles in the United States applied on a consistent basis throughout the periods involved (except as otherwise noted therein).</w:t>
      </w:r>
    </w:p>
    <w:p>
      <w:pPr>
        <w:spacing w:after="0" w:line="75" w:lineRule="exact"/>
        <w:rPr>
          <w:rFonts w:ascii="Times New Roman" w:cs="Times New Roman" w:eastAsia="Times New Roman" w:hAnsi="Times New Roman"/>
          <w:sz w:val="18"/>
          <w:szCs w:val="18"/>
          <w:color w:val="auto"/>
        </w:rPr>
      </w:pPr>
    </w:p>
    <w:p>
      <w:pPr>
        <w:jc w:val="both"/>
        <w:ind w:firstLine="443"/>
        <w:spacing w:after="0" w:line="261" w:lineRule="auto"/>
        <w:tabs>
          <w:tab w:leader="none" w:pos="6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Ernst &amp; Young LLP, who have audited certain financial statements of the Company and its consolidated subsidiaries and delivered their report with respect to the audited consolidated financial statements and schedules included in the Registration Statement, the Time of Sale Information and the Final Prospectus, are an independent registered public accounting firm with respect to the Company within the applicable rules and regulations adopted by the Commission and the Public Accounting Oversight Board (United States) and as required by the Act.</w:t>
      </w:r>
    </w:p>
    <w:p>
      <w:pPr>
        <w:spacing w:after="0" w:line="71" w:lineRule="exact"/>
        <w:rPr>
          <w:rFonts w:ascii="Times New Roman" w:cs="Times New Roman" w:eastAsia="Times New Roman" w:hAnsi="Times New Roman"/>
          <w:sz w:val="18"/>
          <w:szCs w:val="18"/>
          <w:color w:val="auto"/>
        </w:rPr>
      </w:pPr>
    </w:p>
    <w:p>
      <w:pPr>
        <w:ind w:firstLine="443"/>
        <w:spacing w:after="0" w:line="255" w:lineRule="auto"/>
        <w:tabs>
          <w:tab w:leader="none" w:pos="6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Holdings has filed all foreign, federal, state and local tax returns that are required to be filed or has requested extensions thereof (except in any case in which the failure so to file would not have a Material Adverse Effect, and except as set forth or incorporated by reference in the Registration Statement, the Time of Sale Information and the Final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except as set forth or incorporated by reference in the Registration Statement, the Time of Sale Information and the Final Prospectus (exclusive of any amendment or supplement thereto).</w:t>
      </w:r>
    </w:p>
    <w:p>
      <w:pPr>
        <w:spacing w:after="0" w:line="81" w:lineRule="exact"/>
        <w:rPr>
          <w:rFonts w:ascii="Times New Roman" w:cs="Times New Roman" w:eastAsia="Times New Roman" w:hAnsi="Times New Roman"/>
          <w:sz w:val="18"/>
          <w:szCs w:val="18"/>
          <w:color w:val="auto"/>
        </w:rPr>
      </w:pPr>
    </w:p>
    <w:p>
      <w:pPr>
        <w:ind w:right="160" w:firstLine="443"/>
        <w:spacing w:after="0" w:line="261" w:lineRule="auto"/>
        <w:tabs>
          <w:tab w:leader="none" w:pos="6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problem or dispute with the employees of the Company or any of its subsidiaries exists or is threatened or imminent, nor is the Company aware of any existing or imminent labor disturbance by the employees of any of its or its subsidiaries’ principal suppliers, contractors or customers, that would have a Material Adverse Effect, except as set forth or incorporated by reference in the Registration Statement, the Time of Sale Information and the Final Prospectus (exclusive of any amendment or supplement thereto).</w:t>
      </w:r>
    </w:p>
    <w:p>
      <w:pPr>
        <w:spacing w:after="0" w:line="72" w:lineRule="exact"/>
        <w:rPr>
          <w:sz w:val="20"/>
          <w:szCs w:val="20"/>
          <w:color w:val="auto"/>
        </w:rPr>
      </w:pPr>
    </w:p>
    <w:p>
      <w:pPr>
        <w:ind w:right="280" w:firstLine="443"/>
        <w:spacing w:after="0" w:line="276" w:lineRule="auto"/>
        <w:tabs>
          <w:tab w:leader="none" w:pos="763"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have a Material Adverse Effect, (i) the Company and each of its Subsidiaries are insured by insurers of recognized financial responsibility against such losses and risks and in such amounts as are prudent and customary in the businesses in which they are engaged;</w:t>
      </w:r>
    </w:p>
    <w:p>
      <w:pPr>
        <w:ind w:left="260" w:hanging="256"/>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policies of insurance insuring the Company or any of its Subsidiaries or their respective businesses, assets, employees, officers and</w:t>
      </w:r>
    </w:p>
    <w:p>
      <w:pPr>
        <w:spacing w:after="0" w:line="1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700" w:top="270" w:right="259" w:bottom="1440" w:gutter="0" w:footer="0" w:header="0"/>
        </w:sectPr>
      </w:pPr>
    </w:p>
    <w:bookmarkStart w:id="12" w:name="page13"/>
    <w:bookmarkEnd w:id="1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are in full force and effect; (iii) the Company and its Subsidiaries are in compliance with the terms of such policies and instruments; (iv) there are no claims by the Company or any of its Subsidiaries under any such policy or instrument as to which any insurance company is denying liability or defending under a reservation of rights clause; and (v) neither the Company nor any such Subsidiary has been refused any insurance coverage sought or applied for, except in each case as set forth or incorporated by reference in the Registration Statement, the Time of Sale Information and the Final Prospectus (exclusive of any amendment or supplement thereto).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or incorporated by reference in the Registration Statement, the Time of Sale Information and the Final Prospectus (exclusive of any amendment or supplement thereto).</w:t>
      </w:r>
    </w:p>
    <w:p>
      <w:pPr>
        <w:spacing w:after="0" w:line="77" w:lineRule="exact"/>
        <w:rPr>
          <w:sz w:val="20"/>
          <w:szCs w:val="20"/>
          <w:color w:val="auto"/>
        </w:rPr>
      </w:pPr>
    </w:p>
    <w:p>
      <w:pPr>
        <w:ind w:firstLine="443"/>
        <w:spacing w:after="0" w:line="261" w:lineRule="auto"/>
        <w:tabs>
          <w:tab w:leader="none" w:pos="78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or incorporated by reference in the Registration Statement, the Time of Sale Information and the Final Prospectus (exclusive of any amendment or supplement thereto).</w:t>
      </w:r>
    </w:p>
    <w:p>
      <w:pPr>
        <w:spacing w:after="0" w:line="71" w:lineRule="exact"/>
        <w:rPr>
          <w:rFonts w:ascii="Times New Roman" w:cs="Times New Roman" w:eastAsia="Times New Roman" w:hAnsi="Times New Roman"/>
          <w:sz w:val="18"/>
          <w:szCs w:val="18"/>
          <w:color w:val="auto"/>
        </w:rPr>
      </w:pPr>
    </w:p>
    <w:p>
      <w:pPr>
        <w:ind w:right="80" w:firstLine="443"/>
        <w:spacing w:after="0" w:line="256" w:lineRule="auto"/>
        <w:tabs>
          <w:tab w:leader="none" w:pos="76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Material Adverse Effect, the Company and its subsidiaries possess and are in compliance with all licenses, certificates, permits and other authorizations issued by the appropriate federal, state or foreign regulatory authorities necessary to conduct their respective businesses, and neither the Company nor any such subsidiary has received any notice of proceedings relating to the revocation or modification of any such license, certificate, authorization or permit, which, singly or in the aggregate, if the subject of an unfavorable decision, ruling or finding, would have a Material Adverse Effect, except as set forth or incorporated by reference in the Registration Statement, the Time of Sale Information and the Final Prospectus (exclusive of any amendment or supplement thereto).</w:t>
      </w:r>
    </w:p>
    <w:p>
      <w:pPr>
        <w:spacing w:after="0" w:line="79" w:lineRule="exact"/>
        <w:rPr>
          <w:rFonts w:ascii="Times New Roman" w:cs="Times New Roman" w:eastAsia="Times New Roman" w:hAnsi="Times New Roman"/>
          <w:sz w:val="18"/>
          <w:szCs w:val="18"/>
          <w:color w:val="auto"/>
        </w:rPr>
      </w:pPr>
    </w:p>
    <w:p>
      <w:pPr>
        <w:ind w:left="780" w:hanging="337"/>
        <w:spacing w:after="0"/>
        <w:tabs>
          <w:tab w:leader="none" w:pos="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maintain a system of internal accounting controls sufficient to provide reasonable assurance that</w:t>
      </w:r>
    </w:p>
    <w:p>
      <w:pPr>
        <w:spacing w:after="0" w:line="27" w:lineRule="exact"/>
        <w:rPr>
          <w:rFonts w:ascii="Times New Roman" w:cs="Times New Roman" w:eastAsia="Times New Roman" w:hAnsi="Times New Roman"/>
          <w:sz w:val="18"/>
          <w:szCs w:val="18"/>
          <w:color w:val="auto"/>
        </w:rPr>
      </w:pPr>
    </w:p>
    <w:p>
      <w:pPr>
        <w:ind w:right="180" w:firstLine="4"/>
        <w:spacing w:after="0" w:line="254" w:lineRule="auto"/>
        <w:tabs>
          <w:tab w:leader="none" w:pos="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77" w:lineRule="exact"/>
        <w:rPr>
          <w:rFonts w:ascii="Times New Roman" w:cs="Times New Roman" w:eastAsia="Times New Roman" w:hAnsi="Times New Roman"/>
          <w:sz w:val="18"/>
          <w:szCs w:val="18"/>
          <w:color w:val="auto"/>
        </w:rPr>
      </w:pPr>
    </w:p>
    <w:p>
      <w:pPr>
        <w:jc w:val="both"/>
        <w:ind w:right="100" w:firstLine="443"/>
        <w:spacing w:after="0" w:line="266" w:lineRule="auto"/>
        <w:tabs>
          <w:tab w:leader="none" w:pos="76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Holdings has taken, directly or indirectly, any action designed to or that would constitute or that might reasonably be expected to cause or result in stabilization or manipulation of the price of any security of the Company or Holdings to facilitate the sale or resale of the Securities.</w:t>
      </w:r>
    </w:p>
    <w:p>
      <w:pPr>
        <w:spacing w:after="0" w:line="10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700" w:top="270" w:right="259" w:bottom="1440" w:gutter="0" w:footer="0" w:header="0"/>
        </w:sectPr>
      </w:pPr>
    </w:p>
    <w:bookmarkStart w:id="13" w:name="page14"/>
    <w:bookmarkEnd w:id="13"/>
    <w:p>
      <w:pPr>
        <w:ind w:right="60" w:firstLine="443"/>
        <w:spacing w:after="0" w:line="253"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(i) are in compliance with any and all applicable foreign, federal, state and local laws, regulations and requirements relating to pollution, the protection of natural resources, human health and safety, the environment or hazardous or toxic substances or wastes, solid wastes, petroleum hydrocarbons or products, pollutants or contaminants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and are in compliance with all permits, licenses, certificates and other authorizations or approvals required of them under applicable Environmental Laws to conduct their respective businesses; and (iii) have not received notice of any actual or potential cost or liability for the investigation or remediation of any disposal or release of hazardous or toxic substances or wastes, solid wastes, petroleum hydrocarbons or products, pollutants or contaminants, except where such non-compliance with Environmental Laws, failure to receive required permits, licenses or other approvals, or cost or liability would not, individually or in the aggregate, have a Material Adverse Effect, except as set forth or incorporated by reference in the Registration Statement, the Time of Sale Information and the Final Prospectus (exclusive of any amendment or supplement thereto). The environmental reserves described or incorporated by reference in the Registration Statement, the Time of Sale Information and the Final Prospectus reflect in accordance with generally accepted accounting principles in the United States the known liabilities and obligations of the Company and its subsidiaries under Environmental Laws.</w:t>
      </w:r>
    </w:p>
    <w:p>
      <w:pPr>
        <w:spacing w:after="0" w:line="82" w:lineRule="exact"/>
        <w:rPr>
          <w:rFonts w:ascii="Times New Roman" w:cs="Times New Roman" w:eastAsia="Times New Roman" w:hAnsi="Times New Roman"/>
          <w:sz w:val="18"/>
          <w:szCs w:val="18"/>
          <w:color w:val="auto"/>
        </w:rPr>
      </w:pPr>
    </w:p>
    <w:p>
      <w:pPr>
        <w:ind w:right="60" w:firstLine="443"/>
        <w:spacing w:after="0" w:line="255" w:lineRule="auto"/>
        <w:tabs>
          <w:tab w:leader="none" w:pos="7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certificate or other authorization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except as set forth or incorporated by reference in the Registration Statement, the Time of Sale Information and the Final Prospectus (exclusive of any amendment or supplement thereto).</w:t>
      </w:r>
    </w:p>
    <w:p>
      <w:pPr>
        <w:spacing w:after="0" w:line="81" w:lineRule="exact"/>
        <w:rPr>
          <w:rFonts w:ascii="Times New Roman" w:cs="Times New Roman" w:eastAsia="Times New Roman" w:hAnsi="Times New Roman"/>
          <w:sz w:val="18"/>
          <w:szCs w:val="18"/>
          <w:color w:val="auto"/>
        </w:rPr>
      </w:pPr>
    </w:p>
    <w:p>
      <w:pPr>
        <w:ind w:right="20" w:firstLine="443"/>
        <w:spacing w:after="0" w:line="255" w:lineRule="auto"/>
        <w:tabs>
          <w:tab w:leader="none" w:pos="7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Material Adverse Effect, each of the Company and its subsidiaries has fulfilled its obligations, if any, under the minimum funding standards of Section 302 of the United States Employee Retirement Income Security Act of 1974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and the regulations and published interpretations thereunder with respect to each “plan” (as defined in Section 3(3) of ERISA and such regulations and published interpretations) in which current or former employees of the Company and all members of its controlled group (within the meaning of Section 303(d)</w:t>
      </w:r>
    </w:p>
    <w:p>
      <w:pPr>
        <w:spacing w:after="0" w:line="2" w:lineRule="exact"/>
        <w:rPr>
          <w:rFonts w:ascii="Times New Roman" w:cs="Times New Roman" w:eastAsia="Times New Roman" w:hAnsi="Times New Roman"/>
          <w:sz w:val="18"/>
          <w:szCs w:val="18"/>
          <w:color w:val="auto"/>
        </w:rPr>
      </w:pPr>
    </w:p>
    <w:p>
      <w:pPr>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(1)(B) of ERISA) are or have been eligible to participate and each such plan is in compliance with the presently applicable provisions of ERISA and such regulations and published interpretations. Except as would not have a Material Adverse Effect, the Company and its subsidiaries have not incurred any unpaid liability to the Pension Benefit Guaranty Corporation (other than for the payment of premiums in the ordinary course) or to any such plan under Title IV of ERISA.</w:t>
      </w:r>
    </w:p>
    <w:p>
      <w:pPr>
        <w:spacing w:after="0" w:line="11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700" w:top="270" w:right="259" w:bottom="1440" w:gutter="0" w:footer="0" w:header="0"/>
        </w:sectPr>
      </w:pPr>
    </w:p>
    <w:bookmarkStart w:id="14" w:name="page15"/>
    <w:bookmarkEnd w:id="14"/>
    <w:p>
      <w:pPr>
        <w:ind w:left="700" w:hanging="257"/>
        <w:spacing w:after="0"/>
        <w:tabs>
          <w:tab w:leader="none" w:pos="7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holders of securities of the Company or Holdings have rights to the registration of such securities under the Registration Statement.</w:t>
      </w:r>
    </w:p>
    <w:p>
      <w:pPr>
        <w:spacing w:after="0" w:line="117" w:lineRule="exact"/>
        <w:rPr>
          <w:rFonts w:ascii="Times New Roman" w:cs="Times New Roman" w:eastAsia="Times New Roman" w:hAnsi="Times New Roman"/>
          <w:sz w:val="18"/>
          <w:szCs w:val="18"/>
          <w:color w:val="auto"/>
        </w:rPr>
      </w:pPr>
    </w:p>
    <w:p>
      <w:pPr>
        <w:ind w:right="160" w:firstLine="443"/>
        <w:spacing w:after="0" w:line="258" w:lineRule="auto"/>
        <w:tabs>
          <w:tab w:leader="none" w:pos="70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executive officer and principal financial officer of the Company have made all certifications required by the Sarbanes-Oxley Act of 2002 and the rules and regulations promulgated in connection therewith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and the statements contained in any such certification are true and correct in all material respects. There is and has been no failure on the part of the Company or, to the knowledge of the Company, on the part of any of the Company’s directors or officers, in their capacities as such, to comply with any provision of the Sarbanes-Oxley Act, including Section 402 related to loans.</w:t>
      </w:r>
    </w:p>
    <w:p>
      <w:pPr>
        <w:spacing w:after="0" w:line="75" w:lineRule="exact"/>
        <w:rPr>
          <w:rFonts w:ascii="Times New Roman" w:cs="Times New Roman" w:eastAsia="Times New Roman" w:hAnsi="Times New Roman"/>
          <w:sz w:val="18"/>
          <w:szCs w:val="18"/>
          <w:color w:val="auto"/>
        </w:rPr>
      </w:pPr>
    </w:p>
    <w:p>
      <w:pPr>
        <w:ind w:left="780" w:hanging="337"/>
        <w:spacing w:after="0"/>
        <w:tabs>
          <w:tab w:leader="none" w:pos="7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(as such term is defined in Rule 13a-15(e) under the Exchange Act), which</w:t>
      </w:r>
    </w:p>
    <w:p>
      <w:pPr>
        <w:spacing w:after="0" w:line="27" w:lineRule="exact"/>
        <w:rPr>
          <w:rFonts w:ascii="Times New Roman" w:cs="Times New Roman" w:eastAsia="Times New Roman" w:hAnsi="Times New Roman"/>
          <w:sz w:val="18"/>
          <w:szCs w:val="18"/>
          <w:color w:val="auto"/>
        </w:rPr>
      </w:pPr>
    </w:p>
    <w:p>
      <w:pPr>
        <w:ind w:right="180" w:firstLine="4"/>
        <w:spacing w:after="0" w:line="265" w:lineRule="auto"/>
        <w:tabs>
          <w:tab w:leader="none" w:pos="2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were designed to ensure, among other things, that material information relating to the Company, including its consolidated subsidiaries, was made known to the principal executive officer and the principal financial officer of the Company by others within those entities, particularly during the periods in which the Company’s Annual Report on Form 10-K for the year ended December 31, 2015 and the Company’s Quarterly Report on Form</w:t>
      </w:r>
    </w:p>
    <w:p>
      <w:pPr>
        <w:ind w:right="4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10-Q for the three months ended March 31, 2016 was being prepared; (ii) have been evaluated for effectiveness as of the end of the periods covered by the Company’s Annual Report on Form 10-K for the year ended December 31, 2015 and the Company’s Quarterly Report on Form 10-Q for the three months ended March 31, 2016 pursuant to Rule 13a-15 of the Exchange Act; and (iii) are effective to ensure that the Company is able to collect, process and disclose the information required to be disclosed in reports filed with the Commission within required time periods.</w:t>
      </w:r>
    </w:p>
    <w:p>
      <w:pPr>
        <w:spacing w:after="0" w:line="77" w:lineRule="exact"/>
        <w:rPr>
          <w:rFonts w:ascii="Times New Roman" w:cs="Times New Roman" w:eastAsia="Times New Roman" w:hAnsi="Times New Roman"/>
          <w:sz w:val="17"/>
          <w:szCs w:val="17"/>
          <w:color w:val="auto"/>
        </w:rPr>
      </w:pPr>
    </w:p>
    <w:p>
      <w:pPr>
        <w:ind w:firstLine="443"/>
        <w:spacing w:after="0" w:line="257" w:lineRule="auto"/>
        <w:tabs>
          <w:tab w:leader="none" w:pos="70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evaluation of its disclosure controls and procedures as of the end of the periods covered by the Company’s Annual Report on Form 10-K for the year ended December 31, 2015 and the Company’s Quarterly Report on Form 10-Q for the three months ended March 31, 2016, and other than as has been disclosed in the Registration Statement, the Time of Sale Information and the Final Prospectus, the Company is not aware of</w:t>
      </w:r>
    </w:p>
    <w:p>
      <w:pPr>
        <w:spacing w:after="0" w:line="1" w:lineRule="exact"/>
        <w:rPr>
          <w:rFonts w:ascii="Times New Roman" w:cs="Times New Roman" w:eastAsia="Times New Roman" w:hAnsi="Times New Roman"/>
          <w:sz w:val="18"/>
          <w:szCs w:val="18"/>
          <w:color w:val="auto"/>
        </w:rPr>
      </w:pPr>
    </w:p>
    <w:p>
      <w:pPr>
        <w:ind w:right="200" w:firstLine="4"/>
        <w:spacing w:after="0" w:line="255" w:lineRule="auto"/>
        <w:tabs>
          <w:tab w:leader="none" w:pos="2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deficiency in the design or operation of internal controls which could adversely affect its ability to record, process, summarize and report financial data or any material weaknesses in internal controls; or (ii) any fraud, whether or not material, that involves management or other employees who have a significant role in the internal controls of the Company.</w:t>
      </w:r>
    </w:p>
    <w:p>
      <w:pPr>
        <w:spacing w:after="0" w:line="78" w:lineRule="exact"/>
        <w:rPr>
          <w:rFonts w:ascii="Times New Roman" w:cs="Times New Roman" w:eastAsia="Times New Roman" w:hAnsi="Times New Roman"/>
          <w:sz w:val="18"/>
          <w:szCs w:val="18"/>
          <w:color w:val="auto"/>
        </w:rPr>
      </w:pPr>
    </w:p>
    <w:p>
      <w:pPr>
        <w:jc w:val="both"/>
        <w:ind w:right="60" w:firstLine="443"/>
        <w:spacing w:after="0" w:line="261" w:lineRule="auto"/>
        <w:tabs>
          <w:tab w:leader="none" w:pos="88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systems of “internal control over financial reporting” (as defined in Rule 12a-15(f)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w:t>
      </w:r>
    </w:p>
    <w:p>
      <w:pPr>
        <w:spacing w:after="0" w:line="11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700" w:top="270" w:right="279" w:bottom="1440" w:gutter="0" w:footer="0" w:header="0"/>
        </w:sectPr>
      </w:pPr>
    </w:p>
    <w:bookmarkStart w:id="15" w:name="page16"/>
    <w:bookmarkEnd w:id="15"/>
    <w:p>
      <w:pPr>
        <w:ind w:right="4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generally accepted accounting principles in the United States. Except as disclosed in the Registration Statement, the Time of Sale Information and the Final Prospectus, there are no material weaknesses in the Company’s internal controls.</w:t>
      </w:r>
    </w:p>
    <w:p>
      <w:pPr>
        <w:spacing w:after="0" w:line="54" w:lineRule="exact"/>
        <w:rPr>
          <w:sz w:val="20"/>
          <w:szCs w:val="20"/>
          <w:color w:val="auto"/>
        </w:rPr>
      </w:pPr>
    </w:p>
    <w:p>
      <w:pPr>
        <w:ind w:right="560" w:firstLine="443"/>
        <w:spacing w:after="0" w:line="282" w:lineRule="auto"/>
        <w:tabs>
          <w:tab w:leader="none" w:pos="7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March 31, 2016, there have been no significant changes in internal controls or in other factors that could significantly affect the Company’s internal controls over financial reporting.</w:t>
      </w:r>
    </w:p>
    <w:p>
      <w:pPr>
        <w:spacing w:after="0" w:line="51" w:lineRule="exact"/>
        <w:rPr>
          <w:rFonts w:ascii="Times New Roman" w:cs="Times New Roman" w:eastAsia="Times New Roman" w:hAnsi="Times New Roman"/>
          <w:sz w:val="18"/>
          <w:szCs w:val="18"/>
          <w:color w:val="auto"/>
        </w:rPr>
      </w:pPr>
    </w:p>
    <w:p>
      <w:pPr>
        <w:ind w:right="480" w:firstLine="443"/>
        <w:spacing w:after="0" w:line="284" w:lineRule="auto"/>
        <w:tabs>
          <w:tab w:leader="none" w:pos="7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Holdings, no subsidiary of the Company has guaranteed any outstanding senior indebtedness of the Company except for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guarantees made in the ordinary course of business.</w:t>
      </w:r>
    </w:p>
    <w:p>
      <w:pPr>
        <w:spacing w:after="0" w:line="52" w:lineRule="exact"/>
        <w:rPr>
          <w:rFonts w:ascii="Times New Roman" w:cs="Times New Roman" w:eastAsia="Times New Roman" w:hAnsi="Times New Roman"/>
          <w:sz w:val="18"/>
          <w:szCs w:val="18"/>
          <w:color w:val="auto"/>
        </w:rPr>
      </w:pPr>
    </w:p>
    <w:p>
      <w:pPr>
        <w:ind w:right="60" w:firstLine="443"/>
        <w:spacing w:after="0" w:line="282" w:lineRule="auto"/>
        <w:tabs>
          <w:tab w:leader="none" w:pos="7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and is a well-known seasoned issuer, in each case as defined under the Act, in each case at the times specified in the Act in connection with the offering of the Securities.</w:t>
      </w:r>
    </w:p>
    <w:p>
      <w:pPr>
        <w:spacing w:after="0" w:line="53" w:lineRule="exact"/>
        <w:rPr>
          <w:rFonts w:ascii="Times New Roman" w:cs="Times New Roman" w:eastAsia="Times New Roman" w:hAnsi="Times New Roman"/>
          <w:sz w:val="18"/>
          <w:szCs w:val="18"/>
          <w:color w:val="auto"/>
        </w:rPr>
      </w:pPr>
    </w:p>
    <w:p>
      <w:pPr>
        <w:ind w:firstLine="443"/>
        <w:spacing w:after="0" w:line="254" w:lineRule="auto"/>
        <w:tabs>
          <w:tab w:leader="none" w:pos="7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or, to the knowledge of the Company, 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its subsidiaries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81" w:lineRule="exact"/>
        <w:rPr>
          <w:rFonts w:ascii="Times New Roman" w:cs="Times New Roman" w:eastAsia="Times New Roman" w:hAnsi="Times New Roman"/>
          <w:sz w:val="18"/>
          <w:szCs w:val="18"/>
          <w:color w:val="auto"/>
        </w:rPr>
      </w:pPr>
    </w:p>
    <w:p>
      <w:pPr>
        <w:ind w:right="60" w:firstLine="443"/>
        <w:spacing w:after="0" w:line="256" w:lineRule="auto"/>
        <w:tabs>
          <w:tab w:leader="none" w:pos="72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or, to the knowledge of the Company, any director, officer, agent, employee or affiliate of the Company or any of its subsidiaries is currently subject to any U.S. sanctions administered by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and the Company will not directly or indirectly use the proceeds of the offering of the Securities hereunder, or lend, contribute or otherwise make available such proceeds to any subsidiary, joint venture partner or other person or entity located, organized or resident in a country or territory that is the subject or the target of sanctions, including, without limitation, Cuba, North Korea, Crimea, Iran, Sudan and Syria, for the purpose of financing the activities of any person currently subject to any U.S. sanctions administered by OFAC.</w:t>
      </w:r>
    </w:p>
    <w:p>
      <w:pPr>
        <w:spacing w:after="0" w:line="79" w:lineRule="exact"/>
        <w:rPr>
          <w:rFonts w:ascii="Times New Roman" w:cs="Times New Roman" w:eastAsia="Times New Roman" w:hAnsi="Times New Roman"/>
          <w:sz w:val="18"/>
          <w:szCs w:val="18"/>
          <w:color w:val="auto"/>
        </w:rPr>
      </w:pPr>
    </w:p>
    <w:p>
      <w:pPr>
        <w:ind w:right="40" w:firstLine="443"/>
        <w:spacing w:after="0" w:line="266" w:lineRule="auto"/>
        <w:tabs>
          <w:tab w:leader="none" w:pos="7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w:t>
      </w:r>
    </w:p>
    <w:p>
      <w:pPr>
        <w:spacing w:after="0" w:line="10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700" w:top="270" w:right="239" w:bottom="1440" w:gutter="0" w:footer="0" w:header="0"/>
        </w:sectPr>
      </w:pPr>
    </w:p>
    <w:bookmarkStart w:id="16" w:name="page17"/>
    <w:bookmarkEnd w:id="16"/>
    <w:p>
      <w:pPr>
        <w:ind w:left="460"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0"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of the Company or Holdings and delivered to the Representatives or counsel for the Underwriters in connection with the offering of the Securities shall be deemed a representation and warranty by the Company or Holdings, as the case may be, as to matters covered thereby, to each Underwriter.</w:t>
      </w:r>
    </w:p>
    <w:p>
      <w:pPr>
        <w:spacing w:after="0" w:line="284" w:lineRule="exact"/>
        <w:rPr>
          <w:sz w:val="20"/>
          <w:szCs w:val="20"/>
          <w:color w:val="auto"/>
        </w:rPr>
      </w:pPr>
    </w:p>
    <w:p>
      <w:pPr>
        <w:ind w:left="640" w:hanging="17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and in reliance upon the representations and warranties herein set forth, the Company agrees to sell to each Underwriter, and each Underwriter agrees, severally and not jointly, to purchase from the Company, at a purchase price of 99.273% of the principal amount of the Notes plus accrued interest, if any, from May 16, 2016 to the Closing Date, the principal amount of the Notes set forth opposite such Underwriter’s name in Schedule II hereto.</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in connection with the offering of Securities hereby,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85" w:lineRule="exact"/>
        <w:rPr>
          <w:sz w:val="20"/>
          <w:szCs w:val="20"/>
          <w:color w:val="auto"/>
        </w:rPr>
      </w:pPr>
    </w:p>
    <w:p>
      <w:pPr>
        <w:ind w:right="80" w:firstLine="464"/>
        <w:spacing w:after="0" w:line="255" w:lineRule="auto"/>
        <w:tabs>
          <w:tab w:leader="none" w:pos="6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and Payment</w:t>
      </w:r>
      <w:r>
        <w:rPr>
          <w:rFonts w:ascii="Times New Roman" w:cs="Times New Roman" w:eastAsia="Times New Roman" w:hAnsi="Times New Roman"/>
          <w:sz w:val="18"/>
          <w:szCs w:val="18"/>
          <w:color w:val="auto"/>
        </w:rPr>
        <w:t>. Delivery of and payment for the Securities shall be made on the date and at the time specified in Schedule I hereto or at such time on such later date not more than three Business Days after the foregoing date as the Representatives shall designate, which date and time may be postponed by agreement between the Representatives and the Company or as provided in Section 10 hereof (such date and time of delivery and payment for the Securities being herein called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Securities shall be made through the facilities of The Depository Trust Company unless the Representatives shall otherwise instruct.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270" w:right="259" w:bottom="1440" w:gutter="0" w:footer="0" w:header="0"/>
        </w:sectPr>
      </w:pPr>
    </w:p>
    <w:bookmarkStart w:id="17" w:name="page18"/>
    <w:bookmarkEnd w:id="17"/>
    <w:p>
      <w:pPr>
        <w:ind w:left="-20" w:right="580" w:firstLine="464"/>
        <w:spacing w:after="0" w:line="282" w:lineRule="auto"/>
        <w:tabs>
          <w:tab w:leader="none" w:pos="6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Offering by Underwriters</w:t>
      </w:r>
      <w:r>
        <w:rPr>
          <w:rFonts w:ascii="Times New Roman" w:cs="Times New Roman" w:eastAsia="Times New Roman" w:hAnsi="Times New Roman"/>
          <w:sz w:val="18"/>
          <w:szCs w:val="18"/>
          <w:color w:val="auto"/>
        </w:rPr>
        <w:t>. It is understood that the several Underwriters propose to offer the Securities for sale to the public as set forth in the Registration Statement, the Time of Sale Information and the Final Prospectus.</w:t>
      </w:r>
    </w:p>
    <w:p>
      <w:pPr>
        <w:spacing w:after="0" w:line="161"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The Company agrees with the several Underwriters that:</w:t>
      </w:r>
    </w:p>
    <w:p>
      <w:pPr>
        <w:spacing w:after="0" w:line="117" w:lineRule="exact"/>
        <w:rPr>
          <w:rFonts w:ascii="Times New Roman" w:cs="Times New Roman" w:eastAsia="Times New Roman" w:hAnsi="Times New Roman"/>
          <w:sz w:val="18"/>
          <w:szCs w:val="18"/>
          <w:color w:val="auto"/>
        </w:rPr>
      </w:pPr>
    </w:p>
    <w:p>
      <w:pPr>
        <w:ind w:left="440" w:right="460" w:firstLine="424"/>
        <w:spacing w:after="0" w:line="254" w:lineRule="auto"/>
        <w:tabs>
          <w:tab w:leader="none" w:pos="110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file the Final Prospectus with the Commission within the time periods specified by Rule 424(b) and Rule 430A, 430B or 430C under the Act; will file any Issuer Free Writing Prospectus (including the term sheet in the form of Schedule I hereto) to the extent required by Rule 433 under the Act; and will file promptly all reports and any definitive proxy or information statements required to be filed by the Company with the Commission pursuant to Section 13(a), 13(c), 14 or 15(d) of the Exchange Act subsequent to the date of the Final Prospectus and for so long as the delivery of a prospectus is required in connection with the offering or sale of the Securities; and the Company will furnish copies of the Final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shall pay the registration fees for this offering within the time period required by Rule 456(b)(1)(i) under the Act (without giving effect to the proviso therein) and in any event prior to the Closing Date.</w:t>
      </w:r>
    </w:p>
    <w:p>
      <w:pPr>
        <w:spacing w:after="0" w:line="81" w:lineRule="exact"/>
        <w:rPr>
          <w:rFonts w:ascii="Times New Roman" w:cs="Times New Roman" w:eastAsia="Times New Roman" w:hAnsi="Times New Roman"/>
          <w:sz w:val="18"/>
          <w:szCs w:val="18"/>
          <w:color w:val="auto"/>
        </w:rPr>
      </w:pPr>
    </w:p>
    <w:p>
      <w:pPr>
        <w:ind w:left="440" w:right="160" w:firstLine="443"/>
        <w:spacing w:after="0" w:line="255" w:lineRule="auto"/>
        <w:tabs>
          <w:tab w:leader="none" w:pos="1133"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making, preparing, using, authorizing, approving, referring to or filing any Issuer Free Writing Prospectus, and before filing any amendment or supplement to the Registration Statement or the Final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Subject to the foregoing sentence, if the filing of the Final Prospectus is otherwise required under Rule 424(b), the Company will cause the Final Prospectus, properly completed, and any supplement thereto to be filed with the Commission pursuant to the applicable paragraph of Rule 424(b) within the time period prescribed and will provide evidence satisfactory to the Representatives of such timely filing.</w:t>
      </w:r>
    </w:p>
    <w:p>
      <w:pPr>
        <w:spacing w:after="0" w:line="81" w:lineRule="exact"/>
        <w:rPr>
          <w:rFonts w:ascii="Times New Roman" w:cs="Times New Roman" w:eastAsia="Times New Roman" w:hAnsi="Times New Roman"/>
          <w:sz w:val="18"/>
          <w:szCs w:val="18"/>
          <w:color w:val="auto"/>
        </w:rPr>
      </w:pPr>
    </w:p>
    <w:p>
      <w:pPr>
        <w:ind w:left="440" w:firstLine="443"/>
        <w:spacing w:after="0" w:line="255" w:lineRule="auto"/>
        <w:tabs>
          <w:tab w:leader="none" w:pos="1123"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promptly advise the Representatives (i) when the Final Prospectus, and any supplement thereto, or any amendment to the Final Prospectus or any Issuer Free Writing Prospectus shall have been filed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to the Registration Statement, or any Rule 462(b) Registration Statement, or for any supplement to the Final Prospectus or for any additional information; (iv) of the issuance by the Commission of any stop order suspending the effectiveness of the Registration Statement or preventing or suspending the use of any Preliminary Prospectus or the Final Prospectus or the institution or threatening of any proceeding for that purpose or pursuant to Section 8A of</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60" w:top="270" w:right="239" w:bottom="1440" w:gutter="0" w:footer="0" w:header="0"/>
        </w:sectPr>
      </w:pPr>
    </w:p>
    <w:bookmarkStart w:id="18" w:name="page19"/>
    <w:bookmarkEnd w:id="18"/>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Act; (v) of the receipt by the Company of any notification with respect to the suspension of the qualification of the Securities for sale in any jurisdiction or the institution or threatening of any proceeding for such purpose; and (vi) of the receipt by the Company of any notice of objection of the Commission to the use of the Registration Statement or any post-effective amendment thereto pursuant to Rule 401(g)(2) under the Act. The Company will use its best efforts to prevent the issuance of any such stop order or the suspension of any such qualification and, if issued, to obtain as soon as possible the withdrawal thereof.</w:t>
      </w:r>
    </w:p>
    <w:p>
      <w:pPr>
        <w:spacing w:after="0" w:line="76" w:lineRule="exact"/>
        <w:rPr>
          <w:sz w:val="20"/>
          <w:szCs w:val="20"/>
          <w:color w:val="auto"/>
        </w:rPr>
      </w:pPr>
    </w:p>
    <w:p>
      <w:pPr>
        <w:ind w:right="180" w:firstLine="443"/>
        <w:spacing w:after="0" w:line="270" w:lineRule="auto"/>
        <w:tabs>
          <w:tab w:leader="none" w:pos="693"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during the Prospectus Delivery Period, (i) any event occurs as a result of which the Final Prospectus as then supplemented would include any untrue statement of a material fact or omit to state any material fact necessary to make the statements therein, in the light of the circumstances under which they were made, not misleading, or (ii) it shall be necessary to amend the Registration Statement or supplement the Final Prospectus to comply with the Act or the Exchange Act or the respective rules thereunder, the Company promptly will (1) notify the Representatives of such event,</w:t>
      </w:r>
    </w:p>
    <w:p>
      <w:pPr>
        <w:spacing w:after="0" w:line="2" w:lineRule="exact"/>
        <w:rPr>
          <w:rFonts w:ascii="Times New Roman" w:cs="Times New Roman" w:eastAsia="Times New Roman" w:hAnsi="Times New Roman"/>
          <w:sz w:val="17"/>
          <w:szCs w:val="17"/>
          <w:color w:val="auto"/>
        </w:rPr>
      </w:pPr>
    </w:p>
    <w:p>
      <w:pPr>
        <w:ind w:right="100" w:firstLine="4"/>
        <w:spacing w:after="0" w:line="255"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Commission, subject to the second sentence of paragraph (b) of this Section 5, an amendment or supplement which will correct such statement or omission or effect such compliance, and (3) supply any supplemented Final Prospectus to the Underwriters in such quantities as they may reasonably request.</w:t>
      </w:r>
    </w:p>
    <w:p>
      <w:pPr>
        <w:spacing w:after="0" w:line="78" w:lineRule="exact"/>
        <w:rPr>
          <w:rFonts w:ascii="Times New Roman" w:cs="Times New Roman" w:eastAsia="Times New Roman" w:hAnsi="Times New Roman"/>
          <w:sz w:val="18"/>
          <w:szCs w:val="18"/>
          <w:color w:val="auto"/>
        </w:rPr>
      </w:pPr>
    </w:p>
    <w:p>
      <w:pPr>
        <w:jc w:val="both"/>
        <w:ind w:firstLine="443"/>
        <w:spacing w:after="0" w:line="270" w:lineRule="auto"/>
        <w:tabs>
          <w:tab w:leader="none" w:pos="683"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prior to the Closing Date (i) any event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 and, subject to paragraph</w:t>
      </w:r>
    </w:p>
    <w:p>
      <w:pPr>
        <w:spacing w:after="0" w:line="2" w:lineRule="exact"/>
        <w:rPr>
          <w:rFonts w:ascii="Times New Roman" w:cs="Times New Roman" w:eastAsia="Times New Roman" w:hAnsi="Times New Roman"/>
          <w:sz w:val="17"/>
          <w:szCs w:val="17"/>
          <w:color w:val="auto"/>
        </w:rPr>
      </w:pPr>
    </w:p>
    <w:p>
      <w:pPr>
        <w:ind w:right="2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of this Section 5, file with the Commission (to the extent required) and furnish to the Underwriters and to such dealers as the Representatives may designate, such amendments or supplements to the Time of Sale Information as may be necessary so that the statements in the Time of Sale Information as so amended or supplemented will not, in the light of the circumstances under which they were made, be misleading or so that the Time of Sale Information will comply with law.</w:t>
      </w:r>
    </w:p>
    <w:p>
      <w:pPr>
        <w:spacing w:after="0" w:line="77" w:lineRule="exact"/>
        <w:rPr>
          <w:rFonts w:ascii="Times New Roman" w:cs="Times New Roman" w:eastAsia="Times New Roman" w:hAnsi="Times New Roman"/>
          <w:sz w:val="17"/>
          <w:szCs w:val="17"/>
          <w:color w:val="auto"/>
        </w:rPr>
      </w:pPr>
    </w:p>
    <w:p>
      <w:pPr>
        <w:ind w:right="120" w:firstLine="443"/>
        <w:spacing w:after="0" w:line="282" w:lineRule="auto"/>
        <w:tabs>
          <w:tab w:leader="none" w:pos="66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the Company will make generally available to its security holders and to the Representatives an earnings statement or statements of the Company and its Subsidiaries which will satisfy the provisions of Section 11(a) of the Act and Rule 158 under the Act.</w:t>
      </w:r>
    </w:p>
    <w:p>
      <w:pPr>
        <w:spacing w:after="0" w:line="53" w:lineRule="exact"/>
        <w:rPr>
          <w:rFonts w:ascii="Times New Roman" w:cs="Times New Roman" w:eastAsia="Times New Roman" w:hAnsi="Times New Roman"/>
          <w:sz w:val="18"/>
          <w:szCs w:val="18"/>
          <w:color w:val="auto"/>
        </w:rPr>
      </w:pPr>
    </w:p>
    <w:p>
      <w:pPr>
        <w:ind w:firstLine="443"/>
        <w:spacing w:after="0" w:line="258" w:lineRule="auto"/>
        <w:tabs>
          <w:tab w:leader="none" w:pos="69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furnish to the Representatives and counsel for the Underwriters, without charge, signed or conformed copies of the Registration Statement (including exhibits thereto and documents incorporated by reference therein) and to each other Underwriter a copy of the Registration Statement (without exhibits thereto) and, during the Prospectus Delivery Period, as many copies of the Final Prospectus, any amendment or supplement thereto and documents incorporated by reference therein, and each Issuer Free Writing Prospectus as the Representatives may reasonably request. The Company will pay the expenses of printing or other production of all documents relating to the offering.</w:t>
      </w:r>
    </w:p>
    <w:p>
      <w:pPr>
        <w:spacing w:after="0" w:line="11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700" w:top="270" w:right="239" w:bottom="1440" w:gutter="0" w:footer="0" w:header="0"/>
        </w:sectPr>
      </w:pPr>
    </w:p>
    <w:bookmarkStart w:id="19" w:name="page20"/>
    <w:bookmarkEnd w:id="19"/>
    <w:p>
      <w:pPr>
        <w:ind w:right="100" w:firstLine="443"/>
        <w:spacing w:after="0" w:line="258" w:lineRule="auto"/>
        <w:tabs>
          <w:tab w:leader="none" w:pos="69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will arrange, if necessary, for the qualification of the Securities for sale under the laws of such jurisdictions as the Representatives may designate, will maintain such qualifications in effect so long as required for the distribution of the Securities and will pay any fee of the Financial Industry Regulatory Authority, in connection with its review of the offering;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the Company be obligated to qualify to do business in any jurisdiction where it is not now so qualified or to take any action that would subject it to tax or service of process in suits, other than those arising out of the offering or sale of the Securities, in any jurisdiction where it is not now so subject.</w:t>
      </w:r>
    </w:p>
    <w:p>
      <w:pPr>
        <w:spacing w:after="0" w:line="75" w:lineRule="exact"/>
        <w:rPr>
          <w:rFonts w:ascii="Times New Roman" w:cs="Times New Roman" w:eastAsia="Times New Roman" w:hAnsi="Times New Roman"/>
          <w:sz w:val="18"/>
          <w:szCs w:val="18"/>
          <w:color w:val="auto"/>
        </w:rPr>
      </w:pPr>
    </w:p>
    <w:p>
      <w:pPr>
        <w:ind w:right="20" w:firstLine="443"/>
        <w:spacing w:after="0" w:line="255" w:lineRule="auto"/>
        <w:tabs>
          <w:tab w:leader="none" w:pos="65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or bank borrowings) issued or guaranteed by the Company (other than the Securities) or publicly announce an intention to effect any such transaction, until June 8, 2016.</w:t>
      </w:r>
    </w:p>
    <w:p>
      <w:pPr>
        <w:spacing w:after="0" w:line="81" w:lineRule="exact"/>
        <w:rPr>
          <w:rFonts w:ascii="Times New Roman" w:cs="Times New Roman" w:eastAsia="Times New Roman" w:hAnsi="Times New Roman"/>
          <w:sz w:val="18"/>
          <w:szCs w:val="18"/>
          <w:color w:val="auto"/>
        </w:rPr>
      </w:pPr>
    </w:p>
    <w:p>
      <w:pPr>
        <w:ind w:right="40" w:firstLine="443"/>
        <w:spacing w:after="0" w:line="266" w:lineRule="auto"/>
        <w:tabs>
          <w:tab w:leader="none" w:pos="65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Holdings will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68" w:lineRule="exact"/>
        <w:rPr>
          <w:rFonts w:ascii="Times New Roman" w:cs="Times New Roman" w:eastAsia="Times New Roman" w:hAnsi="Times New Roman"/>
          <w:sz w:val="18"/>
          <w:szCs w:val="18"/>
          <w:color w:val="auto"/>
        </w:rPr>
      </w:pPr>
    </w:p>
    <w:p>
      <w:pPr>
        <w:ind w:firstLine="443"/>
        <w:spacing w:after="0" w:line="282" w:lineRule="auto"/>
        <w:tabs>
          <w:tab w:leader="none" w:pos="69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pursuant to reasonable procedures developed in good faith, retain copies of each Issuer Free Writing Prospectus that is not filed with the Commission in accordance with Rule 433 under the Act.</w:t>
      </w:r>
    </w:p>
    <w:p>
      <w:pPr>
        <w:spacing w:after="0" w:line="161" w:lineRule="exact"/>
        <w:rPr>
          <w:rFonts w:ascii="Times New Roman" w:cs="Times New Roman" w:eastAsia="Times New Roman" w:hAnsi="Times New Roman"/>
          <w:sz w:val="18"/>
          <w:szCs w:val="18"/>
          <w:color w:val="auto"/>
        </w:rPr>
      </w:pPr>
    </w:p>
    <w:p>
      <w:pPr>
        <w:ind w:left="180" w:hanging="176"/>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117" w:lineRule="exact"/>
        <w:rPr>
          <w:rFonts w:ascii="Times New Roman" w:cs="Times New Roman" w:eastAsia="Times New Roman" w:hAnsi="Times New Roman"/>
          <w:sz w:val="18"/>
          <w:szCs w:val="18"/>
          <w:color w:val="auto"/>
        </w:rPr>
      </w:pPr>
    </w:p>
    <w:p>
      <w:pPr>
        <w:ind w:left="680" w:hanging="237"/>
        <w:spacing w:after="0"/>
        <w:tabs>
          <w:tab w:leader="none" w:pos="6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use, authorize use of, refer to, or participate in the planning for use of, any “free writing prospectus,” as defined in Rule</w:t>
      </w:r>
    </w:p>
    <w:p>
      <w:pPr>
        <w:spacing w:after="0" w:line="27" w:lineRule="exact"/>
        <w:rPr>
          <w:rFonts w:ascii="Times New Roman" w:cs="Times New Roman" w:eastAsia="Times New Roman" w:hAnsi="Times New Roman"/>
          <w:sz w:val="18"/>
          <w:szCs w:val="18"/>
          <w:color w:val="auto"/>
        </w:rPr>
      </w:pPr>
    </w:p>
    <w:p>
      <w:pPr>
        <w:ind w:firstLine="4"/>
        <w:spacing w:after="0" w:line="253" w:lineRule="auto"/>
        <w:tabs>
          <w:tab w:leader="none" w:pos="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1(d) or Section 5(b) above (including any electronic road show), or (iii) any free writing prospectus prepared by</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700" w:top="270" w:right="259" w:bottom="1440" w:gutter="0" w:footer="0" w:header="0"/>
        </w:sectPr>
      </w:pPr>
    </w:p>
    <w:bookmarkStart w:id="20" w:name="page21"/>
    <w:bookmarkEnd w:id="2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Underwriter and approved by the Company in advance in writing (each such free writing prospectus referred to in clauses (i) or (iii), an</w:t>
      </w:r>
    </w:p>
    <w:p>
      <w:pPr>
        <w:spacing w:after="0" w:line="27" w:lineRule="exact"/>
        <w:rPr>
          <w:sz w:val="20"/>
          <w:szCs w:val="20"/>
          <w:color w:val="auto"/>
        </w:rPr>
      </w:pPr>
    </w:p>
    <w:p>
      <w:pPr>
        <w:ind w:left="440" w:right="8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Underwriter Free Writing Prospectus</w:t>
      </w:r>
      <w:r>
        <w:rPr>
          <w:rFonts w:ascii="Times New Roman" w:cs="Times New Roman" w:eastAsia="Times New Roman" w:hAnsi="Times New Roman"/>
          <w:sz w:val="18"/>
          <w:szCs w:val="18"/>
          <w:color w:val="auto"/>
        </w:rPr>
        <w:t>”). Notwithstanding the foregoing, the Underwriters may use a term sheet substantially in the form of Schedule I hereto without the consent of the Company.</w:t>
      </w:r>
    </w:p>
    <w:p>
      <w:pPr>
        <w:spacing w:after="0" w:line="72" w:lineRule="exact"/>
        <w:rPr>
          <w:sz w:val="20"/>
          <w:szCs w:val="20"/>
          <w:color w:val="auto"/>
        </w:rPr>
      </w:pPr>
    </w:p>
    <w:p>
      <w:pPr>
        <w:ind w:left="440" w:right="80" w:firstLine="443"/>
        <w:spacing w:after="0" w:line="282" w:lineRule="auto"/>
        <w:tabs>
          <w:tab w:leader="none" w:pos="113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Act with respect to the offering (and will promptly notify the Company if any such proceeding against it is initiated during the Prospectus Delivery Period).</w:t>
      </w:r>
    </w:p>
    <w:p>
      <w:pPr>
        <w:spacing w:after="0" w:line="161" w:lineRule="exact"/>
        <w:rPr>
          <w:rFonts w:ascii="Times New Roman" w:cs="Times New Roman" w:eastAsia="Times New Roman" w:hAnsi="Times New Roman"/>
          <w:sz w:val="18"/>
          <w:szCs w:val="18"/>
          <w:color w:val="auto"/>
        </w:rPr>
      </w:pPr>
    </w:p>
    <w:p>
      <w:pPr>
        <w:jc w:val="both"/>
        <w:ind w:left="-20" w:right="80" w:firstLine="464"/>
        <w:spacing w:after="0" w:line="261" w:lineRule="auto"/>
        <w:tabs>
          <w:tab w:leader="none" w:pos="6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Obligations of the Underwriters</w:t>
      </w:r>
      <w:r>
        <w:rPr>
          <w:rFonts w:ascii="Times New Roman" w:cs="Times New Roman" w:eastAsia="Times New Roman" w:hAnsi="Times New Roman"/>
          <w:sz w:val="18"/>
          <w:szCs w:val="18"/>
          <w:color w:val="auto"/>
        </w:rPr>
        <w:t>. The obligations of the Underwriters to purchase the Securities shall be subject to the accuracy of the representations and warranties on the part of the Company and Holdings contained herein as of the Time of Sale and the Closing Date, to the accuracy of the statements of the Company and Holdings made in any certificates pursuant to the provisions hereof, to the performance by the Company and Holdings of their obligations hereunder and to the following additional conditions:</w:t>
      </w:r>
    </w:p>
    <w:p>
      <w:pPr>
        <w:spacing w:after="0" w:line="71" w:lineRule="exact"/>
        <w:rPr>
          <w:rFonts w:ascii="Times New Roman" w:cs="Times New Roman" w:eastAsia="Times New Roman" w:hAnsi="Times New Roman"/>
          <w:sz w:val="18"/>
          <w:szCs w:val="18"/>
          <w:color w:val="auto"/>
        </w:rPr>
      </w:pPr>
    </w:p>
    <w:p>
      <w:pPr>
        <w:ind w:left="440" w:firstLine="443"/>
        <w:spacing w:after="0" w:line="256" w:lineRule="auto"/>
        <w:tabs>
          <w:tab w:leader="none" w:pos="112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filing of the Final Prospectus, or any supplement thereto, is required pursuant to Rule 424(b), the Final Prospectus, and any such supplement, will be filed in the manner and within the time period required by Rule 424(b); no stop order suspending the effectiveness of the Registration Statement shall have been issued and no proceedings for that purpose, pursuant to Rule 401(g)(2) and Section 8A under the Act or otherwise, shall have been instituted or threatened; each Issuer Free Writing Prospectus shall have been timely filed with the Commission under the Act to the extent required by Rule 433 thereunder; and all requests by the Commission for additional information shall have been complied with to the reasonable satisfaction of the Representatives.</w:t>
      </w:r>
    </w:p>
    <w:p>
      <w:pPr>
        <w:spacing w:after="0" w:line="79" w:lineRule="exact"/>
        <w:rPr>
          <w:rFonts w:ascii="Times New Roman" w:cs="Times New Roman" w:eastAsia="Times New Roman" w:hAnsi="Times New Roman"/>
          <w:sz w:val="18"/>
          <w:szCs w:val="18"/>
          <w:color w:val="auto"/>
        </w:rPr>
      </w:pPr>
    </w:p>
    <w:p>
      <w:pPr>
        <w:ind w:left="440" w:right="780" w:firstLine="443"/>
        <w:spacing w:after="0" w:line="282" w:lineRule="auto"/>
        <w:tabs>
          <w:tab w:leader="none" w:pos="113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and caused Baker Botts L.L.P., counsel for the Company and Holdings, to have furnished to the Representatives their opinion, dated the Closing Date and addressed to the Representatives, to the effect that:</w:t>
      </w:r>
    </w:p>
    <w:p>
      <w:pPr>
        <w:spacing w:after="0" w:line="53" w:lineRule="exact"/>
        <w:rPr>
          <w:rFonts w:ascii="Times New Roman" w:cs="Times New Roman" w:eastAsia="Times New Roman" w:hAnsi="Times New Roman"/>
          <w:sz w:val="18"/>
          <w:szCs w:val="18"/>
          <w:color w:val="auto"/>
        </w:rPr>
      </w:pPr>
    </w:p>
    <w:p>
      <w:pPr>
        <w:ind w:left="900" w:firstLine="421"/>
        <w:spacing w:after="0" w:line="261" w:lineRule="auto"/>
        <w:tabs>
          <w:tab w:leader="none" w:pos="1535"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Holdings is a corporation duly incorporated and validly existing in good standing under the laws of the State of Delaware, with corporate power and authority under such laws to own, lease and operate its properties and to conduct its business as described in the Registration Statement, the Time of Sale Information and the Final Prospectus and to execute and deliver and perform its obligations under this Agreement;</w:t>
      </w:r>
    </w:p>
    <w:p>
      <w:pPr>
        <w:spacing w:after="0" w:line="71" w:lineRule="exact"/>
        <w:rPr>
          <w:rFonts w:ascii="Times New Roman" w:cs="Times New Roman" w:eastAsia="Times New Roman" w:hAnsi="Times New Roman"/>
          <w:sz w:val="18"/>
          <w:szCs w:val="18"/>
          <w:color w:val="auto"/>
        </w:rPr>
      </w:pPr>
    </w:p>
    <w:p>
      <w:pPr>
        <w:ind w:left="1580" w:hanging="259"/>
        <w:spacing w:after="0"/>
        <w:tabs>
          <w:tab w:leader="none" w:pos="15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 and Holdings;</w:t>
      </w:r>
    </w:p>
    <w:p>
      <w:pPr>
        <w:spacing w:after="0" w:line="117" w:lineRule="exact"/>
        <w:rPr>
          <w:rFonts w:ascii="Times New Roman" w:cs="Times New Roman" w:eastAsia="Times New Roman" w:hAnsi="Times New Roman"/>
          <w:sz w:val="18"/>
          <w:szCs w:val="18"/>
          <w:color w:val="auto"/>
        </w:rPr>
      </w:pPr>
    </w:p>
    <w:p>
      <w:pPr>
        <w:ind w:left="900" w:right="80" w:firstLine="421"/>
        <w:spacing w:after="0" w:line="261" w:lineRule="auto"/>
        <w:tabs>
          <w:tab w:leader="none" w:pos="1635"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authorized, executed and delivered by the Company and (assuming the due authorization, execution and delivery thereof by the Trustee) constitutes a valid and binding agreement of the Company, enforceable against the Company in accordance with its terms, except to the extent the enforceability thereof may be limited by bankruptcy, insolvency, fraudulent transfer, reorganization, moratorium or similar laws relating to or affecting creditors’ rights and remedies generally and by general principles of</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60" w:top="270" w:right="259" w:bottom="1440" w:gutter="0" w:footer="0" w:header="0"/>
        </w:sectPr>
      </w:pPr>
    </w:p>
    <w:bookmarkStart w:id="21" w:name="page22"/>
    <w:bookmarkEnd w:id="2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(regardless of whether enforcement is considered in a proceeding in equity or at law), which principles may include implied duties of good faith and fair dealing;</w:t>
      </w:r>
    </w:p>
    <w:p>
      <w:pPr>
        <w:spacing w:after="0" w:line="54" w:lineRule="exact"/>
        <w:rPr>
          <w:sz w:val="20"/>
          <w:szCs w:val="20"/>
          <w:color w:val="auto"/>
        </w:rPr>
      </w:pPr>
    </w:p>
    <w:p>
      <w:pPr>
        <w:ind w:right="60" w:firstLine="421"/>
        <w:spacing w:after="0" w:line="255" w:lineRule="auto"/>
        <w:tabs>
          <w:tab w:leader="none" w:pos="7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certificate representing the Notes is in a form authorized by the Indenture, the Notes have been duly authorized by the Company and, assuming the global certificate representing the Notes has been authenticated and delivered by the Trustee in the manner provided for in the Indenture and delivered against payment of the consideration therefor as specified in this Agreement, the Notes constitute valid and binding obligations of the Company, enforceable against the Company in accordance with their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Each registered holder thereof is entitled to the benefits of the Indenture;</w:t>
      </w:r>
    </w:p>
    <w:p>
      <w:pPr>
        <w:spacing w:after="0" w:line="77" w:lineRule="exact"/>
        <w:rPr>
          <w:rFonts w:ascii="Times New Roman" w:cs="Times New Roman" w:eastAsia="Times New Roman" w:hAnsi="Times New Roman"/>
          <w:sz w:val="18"/>
          <w:szCs w:val="18"/>
          <w:color w:val="auto"/>
        </w:rPr>
      </w:pPr>
    </w:p>
    <w:p>
      <w:pPr>
        <w:ind w:right="380" w:firstLine="421"/>
        <w:spacing w:after="0" w:line="255" w:lineRule="auto"/>
        <w:tabs>
          <w:tab w:leader="none" w:pos="6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Agreement has been duly authorized, executed and delivered by Holdings and, assuming the global certificate representing the Notes has been authenticated and delivered by the Trustee in the manner provided for in the Indenture and delivered against payment of the consideration therefor as specified in this Agreement, the Guarantee Agreement constitutes a valid and binding agreement of Holdings, enforceable against Holdings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77" w:lineRule="exact"/>
        <w:rPr>
          <w:rFonts w:ascii="Times New Roman" w:cs="Times New Roman" w:eastAsia="Times New Roman" w:hAnsi="Times New Roman"/>
          <w:sz w:val="18"/>
          <w:szCs w:val="18"/>
          <w:color w:val="auto"/>
        </w:rPr>
      </w:pPr>
    </w:p>
    <w:p>
      <w:pPr>
        <w:ind w:left="720" w:hanging="29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qualified under the Trust Indenture Act;</w:t>
      </w:r>
    </w:p>
    <w:p>
      <w:pPr>
        <w:spacing w:after="0" w:line="117" w:lineRule="exact"/>
        <w:rPr>
          <w:rFonts w:ascii="Times New Roman" w:cs="Times New Roman" w:eastAsia="Times New Roman" w:hAnsi="Times New Roman"/>
          <w:sz w:val="18"/>
          <w:szCs w:val="18"/>
          <w:color w:val="auto"/>
        </w:rPr>
      </w:pPr>
    </w:p>
    <w:p>
      <w:pPr>
        <w:ind w:right="660" w:firstLine="421"/>
        <w:spacing w:after="0" w:line="282" w:lineRule="auto"/>
        <w:tabs>
          <w:tab w:leader="none" w:pos="7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and the Indenture conform as to legal matters in all material respects to the descriptions thereof contained in the Registration Statement, the Time of Sale Information and the Final Prospectus;</w:t>
      </w:r>
    </w:p>
    <w:p>
      <w:pPr>
        <w:spacing w:after="0" w:line="53" w:lineRule="exact"/>
        <w:rPr>
          <w:rFonts w:ascii="Times New Roman" w:cs="Times New Roman" w:eastAsia="Times New Roman" w:hAnsi="Times New Roman"/>
          <w:sz w:val="18"/>
          <w:szCs w:val="18"/>
          <w:color w:val="auto"/>
        </w:rPr>
      </w:pPr>
    </w:p>
    <w:p>
      <w:pPr>
        <w:ind w:firstLine="421"/>
        <w:spacing w:after="0" w:line="261" w:lineRule="auto"/>
        <w:tabs>
          <w:tab w:leader="none" w:pos="8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under the Act; any required filing of the Final Prospectus pursuant to Rule 424(b) has been made in the manner and within the time period required by Rule 424(b); and, to the best of such counsel’s knowledge, no stop order suspending the effectiveness of the Registration Statement has been issued and no proceedings for that purpose have been instituted or are pending or threatened under the Act;</w:t>
      </w:r>
    </w:p>
    <w:p>
      <w:pPr>
        <w:spacing w:after="0" w:line="11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00"/>
          </w:cols>
          <w:pgMar w:left="1160" w:top="270" w:right="239" w:bottom="1440" w:gutter="0" w:footer="0" w:header="0"/>
        </w:sectPr>
      </w:pPr>
    </w:p>
    <w:bookmarkStart w:id="22" w:name="page23"/>
    <w:bookmarkEnd w:id="22"/>
    <w:p>
      <w:pPr>
        <w:ind w:left="460" w:right="300" w:firstLine="421"/>
        <w:spacing w:after="0" w:line="266" w:lineRule="auto"/>
        <w:tabs>
          <w:tab w:leader="none" w:pos="11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authorization, approval, consent or license of any regulatory body or authority (other than under the Act, the Trust Indenture Act and the securities or Blue Sky laws of the various states) and no approval of the stockholders of the Company or Holdings is required for the valid authorization, issuance, sale and delivery of the Securities by the Company or Holdings, or for the performance of the Indenture;</w:t>
      </w:r>
    </w:p>
    <w:p>
      <w:pPr>
        <w:spacing w:after="0" w:line="68" w:lineRule="exact"/>
        <w:rPr>
          <w:rFonts w:ascii="Times New Roman" w:cs="Times New Roman" w:eastAsia="Times New Roman" w:hAnsi="Times New Roman"/>
          <w:sz w:val="18"/>
          <w:szCs w:val="18"/>
          <w:color w:val="auto"/>
        </w:rPr>
      </w:pPr>
    </w:p>
    <w:p>
      <w:pPr>
        <w:ind w:left="460" w:right="40" w:firstLine="421"/>
        <w:spacing w:after="0" w:line="274" w:lineRule="auto"/>
        <w:tabs>
          <w:tab w:leader="none" w:pos="113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of this Agreement, the consummation of the transactions contemplated by this Agreement and compliance with the terms of this Agreement and the Indenture do not and will not conflict with or result in a breach of any of the terms or provisions of, or constitute a default under, the charter or by-laws of the Company or Holdings, or any indenture, mortgage or other agreement or instrument to which the Company or its subsidiaries is a party or by which they or any of their property is bound that is filed as an exhibit to the Registration Statement or to any of the documents incorporated by reference in the Registration Statement, the Time of Sale Information and the Final Prospectus, or any existing applicable laws, rule or regulation (excluding any state securities or state or federal anti-fraud law, rule or regulation);</w:t>
      </w:r>
    </w:p>
    <w:p>
      <w:pPr>
        <w:spacing w:after="0" w:line="65" w:lineRule="exact"/>
        <w:rPr>
          <w:rFonts w:ascii="Times New Roman" w:cs="Times New Roman" w:eastAsia="Times New Roman" w:hAnsi="Times New Roman"/>
          <w:sz w:val="17"/>
          <w:szCs w:val="17"/>
          <w:color w:val="auto"/>
        </w:rPr>
      </w:pPr>
    </w:p>
    <w:p>
      <w:pPr>
        <w:ind w:left="460" w:right="220" w:firstLine="421"/>
        <w:spacing w:after="0" w:line="261" w:lineRule="auto"/>
        <w:tabs>
          <w:tab w:leader="none" w:pos="11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in the Preliminary Prospectus and the Final Prospectus under the heading “Certain U.S. Federal Tax Considerations for Non-U.S. Holders,” insofar as such statements purport to constitute a summary of United States federal income tax law and regulations or legal conclusions with respect thereto, accurately summarize the matters described therein in all material respects, subject to the assumptions and qualifications set forth therein; and</w:t>
      </w:r>
    </w:p>
    <w:p>
      <w:pPr>
        <w:spacing w:after="0" w:line="71" w:lineRule="exact"/>
        <w:rPr>
          <w:rFonts w:ascii="Times New Roman" w:cs="Times New Roman" w:eastAsia="Times New Roman" w:hAnsi="Times New Roman"/>
          <w:sz w:val="18"/>
          <w:szCs w:val="18"/>
          <w:color w:val="auto"/>
        </w:rPr>
      </w:pPr>
    </w:p>
    <w:p>
      <w:pPr>
        <w:ind w:left="460" w:right="160" w:firstLine="421"/>
        <w:spacing w:after="0" w:line="282" w:lineRule="auto"/>
        <w:tabs>
          <w:tab w:leader="none" w:pos="12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Holdings is an “investment company” or an entity “controlled” by an “investment company,” as such terms are defined in the 1940 Act.</w:t>
      </w:r>
    </w:p>
    <w:p>
      <w:pPr>
        <w:spacing w:after="0" w:line="54" w:lineRule="exact"/>
        <w:rPr>
          <w:sz w:val="20"/>
          <w:szCs w:val="20"/>
          <w:color w:val="auto"/>
        </w:rPr>
      </w:pPr>
    </w:p>
    <w:p>
      <w:pPr>
        <w:ind w:firstLine="438"/>
        <w:spacing w:after="0" w:line="267" w:lineRule="auto"/>
        <w:rPr>
          <w:sz w:val="20"/>
          <w:szCs w:val="20"/>
          <w:color w:val="auto"/>
        </w:rPr>
      </w:pPr>
      <w:r>
        <w:rPr>
          <w:rFonts w:ascii="Times New Roman" w:cs="Times New Roman" w:eastAsia="Times New Roman" w:hAnsi="Times New Roman"/>
          <w:sz w:val="17"/>
          <w:szCs w:val="17"/>
          <w:color w:val="auto"/>
        </w:rPr>
        <w:t>In addition, such counsel shall state that they have reviewed the Registration Statement, the Time of Sale Information and the Final Prospectus and have participated in conferences with officers and other representatives of the Company, with representatives of the Company’s independent registered public accounting firm and with the Underwriters and counsel to the Underwriters, at which the contents of the Registration Statement, the Time of Sale Information, the Final Prospectus and related matters were discussed, and although the purpose of such counsel’s professional engagement was not to establish or confirm factual matters set forth in the Registration Statement, the Time of Sale Information or the Final Prospectus, and such counsel has not undertaken to verify independently any of the factual matters in such documents, and although many of the determinations required to be made in the preparation of the Registration Statement, the Time of Sale Information and the Final Prospectus involve matters of a non-legal nature and, accordingly, such counsel is not passing upon, and does not assume any responsibility for, the accuracy, completeness or fairness of the statements contained or included in the Registration Statement, the Time of Sale Information and the Final Prospectus (except to the extent stated in paragraphs</w:t>
      </w:r>
    </w:p>
    <w:p>
      <w:pPr>
        <w:spacing w:after="0" w:line="6" w:lineRule="exact"/>
        <w:rPr>
          <w:sz w:val="20"/>
          <w:szCs w:val="20"/>
          <w:color w:val="auto"/>
        </w:rPr>
      </w:pPr>
    </w:p>
    <w:p>
      <w:pPr>
        <w:ind w:left="5160" w:right="4180" w:hanging="5156"/>
        <w:spacing w:after="0" w:line="433" w:lineRule="auto"/>
        <w:tabs>
          <w:tab w:leader="none" w:pos="3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(xi) above), subject to the foregoing and on the basis of the information such counsel 19</w:t>
      </w:r>
    </w:p>
    <w:p>
      <w:pPr>
        <w:sectPr>
          <w:pgSz w:w="11900" w:h="16838" w:orient="portrait"/>
          <w:cols w:equalWidth="0" w:num="1">
            <w:col w:w="10960"/>
          </w:cols>
          <w:pgMar w:left="700" w:top="270" w:right="239" w:bottom="1440" w:gutter="0" w:footer="0" w:header="0"/>
        </w:sectPr>
      </w:pPr>
    </w:p>
    <w:bookmarkStart w:id="23" w:name="page24"/>
    <w:bookmarkEnd w:id="23"/>
    <w:p>
      <w:pPr>
        <w:ind w:right="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gained in the course of performing the services referred to above, such counsel shall advise that (a) the Registration Statement, as of the latest Effective Date, the Time of Sale Information, as of the Time of Sale, and the Final Prospectus, as of its date and the date hereof, appear on their face to be appropriately responsive in all material respects to the requirements of the Act and the rules and regulations of the Commission thereunder; and</w:t>
      </w:r>
    </w:p>
    <w:p>
      <w:pPr>
        <w:spacing w:after="0" w:line="2" w:lineRule="exact"/>
        <w:rPr>
          <w:sz w:val="20"/>
          <w:szCs w:val="20"/>
          <w:color w:val="auto"/>
        </w:rPr>
      </w:pPr>
    </w:p>
    <w:p>
      <w:pPr>
        <w:ind w:firstLine="4"/>
        <w:spacing w:after="0" w:line="251"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has come to such counsel’s attention that caused such counsel to believe that (1) the Registration Statement, as of the latest Effective Date, contained an untrue statement of a material fact or omitted to state a material fact required to be stated therein or necessary to make the statements therein not misleading; (2) the Time of Sale Information, as of the Time of Sale, included an untrue statement of a material fact or omitted to state a material fact necessary in order to make the statements therein, in the light of the circumstances under which they were made, not misleading; or (3) the Final Prospectus, as of its date or as of the Closing Date, included or includes an untrue statement of a material fact or omitted or omits to state a material fact necessary in order to make the statements therein, in the light of the circumstances under which they were made, not misleading; provided that in each case such counsel need not express any belief with respect to (x) the financial statements and schedules or other financial or accounting information contained or included or incorporated by reference therein or omitted therefrom, (y) representations and warranties and other statements of fact contained in the exhibits to the Registration Statement or to documents incorporated by reference therein or (z) that part of the Registration Statement that constitutes the Trustee’s Statement of Eligibility on Form T-1.</w:t>
      </w:r>
    </w:p>
    <w:p>
      <w:pPr>
        <w:spacing w:after="0" w:line="86" w:lineRule="exact"/>
        <w:rPr>
          <w:sz w:val="20"/>
          <w:szCs w:val="20"/>
          <w:color w:val="auto"/>
        </w:rPr>
      </w:pPr>
    </w:p>
    <w:p>
      <w:pPr>
        <w:ind w:firstLine="438"/>
        <w:spacing w:after="0" w:line="261" w:lineRule="auto"/>
        <w:rPr>
          <w:sz w:val="20"/>
          <w:szCs w:val="20"/>
          <w:color w:val="auto"/>
        </w:rPr>
      </w:pPr>
      <w:r>
        <w:rPr>
          <w:rFonts w:ascii="Times New Roman" w:cs="Times New Roman" w:eastAsia="Times New Roman" w:hAnsi="Times New Roman"/>
          <w:sz w:val="18"/>
          <w:szCs w:val="18"/>
          <w:color w:val="auto"/>
        </w:rPr>
        <w:t>In rendering such opinions, such counsel may (A) state that the opinions are based on and limited to the contract law of the State of New York, the laws of the State of Texas, the General Corporation Law of Delaware and the Federal laws of the United States, and (B) rely, as to matters of fact, to the extent they deem proper, on certificates of responsible officers of the Company and public officials. References to the Final Prospectus in this paragraph (b) include any supplements thereto at the Closing Date.</w:t>
      </w:r>
    </w:p>
    <w:p>
      <w:pPr>
        <w:spacing w:after="0" w:line="72" w:lineRule="exact"/>
        <w:rPr>
          <w:sz w:val="20"/>
          <w:szCs w:val="20"/>
          <w:color w:val="auto"/>
        </w:rPr>
      </w:pPr>
    </w:p>
    <w:p>
      <w:pPr>
        <w:ind w:right="200" w:firstLine="443"/>
        <w:spacing w:after="0" w:line="282" w:lineRule="auto"/>
        <w:tabs>
          <w:tab w:leader="none" w:pos="68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Courtney A. Tippy, Assistant General Counsel – Securities &amp; Governance, Corporate Secretary of the Company, shall have furnished to the Representatives her opinion, dated the Closing Date and addressed to the Representatives, to the effect that:</w:t>
      </w:r>
    </w:p>
    <w:p>
      <w:pPr>
        <w:spacing w:after="0" w:line="53" w:lineRule="exact"/>
        <w:rPr>
          <w:rFonts w:ascii="Times New Roman" w:cs="Times New Roman" w:eastAsia="Times New Roman" w:hAnsi="Times New Roman"/>
          <w:sz w:val="18"/>
          <w:szCs w:val="18"/>
          <w:color w:val="auto"/>
        </w:rPr>
      </w:pPr>
    </w:p>
    <w:p>
      <w:pPr>
        <w:ind w:left="460" w:firstLine="421"/>
        <w:spacing w:after="0" w:line="255" w:lineRule="auto"/>
        <w:tabs>
          <w:tab w:leader="none" w:pos="109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corporate Subsidiaries organized under United States law is a corporation duly incorporated and validly existing in good standing under the laws of the jurisdiction of its incorporation, has corporate power and authority to own, lease and operate its properties and to conduct its business as described in the Registration Statement, the Time of Sale Information and the Final Prospectus, except as would not have a Material Adverse Effect; except as otherwise disclosed in the Registration Statement, the Time of Sale Information and the Final Prospectus, all of the issued and outstanding capital stock of each of the Subsidiaries is validly issued, fully paid and nonassessable and, to the best of such counsel’s knowledge, all of such shares of stock owned by the Company are owned free and clear of any security interest, mortgage, pledge, lien, encumbrance, claim or equity; none of the outstanding shares of capital stock of the Subsidiaries were issued in violation of the preemptive or similar rights of any security holder thereof;</w:t>
      </w:r>
    </w:p>
    <w:p>
      <w:pPr>
        <w:spacing w:after="0" w:line="11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700" w:top="270" w:right="259" w:bottom="1440" w:gutter="0" w:footer="0" w:header="0"/>
        </w:sectPr>
      </w:pPr>
    </w:p>
    <w:bookmarkStart w:id="24" w:name="page25"/>
    <w:bookmarkEnd w:id="24"/>
    <w:p>
      <w:pPr>
        <w:ind w:left="-280" w:firstLine="421"/>
        <w:spacing w:after="0" w:line="258" w:lineRule="auto"/>
        <w:tabs>
          <w:tab w:leader="none" w:pos="4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documents incorporated by reference in the Registration Statement, the Time of Sale Information and the Final Prospectus (other than the financial statements, related schedules and other financial data included therein or omitted therefrom, as to which such counsel need express no opinion, and except to the extent that any statement therein is modified or superseded in the Time of Sale Information and the Final Prospectus), as of the dates they became effective or were filed with the Commission, as the case may be, appear on their face to be appropriately responsive in all material respects to the requirements of the Exchange Act and the rules and regulations promulgated thereunder;</w:t>
      </w:r>
    </w:p>
    <w:p>
      <w:pPr>
        <w:spacing w:after="0" w:line="75" w:lineRule="exact"/>
        <w:rPr>
          <w:rFonts w:ascii="Times New Roman" w:cs="Times New Roman" w:eastAsia="Times New Roman" w:hAnsi="Times New Roman"/>
          <w:sz w:val="18"/>
          <w:szCs w:val="18"/>
          <w:color w:val="auto"/>
        </w:rPr>
      </w:pPr>
    </w:p>
    <w:p>
      <w:pPr>
        <w:jc w:val="both"/>
        <w:ind w:left="-280" w:right="120" w:firstLine="421"/>
        <w:spacing w:after="0" w:line="261" w:lineRule="auto"/>
        <w:tabs>
          <w:tab w:leader="none" w:pos="4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Registration Statement, the Time of Sale Information and the Final Prospectus (or incorporated by reference therein), such counsel does not know of any action, suit, proceeding, inquiry or investigation pending or threatened against the Company or any of its subsidiaries, or to which the property of the Company or any of its subsidiaries is subject, before or brought by any court or governmental agency or body, domestic or foreign, in which there is a reasonable probability of a Material Adverse Effect;</w:t>
      </w:r>
    </w:p>
    <w:p>
      <w:pPr>
        <w:spacing w:after="0" w:line="71" w:lineRule="exact"/>
        <w:rPr>
          <w:rFonts w:ascii="Times New Roman" w:cs="Times New Roman" w:eastAsia="Times New Roman" w:hAnsi="Times New Roman"/>
          <w:sz w:val="18"/>
          <w:szCs w:val="18"/>
          <w:color w:val="auto"/>
        </w:rPr>
      </w:pPr>
    </w:p>
    <w:p>
      <w:pPr>
        <w:ind w:left="-280" w:right="20" w:firstLine="421"/>
        <w:spacing w:after="0" w:line="281" w:lineRule="auto"/>
        <w:tabs>
          <w:tab w:leader="none" w:pos="44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counsel does not know of any statutes or regulations or any pending or threatened legal or governmental proceedings required to be described in the Registration Statement, the Time of Sale Information and the Final Prospectus which are not described as required, nor of any material contracts or documents of a character required to be described in the Registration Statement, the Time of Sale Information or the Final Prospectus or to be filed or incorporated as exhibits to the Registration Statement which are not described and filed or incorporated as required;</w:t>
      </w:r>
    </w:p>
    <w:p>
      <w:pPr>
        <w:spacing w:after="0" w:line="56" w:lineRule="exact"/>
        <w:rPr>
          <w:rFonts w:ascii="Times New Roman" w:cs="Times New Roman" w:eastAsia="Times New Roman" w:hAnsi="Times New Roman"/>
          <w:sz w:val="17"/>
          <w:szCs w:val="17"/>
          <w:color w:val="auto"/>
        </w:rPr>
      </w:pPr>
    </w:p>
    <w:p>
      <w:pPr>
        <w:ind w:left="-280" w:right="640" w:firstLine="421"/>
        <w:spacing w:after="0" w:line="282" w:lineRule="auto"/>
        <w:tabs>
          <w:tab w:leader="none" w:pos="3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counsel does not know of any holders of securities of the Company or Holdings that have rights to the registration of such securities under the Registration Statement; and</w:t>
      </w:r>
    </w:p>
    <w:p>
      <w:pPr>
        <w:spacing w:after="0" w:line="53" w:lineRule="exact"/>
        <w:rPr>
          <w:rFonts w:ascii="Times New Roman" w:cs="Times New Roman" w:eastAsia="Times New Roman" w:hAnsi="Times New Roman"/>
          <w:sz w:val="18"/>
          <w:szCs w:val="18"/>
          <w:color w:val="auto"/>
        </w:rPr>
      </w:pPr>
    </w:p>
    <w:p>
      <w:pPr>
        <w:ind w:left="-280" w:right="20" w:firstLine="421"/>
        <w:spacing w:after="0" w:line="255" w:lineRule="auto"/>
        <w:tabs>
          <w:tab w:leader="none" w:pos="4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the Notes, the Guarantee Agreement and the execution and performance of the Indenture (the “</w:t>
      </w:r>
      <w:r>
        <w:rPr>
          <w:rFonts w:ascii="Times New Roman" w:cs="Times New Roman" w:eastAsia="Times New Roman" w:hAnsi="Times New Roman"/>
          <w:sz w:val="18"/>
          <w:szCs w:val="18"/>
          <w:u w:val="single" w:color="auto"/>
          <w:color w:val="auto"/>
        </w:rPr>
        <w:t>Operative Agreements</w:t>
      </w:r>
      <w:r>
        <w:rPr>
          <w:rFonts w:ascii="Times New Roman" w:cs="Times New Roman" w:eastAsia="Times New Roman" w:hAnsi="Times New Roman"/>
          <w:sz w:val="18"/>
          <w:szCs w:val="18"/>
          <w:color w:val="auto"/>
        </w:rPr>
        <w:t>”), the consummation of the transactions contemplated in the Operative Agreements and compliance with the terms of the Operative Agreement do not and will not conflict with or result in a breach of any of the terms or provisions of, or constitute a default under, the charter or by-laws of the Company or any of its Subsidiaries, or, to the knowledge of such counsel, any indenture, mortgage or other agreement or instrument to which the Company or its Subsidiaries is a party or by which they or any of their property is bound, or any existing applicable laws, rule, regulation (excluding any state securities or state or federal anti-fraud law, rule or regulation), or, to the knowledge of such counsel, any judgment, order or decree of any government, governmental instrumentality or court, domestic or foreign, having jurisdiction over the Company or its Subsidiaries or any of their properties, that in any case would have a Material Adverse Effect.</w:t>
      </w:r>
    </w:p>
    <w:p>
      <w:pPr>
        <w:spacing w:after="0" w:line="11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200"/>
          </w:cols>
          <w:pgMar w:left="1440" w:top="270" w:right="259" w:bottom="1440" w:gutter="0" w:footer="0" w:header="0"/>
        </w:sectPr>
      </w:pPr>
    </w:p>
    <w:bookmarkStart w:id="25" w:name="page26"/>
    <w:bookmarkEnd w:id="25"/>
    <w:p>
      <w:pPr>
        <w:ind w:right="40" w:firstLine="443"/>
        <w:spacing w:after="0" w:line="258" w:lineRule="auto"/>
        <w:tabs>
          <w:tab w:leader="none" w:pos="6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Representatives shall have received from Vinson &amp; Elkins L.L.P., counsel for the Underwriters, such opinion or opinions, dated the Closing Date and addressed to the Representatives, with respect to the issuance and sale of the Securities, the Indenture, the Registration Statement, the Time of Sale Information and the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75" w:lineRule="exact"/>
        <w:rPr>
          <w:rFonts w:ascii="Times New Roman" w:cs="Times New Roman" w:eastAsia="Times New Roman" w:hAnsi="Times New Roman"/>
          <w:sz w:val="18"/>
          <w:szCs w:val="18"/>
          <w:color w:val="auto"/>
        </w:rPr>
      </w:pPr>
    </w:p>
    <w:p>
      <w:pPr>
        <w:ind w:right="80" w:firstLine="443"/>
        <w:spacing w:after="0" w:line="261" w:lineRule="auto"/>
        <w:tabs>
          <w:tab w:leader="none" w:pos="68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Holdings shall have furnished to the Representatives a certificate, signed by the principal legal officer and the vice president and treasurer of the Company in the case of the Company, and signed by the vice president and treasurer of Holdings in the case of Holdings, dated the Closing Date, to the effect that the signers of such certificate have carefully examined the Registration Statement, the Time of Sale Information and the Final Prospectus, any supplements to the Time of Sale Information and the Final Prospectus, and this Agreement and that:</w:t>
      </w:r>
    </w:p>
    <w:p>
      <w:pPr>
        <w:spacing w:after="0" w:line="71" w:lineRule="exact"/>
        <w:rPr>
          <w:rFonts w:ascii="Times New Roman" w:cs="Times New Roman" w:eastAsia="Times New Roman" w:hAnsi="Times New Roman"/>
          <w:sz w:val="18"/>
          <w:szCs w:val="18"/>
          <w:color w:val="auto"/>
        </w:rPr>
      </w:pPr>
    </w:p>
    <w:p>
      <w:pPr>
        <w:ind w:left="460" w:right="200" w:firstLine="421"/>
        <w:spacing w:after="0" w:line="282" w:lineRule="auto"/>
        <w:tabs>
          <w:tab w:leader="none" w:pos="10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Holdings, the representations and warranties of Holdings in this Agreement are true and correct on and as of the Closing Date with the same effect as if made on the Closing Date;</w:t>
      </w:r>
    </w:p>
    <w:p>
      <w:pPr>
        <w:spacing w:after="0" w:line="53" w:lineRule="exact"/>
        <w:rPr>
          <w:rFonts w:ascii="Times New Roman" w:cs="Times New Roman" w:eastAsia="Times New Roman" w:hAnsi="Times New Roman"/>
          <w:sz w:val="18"/>
          <w:szCs w:val="18"/>
          <w:color w:val="auto"/>
        </w:rPr>
      </w:pPr>
    </w:p>
    <w:p>
      <w:pPr>
        <w:ind w:left="460" w:right="160" w:firstLine="421"/>
        <w:spacing w:after="0" w:line="266" w:lineRule="auto"/>
        <w:tabs>
          <w:tab w:leader="none" w:pos="114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68" w:lineRule="exact"/>
        <w:rPr>
          <w:rFonts w:ascii="Times New Roman" w:cs="Times New Roman" w:eastAsia="Times New Roman" w:hAnsi="Times New Roman"/>
          <w:sz w:val="18"/>
          <w:szCs w:val="18"/>
          <w:color w:val="auto"/>
        </w:rPr>
      </w:pPr>
    </w:p>
    <w:p>
      <w:pPr>
        <w:ind w:left="460" w:firstLine="421"/>
        <w:spacing w:after="0" w:line="282" w:lineRule="auto"/>
        <w:tabs>
          <w:tab w:leader="none" w:pos="11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has been issued and no proceedings for that purpose have been instituted or, to the Company’s knowledge, threatened; and</w:t>
      </w:r>
    </w:p>
    <w:p>
      <w:pPr>
        <w:spacing w:after="0" w:line="53" w:lineRule="exact"/>
        <w:rPr>
          <w:rFonts w:ascii="Times New Roman" w:cs="Times New Roman" w:eastAsia="Times New Roman" w:hAnsi="Times New Roman"/>
          <w:sz w:val="18"/>
          <w:szCs w:val="18"/>
          <w:color w:val="auto"/>
        </w:rPr>
      </w:pPr>
    </w:p>
    <w:p>
      <w:pPr>
        <w:ind w:left="460" w:right="300" w:firstLine="421"/>
        <w:spacing w:after="0" w:line="258" w:lineRule="auto"/>
        <w:tabs>
          <w:tab w:leader="none" w:pos="118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financial statements included or incorporated by reference in the Time of Sale Information and the Final Prospectus (exclusive of any amendment or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w:t>
      </w:r>
    </w:p>
    <w:p>
      <w:pPr>
        <w:spacing w:after="0" w:line="75" w:lineRule="exact"/>
        <w:rPr>
          <w:rFonts w:ascii="Times New Roman" w:cs="Times New Roman" w:eastAsia="Times New Roman" w:hAnsi="Times New Roman"/>
          <w:sz w:val="18"/>
          <w:szCs w:val="18"/>
          <w:color w:val="auto"/>
        </w:rPr>
      </w:pPr>
    </w:p>
    <w:p>
      <w:pPr>
        <w:ind w:right="180" w:firstLine="443"/>
        <w:spacing w:after="0" w:line="266" w:lineRule="auto"/>
        <w:tabs>
          <w:tab w:leader="none" w:pos="6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and caused Ernst &amp; Young LLP to have furnished to the Representatives, at the Time of Sale and at the Closing Date, letters (which may refer to letters previously delivered to one or more of the Representatives), dated respectively as of the Time of Sale and as of the Closing Date, in form and</w:t>
      </w:r>
    </w:p>
    <w:p>
      <w:pPr>
        <w:spacing w:after="0" w:line="10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700" w:top="270" w:right="239" w:bottom="1440" w:gutter="0" w:footer="0" w:header="0"/>
        </w:sectPr>
      </w:pPr>
    </w:p>
    <w:bookmarkStart w:id="26" w:name="page27"/>
    <w:bookmarkEnd w:id="26"/>
    <w:p>
      <w:pPr>
        <w:ind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substance satisfactory to the Representatives, confirming that they are independent accountants within the meaning of the Act and the Exchange Act and the respective applicable rules and regulations adopted by the Commission thereunder, and stating in effect, among other things, that:</w:t>
      </w:r>
    </w:p>
    <w:p>
      <w:pPr>
        <w:spacing w:after="0" w:line="54" w:lineRule="exact"/>
        <w:rPr>
          <w:sz w:val="20"/>
          <w:szCs w:val="20"/>
          <w:color w:val="auto"/>
        </w:rPr>
      </w:pPr>
    </w:p>
    <w:p>
      <w:pPr>
        <w:ind w:left="460" w:firstLine="421"/>
        <w:spacing w:after="0" w:line="266" w:lineRule="auto"/>
        <w:tabs>
          <w:tab w:leader="none" w:pos="109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their opinion the audited financial statements and financial statement schedule included or incorporated by reference in the Registration Statement, the Time of Sale Information and the Final Prospectus and reported on by them comply as to form in all material respects with the applicable accounting requirements of the Act and the Exchange Act and the related rules and regulations adopted by the Commission;</w:t>
      </w:r>
    </w:p>
    <w:p>
      <w:pPr>
        <w:spacing w:after="0" w:line="68" w:lineRule="exact"/>
        <w:rPr>
          <w:rFonts w:ascii="Times New Roman" w:cs="Times New Roman" w:eastAsia="Times New Roman" w:hAnsi="Times New Roman"/>
          <w:sz w:val="18"/>
          <w:szCs w:val="18"/>
          <w:color w:val="auto"/>
        </w:rPr>
      </w:pPr>
    </w:p>
    <w:p>
      <w:pPr>
        <w:ind w:left="460" w:right="60" w:firstLine="421"/>
        <w:spacing w:after="0" w:line="266" w:lineRule="auto"/>
        <w:tabs>
          <w:tab w:leader="none" w:pos="114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included or incorporated by reference in the Registration Statement, the Time of Sale Information and Final Prospectus in response to Regulation S-K, Item 301 (Selected Financial Data) and Item 503(d) (Ratio of Earnings to Fixed Charges) is in conformity with the applicable disclosure requirements of Regulation S-K;</w:t>
      </w:r>
    </w:p>
    <w:p>
      <w:pPr>
        <w:spacing w:after="0" w:line="68" w:lineRule="exact"/>
        <w:rPr>
          <w:rFonts w:ascii="Times New Roman" w:cs="Times New Roman" w:eastAsia="Times New Roman" w:hAnsi="Times New Roman"/>
          <w:sz w:val="18"/>
          <w:szCs w:val="18"/>
          <w:color w:val="auto"/>
        </w:rPr>
      </w:pPr>
    </w:p>
    <w:p>
      <w:pPr>
        <w:ind w:left="460" w:firstLine="421"/>
        <w:spacing w:after="0" w:line="255" w:lineRule="auto"/>
        <w:tabs>
          <w:tab w:leader="none" w:pos="119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and its consolidated subsidiaries) set forth in the Registration Statement, the Time of Sale Information and the Final Prospectus and in Exhibit 12 to the Registration Statement, the information included or incorporated by reference in the Company’s Annual Report on Form 10-K for the year ended December 31, 2015, and the Company’s Quarterly Report on Form 10-Q for the three months ended March 31, 2016, incorporated by reference in the Registration Statement, the Time of Sale Information and the Final Prospectus, and the information included in the “Management’s Discussion and Analysis of Financial Condition and Results of Operations” agrees with the accounting records of the Company and its consolidated subsidiaries, excluding any questions of legal interpretation; and</w:t>
      </w:r>
    </w:p>
    <w:p>
      <w:pPr>
        <w:spacing w:after="0" w:line="77" w:lineRule="exact"/>
        <w:rPr>
          <w:rFonts w:ascii="Times New Roman" w:cs="Times New Roman" w:eastAsia="Times New Roman" w:hAnsi="Times New Roman"/>
          <w:sz w:val="18"/>
          <w:szCs w:val="18"/>
          <w:color w:val="auto"/>
        </w:rPr>
      </w:pPr>
    </w:p>
    <w:p>
      <w:pPr>
        <w:ind w:left="1180" w:hanging="299"/>
        <w:spacing w:after="0"/>
        <w:tabs>
          <w:tab w:leader="none" w:pos="11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have inquired of certain officials of the Company who have responsibility for financial and accounting matters as to whether:</w:t>
      </w:r>
    </w:p>
    <w:p>
      <w:pPr>
        <w:spacing w:after="0" w:line="27" w:lineRule="exact"/>
        <w:rPr>
          <w:rFonts w:ascii="Times New Roman" w:cs="Times New Roman" w:eastAsia="Times New Roman" w:hAnsi="Times New Roman"/>
          <w:sz w:val="18"/>
          <w:szCs w:val="18"/>
          <w:color w:val="auto"/>
        </w:rPr>
      </w:pPr>
    </w:p>
    <w:p>
      <w:pPr>
        <w:ind w:left="460" w:right="300" w:firstLine="1"/>
        <w:spacing w:after="0" w:line="253" w:lineRule="auto"/>
        <w:tabs>
          <w:tab w:leader="none" w:pos="7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May 5, 2016 there was any change in the capital stock, increase in long-term indebtedness or any decreases in consolidated net current assets or in total equity of the Company as compared with the amounts shown on the March 31, 2016 unaudited consolidated balance sheet incorporated by reference in the Registration Statement; or (B) for the period from April 1, 2016 to May 5, 2016 there were any decreases, as compared with the corresponding period in the preceding year, in consolidated operating revenues or in the total or per-share amounts of net consolidated income attributable to the Company.</w:t>
      </w:r>
    </w:p>
    <w:p>
      <w:pPr>
        <w:spacing w:after="0" w:line="7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References to the Final Prospectus in this paragraph (f) of this Section 7 include any supplement thereto at the date of the letter. The letter delivered on the Closing Date shall use a “cut-off” date no more than three business days prior to the Closing Date.</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700" w:top="270" w:right="259" w:bottom="1440" w:gutter="0" w:footer="0" w:header="0"/>
        </w:sectPr>
      </w:pPr>
    </w:p>
    <w:bookmarkStart w:id="27" w:name="page28"/>
    <w:bookmarkEnd w:id="27"/>
    <w:p>
      <w:pPr>
        <w:ind w:left="460" w:right="20" w:firstLine="443"/>
        <w:spacing w:after="0" w:line="254" w:lineRule="auto"/>
        <w:tabs>
          <w:tab w:leader="none" w:pos="115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Subsequent to the Time of Sale or, if earlier, the dates as of which information is given in the Registration Statement (exclusive of any amendment thereof) and the Time of Sale Information and the Final Prospectus (exclusive of any amendment or supplement thereto), there shall not have been (i) any change or decrease specified in the letter or letters referred to in paragraph (f) of this Section 7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and the Time of Sale Information and the Final Prospectus (exclusive of any amendment or supplement thereto).</w:t>
      </w:r>
    </w:p>
    <w:p>
      <w:pPr>
        <w:spacing w:after="0" w:line="81" w:lineRule="exact"/>
        <w:rPr>
          <w:rFonts w:ascii="Times New Roman" w:cs="Times New Roman" w:eastAsia="Times New Roman" w:hAnsi="Times New Roman"/>
          <w:sz w:val="18"/>
          <w:szCs w:val="18"/>
          <w:color w:val="auto"/>
        </w:rPr>
      </w:pPr>
    </w:p>
    <w:p>
      <w:pPr>
        <w:ind w:left="460" w:right="360" w:firstLine="443"/>
        <w:spacing w:after="0" w:line="266" w:lineRule="auto"/>
        <w:tabs>
          <w:tab w:leader="none" w:pos="115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Time of Sale, there shall not have been any decrease in the rating of any of the Company’s debt securities by any “nationally recognized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spacing w:after="0" w:line="68" w:lineRule="exact"/>
        <w:rPr>
          <w:rFonts w:ascii="Times New Roman" w:cs="Times New Roman" w:eastAsia="Times New Roman" w:hAnsi="Times New Roman"/>
          <w:sz w:val="18"/>
          <w:szCs w:val="18"/>
          <w:color w:val="auto"/>
        </w:rPr>
      </w:pPr>
    </w:p>
    <w:p>
      <w:pPr>
        <w:ind w:left="460" w:right="320" w:firstLine="443"/>
        <w:spacing w:after="0" w:line="282" w:lineRule="auto"/>
        <w:tabs>
          <w:tab w:leader="none" w:pos="111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Company and Holdings shall have furnished to the Representatives such further information, certificates and documents as the Representatives may reasonably request.</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facsimile confirmed in writing.</w:t>
      </w:r>
    </w:p>
    <w:p>
      <w:pPr>
        <w:spacing w:after="0" w:line="184"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The documents required to be delivered by this Section 7 shall be delivered at the office of Baker Botts L.L.P., counsel for the Company, at One Shell Plaza, 910 Louisiana Street, Houston, Texas 77002, on the Closing Date.</w:t>
      </w:r>
    </w:p>
    <w:p>
      <w:pPr>
        <w:spacing w:after="0" w:line="162" w:lineRule="exact"/>
        <w:rPr>
          <w:sz w:val="20"/>
          <w:szCs w:val="20"/>
          <w:color w:val="auto"/>
        </w:rPr>
      </w:pPr>
    </w:p>
    <w:p>
      <w:pPr>
        <w:ind w:right="40" w:firstLine="464"/>
        <w:spacing w:after="0" w:line="256" w:lineRule="auto"/>
        <w:tabs>
          <w:tab w:leader="none" w:pos="6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of Underwriters’ Expenses</w:t>
      </w:r>
      <w:r>
        <w:rPr>
          <w:rFonts w:ascii="Times New Roman" w:cs="Times New Roman" w:eastAsia="Times New Roman" w:hAnsi="Times New Roman"/>
          <w:sz w:val="18"/>
          <w:szCs w:val="18"/>
          <w:color w:val="auto"/>
        </w:rPr>
        <w:t>. If the sale of the Securities provided for herein is not consummated because any condition to the obligations of the Underwriters set forth in Section 7 hereof is not satisfied, because of any termination pursuant to Section 11 hereof (other than as a result of the occurrence of the circumstances in Sections 11(ii) and 11(iii)) or because of any refusal, inability or failure on the part of the Company to perform any agreement herein or comply with any provision hereof other than by reason of a default by any of the Underwriters, the Company will reimburse the Underwriters severally through the Representatives on demand for all out-of-pocket expenses (including reasonable fees and disbursements of counsel) that shall have been incurred by them in connection with the proposed purchase and sale of the Securities.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70" w:right="239" w:bottom="1440" w:gutter="0" w:footer="0" w:header="0"/>
        </w:sectPr>
      </w:pPr>
    </w:p>
    <w:bookmarkStart w:id="28" w:name="page29"/>
    <w:bookmarkEnd w:id="28"/>
    <w:p>
      <w:pPr>
        <w:ind w:left="-20" w:right="120" w:firstLine="464"/>
        <w:spacing w:after="0" w:line="268"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 and Contribution</w:t>
      </w:r>
      <w:r>
        <w:rPr>
          <w:rFonts w:ascii="Times New Roman" w:cs="Times New Roman" w:eastAsia="Times New Roman" w:hAnsi="Times New Roman"/>
          <w:sz w:val="17"/>
          <w:szCs w:val="17"/>
          <w:color w:val="auto"/>
        </w:rPr>
        <w:t xml:space="preserve">. (a) Each of the Company and Holdings, jointly and severally, agrees to indemnify and hold harmless each Underwriter, the directors, officers, employees, affiliates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(i) arise out of or are based upon any untrue statement or alleged untrue statement of a material fact contained in the Registration Statement or in any amendment thereof, or arise out of or are based upon the omission or alleged omission to state therein a material fact required to be stated therein or necessary to make the statements therein not misleading or (ii) arise out of or are based upon any untrue statement or alleged untrue statement of a material fact contained in the Final Prospectus (or any amendment or supplement thereto), any Issuer Free Writing Prospectus or the Time of Sale Information, or arise out of or are based upon any omission or alleged omission to state therein a material fact necessary in order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neither the Company nor Holdings will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that the Company or Holdings may otherwise have.</w:t>
      </w:r>
    </w:p>
    <w:p>
      <w:pPr>
        <w:spacing w:after="0" w:line="183" w:lineRule="exact"/>
        <w:rPr>
          <w:sz w:val="20"/>
          <w:szCs w:val="20"/>
          <w:color w:val="auto"/>
        </w:rPr>
      </w:pPr>
    </w:p>
    <w:p>
      <w:pPr>
        <w:ind w:left="-20" w:firstLine="464"/>
        <w:spacing w:after="0" w:line="254" w:lineRule="auto"/>
        <w:tabs>
          <w:tab w:leader="none" w:pos="69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agrees to indemnify and hold harmless the Company and Holdings, each of their respective directors, each of their respective officers who signs the Registration Statement, and each person who controls either the Company or Holdings within the meaning of either the Act or the Exchange Act, to the same extent as the foregoing indemnity from the Company or Holdings to each Underwriter (the “</w:t>
      </w:r>
      <w:r>
        <w:rPr>
          <w:rFonts w:ascii="Times New Roman" w:cs="Times New Roman" w:eastAsia="Times New Roman" w:hAnsi="Times New Roman"/>
          <w:sz w:val="18"/>
          <w:szCs w:val="18"/>
          <w:u w:val="single" w:color="auto"/>
          <w:color w:val="auto"/>
        </w:rPr>
        <w:t>Foregoing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Each of the Company and Holdings acknowledges that the following statements set forth in the Time of Sale Information and the Final Prospectus constitute the only information furnished in writing by or on behalf of the several Underwriters for inclusion in the documents referred to in the Foregoing Indemnity: (i) the statements in the last paragraph of the cover page regarding delivery of the Securities and (ii) (A) the list of Underwriters and their respective participation in the sale of the Securities, (B) the sentences related to concessions and reallowances, and (C) the paragraphs related to stabilization, syndicate covering transactions and penalty bids, in each case under the heading “Underwriting.”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60" w:top="270" w:right="239" w:bottom="1440" w:gutter="0" w:footer="0" w:header="0"/>
        </w:sectPr>
      </w:pPr>
    </w:p>
    <w:bookmarkStart w:id="29" w:name="page30"/>
    <w:bookmarkEnd w:id="29"/>
    <w:p>
      <w:pPr>
        <w:ind w:left="-8" w:right="20" w:firstLine="464"/>
        <w:spacing w:after="0" w:line="254" w:lineRule="auto"/>
        <w:tabs>
          <w:tab w:leader="none" w:pos="69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w:t>
      </w:r>
    </w:p>
    <w:p>
      <w:pPr>
        <w:spacing w:after="0" w:line="3" w:lineRule="exact"/>
        <w:rPr>
          <w:rFonts w:ascii="Times New Roman" w:cs="Times New Roman" w:eastAsia="Times New Roman" w:hAnsi="Times New Roman"/>
          <w:sz w:val="18"/>
          <w:szCs w:val="18"/>
          <w:color w:val="auto"/>
        </w:rPr>
      </w:pPr>
    </w:p>
    <w:p>
      <w:pPr>
        <w:ind w:left="-8" w:right="20" w:firstLine="8"/>
        <w:spacing w:after="0" w:line="251" w:lineRule="auto"/>
        <w:tabs>
          <w:tab w:leader="none" w:pos="24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counsel shall be reasonably satisfactory to the indemnified party and shall not, without the consent of the indemnified party, be counsel to the indemnifying party. Notwithstanding the indemnifying party’s election to appoint counsel to represent the indemnified party in an action, the indemnified party shall have the right to employ a separate counsel (including a local counsel), and the indemnifying party shall bear the reasonable fees, costs and expenses of such separate counsel if (i) the indemnifying party shall not have employed counsel reasonably satisfactory to the indemnified party to represent the indemnified party within a reasonable time after notice of the institution of such action or (ii)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 indemnified party. An indemnifying party shall not be liable under this Section 9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191" w:lineRule="exact"/>
        <w:rPr>
          <w:rFonts w:ascii="Times New Roman" w:cs="Times New Roman" w:eastAsia="Times New Roman" w:hAnsi="Times New Roman"/>
          <w:sz w:val="18"/>
          <w:szCs w:val="18"/>
          <w:color w:val="auto"/>
        </w:rPr>
      </w:pPr>
    </w:p>
    <w:p>
      <w:pPr>
        <w:ind w:left="-8" w:firstLine="464"/>
        <w:spacing w:after="0" w:line="256" w:lineRule="auto"/>
        <w:tabs>
          <w:tab w:leader="none" w:pos="70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indemnity provided in paragraph (a) or (b) of this Section 9 is unavailable to or insufficient to hold harmless an indemnified party for any reason, the Company, Holdings and the Underwriters severally agree to contribute to the aggregate losses, claims, damages and liabilities (including legal or other expenses reasonably incurred in connection with investigating or defending same)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which the Company, Holdings and one or more of the Underwriters may be subject in such proportion as is appropriate to reflect the relative benefits received by the Company and Holdings on the one hand and by the Underwriters on the other from the offering of the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case shall any Underwriter (except as may be provided in any agreement among underwriters relating to the offering of the Securities) be responsible for any amount in</w:t>
      </w:r>
    </w:p>
    <w:p>
      <w:pPr>
        <w:spacing w:after="0" w:line="12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92"/>
          </w:cols>
          <w:pgMar w:left="248" w:top="270" w:right="259" w:bottom="1440" w:gutter="0" w:footer="0" w:header="0"/>
        </w:sectPr>
      </w:pPr>
    </w:p>
    <w:bookmarkStart w:id="30" w:name="page31"/>
    <w:bookmarkEnd w:id="3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excess of the underwriting discount or commission applicable to the Securities purchased by such Underwriter hereunder. If the allocation provided by the immediately preceding sentence is unavailable for any reason, the Company, Holdings and the Underwriters severally shall contribute in such proportion as is appropriate to reflect not only such relative benefits but also the relative fault of the Company and Holdings on the one hand and of the Underwriters on the other in connection with the statements or omissions which resulted in such Losses as well as any other relevant equitable considerations. Benefits received by the Company and Holdings shall be deemed to be equal to the total net proceeds from the offering (before deducting expenses) received by the Company,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and Holdings on the one hand or the Underwriters on the other, the intent of the parties and their relative knowledge, access to information and opportunity to correct or prevent such untrue statement or omission. The Company, Holdings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The Underwriters’ obligations in this paragraph (d) to contribute are several in proportion to their respective underwriting obligations and not joint. For purposes of this Section 9, each person who controls an Underwriter within the meaning of either the Act or the Exchange Act and each director, officer, employee and agent of an Underwriter shall have the same rights to contribution as such Underwriter, and each person who controls the Company or Holdings within the meaning of either the Act or the Exchange Act, each officer of the Company or Holdings who shall have signed the Registration Statement and each director of the Company or Holdings shall have the same rights to contribution as the Company or Holdings, subject in each case to the applicable terms and conditions of this paragraph (d).</w:t>
      </w:r>
    </w:p>
    <w:p>
      <w:pPr>
        <w:spacing w:after="0" w:line="194" w:lineRule="exact"/>
        <w:rPr>
          <w:sz w:val="20"/>
          <w:szCs w:val="20"/>
          <w:color w:val="auto"/>
        </w:rPr>
      </w:pPr>
    </w:p>
    <w:p>
      <w:pPr>
        <w:ind w:firstLine="464"/>
        <w:spacing w:after="0" w:line="254" w:lineRule="auto"/>
        <w:tabs>
          <w:tab w:leader="none" w:pos="72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by an Underwriter</w:t>
      </w:r>
      <w:r>
        <w:rPr>
          <w:rFonts w:ascii="Times New Roman" w:cs="Times New Roman" w:eastAsia="Times New Roman" w:hAnsi="Times New Roman"/>
          <w:sz w:val="18"/>
          <w:szCs w:val="18"/>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principal amount of Notes set forth opposite their names in Schedule II hereto bears to the aggregate principal amount of Notes set forth opposite the names of all the remaining Underwriters) the Securities which the defaulting Underwriter or Underwriters agreed but failed to purchase;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event that the aggregate principal amount of Notes which the defaulting Underwriter or Underwriters agreed but failed to purchase shall exceed 10% of the aggregate principal amount of Notes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the Company or Holdings. In the event of a default by any Underwriter as set forth in this Section 10, the Closing Date shall be postponed for such period, not exceeding five Business Days, as the Representatives shall determine in order that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270" w:right="259" w:bottom="1440" w:gutter="0" w:footer="0" w:header="0"/>
        </w:sectPr>
      </w:pPr>
    </w:p>
    <w:bookmarkStart w:id="31" w:name="page32"/>
    <w:bookmarkEnd w:id="31"/>
    <w:p>
      <w:pPr>
        <w:ind w:right="3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changes in the Registration Statement, the Time of Sale Information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176" w:lineRule="exact"/>
        <w:rPr>
          <w:sz w:val="20"/>
          <w:szCs w:val="20"/>
          <w:color w:val="auto"/>
        </w:rPr>
      </w:pPr>
    </w:p>
    <w:p>
      <w:pPr>
        <w:ind w:right="40" w:firstLine="464"/>
        <w:spacing w:after="0" w:line="254"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be subject to termination in the absolute discretion of the Representatives, by notice given to the Company prior to delivery of and payment for the Securities, if at any time prior to such time (i) trading in the Company’s Common Stock shall have been suspended by the Commission, (ii) trading in securities generally on the New York Stock Exchange shall have been suspended or limited or minimum prices shall have been established on such exchange, (iii) a banking moratorium shall have been declared either by Federal, New York State or State of Texas authorities or a material disruption in commercial banking or securities settlement or clearance services in the United States shall have occurred, or (iv) there shall have occurred any material change in the financial markets or any outbreak or escalation of hostilities, insurrection or armed conflict,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this Agreement, the Time of Sale Information and the Final Prospectus (exclusive of any amendment or supplement thereto).</w:t>
      </w:r>
    </w:p>
    <w:p>
      <w:pPr>
        <w:spacing w:after="0" w:line="189" w:lineRule="exact"/>
        <w:rPr>
          <w:rFonts w:ascii="Times New Roman" w:cs="Times New Roman" w:eastAsia="Times New Roman" w:hAnsi="Times New Roman"/>
          <w:sz w:val="18"/>
          <w:szCs w:val="18"/>
          <w:color w:val="auto"/>
        </w:rPr>
      </w:pPr>
    </w:p>
    <w:p>
      <w:pPr>
        <w:ind w:right="60" w:firstLine="464"/>
        <w:spacing w:after="0" w:line="258" w:lineRule="auto"/>
        <w:tabs>
          <w:tab w:leader="none" w:pos="72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Indemnities to Survive</w:t>
      </w:r>
      <w:r>
        <w:rPr>
          <w:rFonts w:ascii="Times New Roman" w:cs="Times New Roman" w:eastAsia="Times New Roman" w:hAnsi="Times New Roman"/>
          <w:sz w:val="18"/>
          <w:szCs w:val="18"/>
          <w:color w:val="auto"/>
        </w:rPr>
        <w:t>. The respective agreements, representations, warranties, indemnities and other statements of the Company and Holdings or their respective officers and of the Underwriters set forth in or made pursuant to this Agreement will remain in full force and effect, regardless of any investigation made by or on behalf of any Underwriter, the Company or Holdings or any of the officers, directors, employees, agents or controlling persons referred to in Section 9 hereof, and will survive delivery of and payment for the Securities. The provisions of Sections 8 and 9 hereof shall survive the termination or cancellation of this Agreement.</w:t>
      </w:r>
    </w:p>
    <w:p>
      <w:pPr>
        <w:spacing w:after="0" w:line="183" w:lineRule="exact"/>
        <w:rPr>
          <w:rFonts w:ascii="Times New Roman" w:cs="Times New Roman" w:eastAsia="Times New Roman" w:hAnsi="Times New Roman"/>
          <w:sz w:val="18"/>
          <w:szCs w:val="18"/>
          <w:color w:val="auto"/>
        </w:rPr>
      </w:pPr>
    </w:p>
    <w:p>
      <w:pPr>
        <w:ind w:firstLine="464"/>
        <w:spacing w:after="0" w:line="256" w:lineRule="auto"/>
        <w:tabs>
          <w:tab w:leader="none" w:pos="72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will be in writing and effective only on receipt, and, if sent to the Representatives, will be mailed, delivered or telefaxed to: Citigroup Global Markets Inc., 388 Greenwich Street, New York, New York 10013 (fax: 646-291-1469); Merrill Lynch, Pierce, Fenner &amp; Smith Incorporated, 50 Rockefeller Plaza, NY1– 050-12-01, New York, New York 10020, Attention: High Grade Transaction Management/Legal (fax: 646-855-5958); and Mizuho Securities USA Inc., 320 Park Avenue – 12th Floor, New York, New York 10022, Attention: Debt Capital Markets Desk (fax: 212-205-7812); or, if sent to the Company or Holdings, will be mailed, delivered or telefaxed to Waste Management, Inc., Attn: General Counsel (fax: 713-209-9710) and confirmed to it at 1001 Fannin, Suite 4000, Houston, Texas 77002, Attention: Legal Department.</w:t>
      </w:r>
    </w:p>
    <w:p>
      <w:pPr>
        <w:spacing w:after="0" w:line="187" w:lineRule="exact"/>
        <w:rPr>
          <w:rFonts w:ascii="Times New Roman" w:cs="Times New Roman" w:eastAsia="Times New Roman" w:hAnsi="Times New Roman"/>
          <w:sz w:val="18"/>
          <w:szCs w:val="18"/>
          <w:color w:val="auto"/>
        </w:rPr>
      </w:pPr>
    </w:p>
    <w:p>
      <w:pPr>
        <w:ind w:right="420" w:firstLine="464"/>
        <w:spacing w:after="0" w:line="282" w:lineRule="auto"/>
        <w:tabs>
          <w:tab w:leader="none" w:pos="72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 directors, employees, agents and controlling persons referred to in Section 9 hereof, and no other person will have any right or obligation hereunder.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270" w:right="259" w:bottom="1440" w:gutter="0" w:footer="0" w:header="0"/>
        </w:sectPr>
      </w:pPr>
    </w:p>
    <w:bookmarkStart w:id="32" w:name="page33"/>
    <w:bookmarkEnd w:id="32"/>
    <w:p>
      <w:pPr>
        <w:ind w:left="-120" w:right="100" w:firstLine="464"/>
        <w:spacing w:after="0" w:line="282" w:lineRule="auto"/>
        <w:tabs>
          <w:tab w:leader="none" w:pos="6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Law</w:t>
      </w:r>
      <w:r>
        <w:rPr>
          <w:rFonts w:ascii="Times New Roman" w:cs="Times New Roman" w:eastAsia="Times New Roman" w:hAnsi="Times New Roman"/>
          <w:sz w:val="18"/>
          <w:szCs w:val="18"/>
          <w:color w:val="auto"/>
        </w:rPr>
        <w:t>. This Agreement will be governed by and construed in accordance with the laws of the State of New York applicable to contracts made and to be performed within the State of New York.</w:t>
      </w:r>
    </w:p>
    <w:p>
      <w:pPr>
        <w:spacing w:after="0" w:line="161" w:lineRule="exact"/>
        <w:rPr>
          <w:rFonts w:ascii="Times New Roman" w:cs="Times New Roman" w:eastAsia="Times New Roman" w:hAnsi="Times New Roman"/>
          <w:sz w:val="18"/>
          <w:szCs w:val="18"/>
          <w:color w:val="auto"/>
        </w:rPr>
      </w:pPr>
    </w:p>
    <w:p>
      <w:pPr>
        <w:ind w:left="-120" w:firstLine="464"/>
        <w:spacing w:after="0" w:line="282" w:lineRule="auto"/>
        <w:tabs>
          <w:tab w:leader="none" w:pos="6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one or more counterparts, each of which shall constitute an original and all of which together shall constitute one and the same agreement.</w:t>
      </w:r>
    </w:p>
    <w:p>
      <w:pPr>
        <w:spacing w:after="0" w:line="161" w:lineRule="exact"/>
        <w:rPr>
          <w:rFonts w:ascii="Times New Roman" w:cs="Times New Roman" w:eastAsia="Times New Roman" w:hAnsi="Times New Roman"/>
          <w:sz w:val="18"/>
          <w:szCs w:val="18"/>
          <w:color w:val="auto"/>
        </w:rPr>
      </w:pPr>
    </w:p>
    <w:p>
      <w:pPr>
        <w:ind w:left="620" w:hanging="276"/>
        <w:spacing w:after="0"/>
        <w:tabs>
          <w:tab w:leader="none" w:pos="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left="620" w:hanging="276"/>
        <w:spacing w:after="0"/>
        <w:tabs>
          <w:tab w:leader="none" w:pos="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that follow, when used in this Agreement, shall have the meanings indicated.</w:t>
      </w:r>
    </w:p>
    <w:p>
      <w:pPr>
        <w:spacing w:after="0" w:line="11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“Act” shall mean the Securities Act of 1933, as amended, and the rules and regulations of the Commission promulgated thereunder.</w:t>
      </w:r>
    </w:p>
    <w:p>
      <w:pPr>
        <w:spacing w:after="0" w:line="117" w:lineRule="exact"/>
        <w:rPr>
          <w:sz w:val="20"/>
          <w:szCs w:val="20"/>
          <w:color w:val="auto"/>
        </w:rPr>
      </w:pPr>
    </w:p>
    <w:p>
      <w:pPr>
        <w:ind w:left="340" w:right="220" w:firstLine="438"/>
        <w:spacing w:after="0" w:line="282" w:lineRule="auto"/>
        <w:rPr>
          <w:sz w:val="20"/>
          <w:szCs w:val="20"/>
          <w:color w:val="auto"/>
        </w:rPr>
      </w:pPr>
      <w:r>
        <w:rPr>
          <w:rFonts w:ascii="Times New Roman" w:cs="Times New Roman" w:eastAsia="Times New Roman" w:hAnsi="Times New Roman"/>
          <w:sz w:val="18"/>
          <w:szCs w:val="18"/>
          <w:color w:val="auto"/>
        </w:rPr>
        <w:t>“affiliate” shall mean a person that directly, or indirectly through one or more intermediaries, controls or is controlled by, or is under common control with, the person specified.</w:t>
      </w:r>
    </w:p>
    <w:p>
      <w:pPr>
        <w:spacing w:after="0" w:line="5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“Base Prospectus” shall mean the prospectus referred to in Section 1(a) above contained in the Registration Statement at the Effective Date.</w:t>
      </w:r>
    </w:p>
    <w:p>
      <w:pPr>
        <w:spacing w:after="0" w:line="117" w:lineRule="exact"/>
        <w:rPr>
          <w:sz w:val="20"/>
          <w:szCs w:val="20"/>
          <w:color w:val="auto"/>
        </w:rPr>
      </w:pPr>
    </w:p>
    <w:p>
      <w:pPr>
        <w:ind w:left="340" w:right="40" w:firstLine="438"/>
        <w:spacing w:after="0" w:line="282" w:lineRule="auto"/>
        <w:rPr>
          <w:sz w:val="20"/>
          <w:szCs w:val="20"/>
          <w:color w:val="auto"/>
        </w:rPr>
      </w:pPr>
      <w:r>
        <w:rPr>
          <w:rFonts w:ascii="Times New Roman" w:cs="Times New Roman" w:eastAsia="Times New Roman" w:hAnsi="Times New Roman"/>
          <w:sz w:val="18"/>
          <w:szCs w:val="18"/>
          <w:color w:val="auto"/>
        </w:rPr>
        <w:t>“Business Day” shall mean any day other than a Saturday, a Sunday or a legal holiday or a day on which banking institutions or trust companies are authorized or obligated by law to close in New York City or Houston, Texas.</w:t>
      </w:r>
    </w:p>
    <w:p>
      <w:pPr>
        <w:spacing w:after="0" w:line="5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“Commission” shall mean the Securities and Exchange Commission.</w:t>
      </w:r>
    </w:p>
    <w:p>
      <w:pPr>
        <w:spacing w:after="0" w:line="117" w:lineRule="exact"/>
        <w:rPr>
          <w:sz w:val="20"/>
          <w:szCs w:val="20"/>
          <w:color w:val="auto"/>
        </w:rPr>
      </w:pPr>
    </w:p>
    <w:p>
      <w:pPr>
        <w:ind w:left="340" w:right="160" w:firstLine="438"/>
        <w:spacing w:after="0" w:line="282" w:lineRule="auto"/>
        <w:rPr>
          <w:sz w:val="20"/>
          <w:szCs w:val="20"/>
          <w:color w:val="auto"/>
        </w:rPr>
      </w:pPr>
      <w:r>
        <w:rPr>
          <w:rFonts w:ascii="Times New Roman" w:cs="Times New Roman" w:eastAsia="Times New Roman" w:hAnsi="Times New Roman"/>
          <w:sz w:val="18"/>
          <w:szCs w:val="18"/>
          <w:color w:val="auto"/>
        </w:rPr>
        <w:t>“Effective Date” shall mean each date and time that the Registration Statement, any post-effective amendment or amendments thereto and any Rule 462(b) Registration Statement became or become effective or are deemed to become effective under Rule 430A, Rule 430B and Rule 430C.</w:t>
      </w:r>
    </w:p>
    <w:p>
      <w:pPr>
        <w:spacing w:after="0" w:line="54" w:lineRule="exact"/>
        <w:rPr>
          <w:sz w:val="20"/>
          <w:szCs w:val="20"/>
          <w:color w:val="auto"/>
        </w:rPr>
      </w:pPr>
    </w:p>
    <w:p>
      <w:pPr>
        <w:ind w:left="340" w:right="280" w:firstLine="438"/>
        <w:spacing w:after="0" w:line="282" w:lineRule="auto"/>
        <w:rPr>
          <w:sz w:val="20"/>
          <w:szCs w:val="20"/>
          <w:color w:val="auto"/>
        </w:rPr>
      </w:pPr>
      <w:r>
        <w:rPr>
          <w:rFonts w:ascii="Times New Roman" w:cs="Times New Roman" w:eastAsia="Times New Roman" w:hAnsi="Times New Roman"/>
          <w:sz w:val="18"/>
          <w:szCs w:val="18"/>
          <w:color w:val="auto"/>
        </w:rPr>
        <w:t>“Exchange Act” shall mean the Securities Exchange Act of 1934, as amended, and the rules and regulations of the Commission promulgated thereunder.</w:t>
      </w:r>
    </w:p>
    <w:p>
      <w:pPr>
        <w:spacing w:after="0" w:line="54" w:lineRule="exact"/>
        <w:rPr>
          <w:sz w:val="20"/>
          <w:szCs w:val="20"/>
          <w:color w:val="auto"/>
        </w:rPr>
      </w:pPr>
    </w:p>
    <w:p>
      <w:pPr>
        <w:ind w:left="340" w:right="760" w:firstLine="420"/>
        <w:spacing w:after="0" w:line="282" w:lineRule="auto"/>
        <w:rPr>
          <w:sz w:val="20"/>
          <w:szCs w:val="20"/>
          <w:color w:val="auto"/>
        </w:rPr>
      </w:pPr>
      <w:r>
        <w:rPr>
          <w:rFonts w:ascii="Times New Roman" w:cs="Times New Roman" w:eastAsia="Times New Roman" w:hAnsi="Times New Roman"/>
          <w:sz w:val="18"/>
          <w:szCs w:val="18"/>
          <w:color w:val="auto"/>
        </w:rPr>
        <w:t>“Final Prospectus” shall mean the prospectus supplement relating to the Securities that was first filed pursuant to Rule 424(b) after the Time of Sale, together with the Basic Prospectus.</w:t>
      </w:r>
    </w:p>
    <w:p>
      <w:pPr>
        <w:spacing w:after="0" w:line="5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“1940 Act” shall mean the Investment Company Act of 1940, as amended.</w:t>
      </w:r>
    </w:p>
    <w:p>
      <w:pPr>
        <w:spacing w:after="0" w:line="117" w:lineRule="exact"/>
        <w:rPr>
          <w:sz w:val="20"/>
          <w:szCs w:val="20"/>
          <w:color w:val="auto"/>
        </w:rPr>
      </w:pPr>
    </w:p>
    <w:p>
      <w:pPr>
        <w:ind w:left="340" w:right="80" w:firstLine="438"/>
        <w:spacing w:after="0" w:line="282" w:lineRule="auto"/>
        <w:rPr>
          <w:sz w:val="20"/>
          <w:szCs w:val="20"/>
          <w:color w:val="auto"/>
        </w:rPr>
      </w:pPr>
      <w:r>
        <w:rPr>
          <w:rFonts w:ascii="Times New Roman" w:cs="Times New Roman" w:eastAsia="Times New Roman" w:hAnsi="Times New Roman"/>
          <w:sz w:val="18"/>
          <w:szCs w:val="18"/>
          <w:color w:val="auto"/>
        </w:rPr>
        <w:t>“Preliminary Prospectus” shall mean the preliminary prospectus supplement relating to the Securities dated May 9, 2016 that was filed with the Commission pursuant to Rule 424(b) prior to the Time of Sale, together with the Basic Prospectus.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360" w:top="270" w:right="339" w:bottom="1440" w:gutter="0" w:footer="0" w:header="0"/>
        </w:sectPr>
      </w:pPr>
    </w:p>
    <w:bookmarkStart w:id="33" w:name="page34"/>
    <w:bookmarkEnd w:id="33"/>
    <w:p>
      <w:pPr>
        <w:ind w:left="360" w:right="360" w:firstLine="43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Delivery Period” shall mean such period of time after the first date of the public offering of the Securities as in the opinion of counsel for the Underwriters a prospectus relating to the Securities is required by law to be delivered (or required to be delivered but for Rule 172 under the Act) in connection with sales of the Securities by any Underwriter or dealer.</w:t>
      </w:r>
    </w:p>
    <w:p>
      <w:pPr>
        <w:spacing w:after="0" w:line="68" w:lineRule="exact"/>
        <w:rPr>
          <w:sz w:val="20"/>
          <w:szCs w:val="20"/>
          <w:color w:val="auto"/>
        </w:rPr>
      </w:pPr>
    </w:p>
    <w:p>
      <w:pPr>
        <w:ind w:left="360" w:firstLine="438"/>
        <w:spacing w:after="0" w:line="258" w:lineRule="auto"/>
        <w:rPr>
          <w:sz w:val="20"/>
          <w:szCs w:val="20"/>
          <w:color w:val="auto"/>
        </w:rPr>
      </w:pPr>
      <w:r>
        <w:rPr>
          <w:rFonts w:ascii="Times New Roman" w:cs="Times New Roman" w:eastAsia="Times New Roman" w:hAnsi="Times New Roman"/>
          <w:sz w:val="18"/>
          <w:szCs w:val="18"/>
          <w:color w:val="auto"/>
        </w:rPr>
        <w:t>“Registration Statement” shall mean the registration statement referred to in Section 1(a) above, including exhibits and financial statements, as amended at the Time of Sale (or, if not effective at the Time of Sale, in the form in which it shall become effective) and, in the event any post-effective amendment thereto or any Rule 462(b) Registration Statement becomes effective prior to the Closing Date, shall also mean such registration statement as so amended or such Rule 462(b) Registration Statement, as the case may be. Such term shall include any Rule 430 Information deemed to be included therein at the Effective Date as provided by Rule 430A, Rule 430B or Rule 430C.</w:t>
      </w:r>
    </w:p>
    <w:p>
      <w:pPr>
        <w:spacing w:after="0" w:line="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“Rule 415,” “Rule 424,” “Rule 430A,” “Rule 430B,” “Rule 430C” and “Rule 462” refer to such rules under the Act.</w:t>
      </w:r>
    </w:p>
    <w:p>
      <w:pPr>
        <w:spacing w:after="0" w:line="117" w:lineRule="exact"/>
        <w:rPr>
          <w:sz w:val="20"/>
          <w:szCs w:val="20"/>
          <w:color w:val="auto"/>
        </w:rPr>
      </w:pPr>
    </w:p>
    <w:p>
      <w:pPr>
        <w:ind w:left="360" w:right="540" w:firstLine="438"/>
        <w:spacing w:after="0" w:line="266" w:lineRule="auto"/>
        <w:rPr>
          <w:sz w:val="20"/>
          <w:szCs w:val="20"/>
          <w:color w:val="auto"/>
        </w:rPr>
      </w:pPr>
      <w:r>
        <w:rPr>
          <w:rFonts w:ascii="Times New Roman" w:cs="Times New Roman" w:eastAsia="Times New Roman" w:hAnsi="Times New Roman"/>
          <w:sz w:val="18"/>
          <w:szCs w:val="18"/>
          <w:color w:val="auto"/>
        </w:rPr>
        <w:t>“Rule 430 Information” shall mean information with respect to the Securities and the offering thereof permitted to be omitted from the Registration Statement when it becomes effective pursuant to Rule 430A, Rule 430B or Rule 430C that is deemed to be part of the Registration Statement at the time of its effectiveness.</w:t>
      </w:r>
    </w:p>
    <w:p>
      <w:pPr>
        <w:spacing w:after="0" w:line="68" w:lineRule="exact"/>
        <w:rPr>
          <w:sz w:val="20"/>
          <w:szCs w:val="20"/>
          <w:color w:val="auto"/>
        </w:rPr>
      </w:pPr>
    </w:p>
    <w:p>
      <w:pPr>
        <w:ind w:left="360" w:right="140" w:firstLine="438"/>
        <w:spacing w:after="0" w:line="282" w:lineRule="auto"/>
        <w:rPr>
          <w:sz w:val="20"/>
          <w:szCs w:val="20"/>
          <w:color w:val="auto"/>
        </w:rPr>
      </w:pPr>
      <w:r>
        <w:rPr>
          <w:rFonts w:ascii="Times New Roman" w:cs="Times New Roman" w:eastAsia="Times New Roman" w:hAnsi="Times New Roman"/>
          <w:sz w:val="18"/>
          <w:szCs w:val="18"/>
          <w:color w:val="auto"/>
        </w:rPr>
        <w:t>“Rule 462(b) Registration Statement” shall mean a registration statement and any amendments thereto filed pursuant to Rule 462(b) relating to the offering covered by the registration statement referred to in Section 1(a) above.</w:t>
      </w:r>
    </w:p>
    <w:p>
      <w:pPr>
        <w:spacing w:after="0" w:line="5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“Time of Sale” shall mean 1:55 P.M. New York time on May 9, 2016, the time when sales of the Securities were first made.</w:t>
      </w:r>
    </w:p>
    <w:p>
      <w:pPr>
        <w:spacing w:after="0" w:line="117" w:lineRule="exact"/>
        <w:rPr>
          <w:sz w:val="20"/>
          <w:szCs w:val="20"/>
          <w:color w:val="auto"/>
        </w:rPr>
      </w:pPr>
    </w:p>
    <w:p>
      <w:pPr>
        <w:ind w:left="360" w:right="240" w:firstLine="438"/>
        <w:spacing w:after="0" w:line="282" w:lineRule="auto"/>
        <w:rPr>
          <w:sz w:val="20"/>
          <w:szCs w:val="20"/>
          <w:color w:val="auto"/>
        </w:rPr>
      </w:pPr>
      <w:r>
        <w:rPr>
          <w:rFonts w:ascii="Times New Roman" w:cs="Times New Roman" w:eastAsia="Times New Roman" w:hAnsi="Times New Roman"/>
          <w:sz w:val="18"/>
          <w:szCs w:val="18"/>
          <w:color w:val="auto"/>
        </w:rPr>
        <w:t>“Trust Indenture Act” shall mean the Trust Indenture Act of 1939, as amended, and the rules and regulations of the Commission promulgated thereunder.</w:t>
      </w:r>
    </w:p>
    <w:p>
      <w:pPr>
        <w:spacing w:after="0" w:line="162" w:lineRule="exact"/>
        <w:rPr>
          <w:sz w:val="20"/>
          <w:szCs w:val="20"/>
          <w:color w:val="auto"/>
        </w:rPr>
      </w:pPr>
    </w:p>
    <w:p>
      <w:pPr>
        <w:ind w:left="-100" w:right="380" w:firstLine="464"/>
        <w:spacing w:after="0" w:line="266" w:lineRule="auto"/>
        <w:tabs>
          <w:tab w:leader="none" w:pos="62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Representation</w:t>
      </w:r>
      <w:r>
        <w:rPr>
          <w:rFonts w:ascii="Times New Roman" w:cs="Times New Roman" w:eastAsia="Times New Roman" w:hAnsi="Times New Roman"/>
          <w:sz w:val="18"/>
          <w:szCs w:val="18"/>
          <w:color w:val="auto"/>
        </w:rPr>
        <w:t>. The Company and the Underwriters acknowledge that Vinson &amp; Elkins L.L.P., which is acting as counsel to the Underwriters in connection with the offer and sale of the Securities, also acts as counsel from time to time to the Company and certain of its affiliates in connection with unrelated matters. The Company and the Underwriters consent to Vinson &amp; Elkins L.L.P. so acting as counsel to the Underwriters.</w:t>
      </w:r>
    </w:p>
    <w:p>
      <w:pPr>
        <w:spacing w:after="0" w:line="176" w:lineRule="exact"/>
        <w:rPr>
          <w:rFonts w:ascii="Times New Roman" w:cs="Times New Roman" w:eastAsia="Times New Roman" w:hAnsi="Times New Roman"/>
          <w:sz w:val="18"/>
          <w:szCs w:val="18"/>
          <w:color w:val="auto"/>
        </w:rPr>
      </w:pPr>
    </w:p>
    <w:p>
      <w:pPr>
        <w:ind w:left="-100" w:right="220" w:firstLine="464"/>
        <w:spacing w:after="0" w:line="261" w:lineRule="auto"/>
        <w:tabs>
          <w:tab w:leader="none" w:pos="62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40" w:top="270" w:right="339" w:bottom="1440" w:gutter="0" w:footer="0" w:header="0"/>
        </w:sectPr>
      </w:pPr>
    </w:p>
    <w:bookmarkStart w:id="34" w:name="page35"/>
    <w:bookmarkEnd w:id="34"/>
    <w:p>
      <w:pPr>
        <w:ind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of our agreement, please sign and return to us the enclosed duplicate hereof, whereupon this letter and your acceptance shall represent a binding agreement among the Company, Holdings and the several Underwriters.</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Devina A. Rankin</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Devina A. Rankin</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3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 (I)</w:t>
      </w:r>
    </w:p>
    <w:p>
      <w:pPr>
        <w:sectPr>
          <w:pgSz w:w="11900" w:h="16838" w:orient="portrait"/>
          <w:cols w:equalWidth="0" w:num="1">
            <w:col w:w="11280"/>
          </w:cols>
          <w:pgMar w:left="240" w:top="270"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Agreement is hereby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confirmed and accepted as of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set forth above.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Brian D. Bednarski</w:t>
            </w:r>
          </w:p>
        </w:tc>
      </w:tr>
      <w:tr>
        <w:trPr>
          <w:trHeight w:val="205"/>
        </w:trPr>
        <w:tc>
          <w:tcPr>
            <w:tcW w:w="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0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Brian D. Bednarski</w:t>
            </w:r>
          </w:p>
        </w:tc>
        <w:tc>
          <w:tcPr>
            <w:tcW w:w="720" w:type="dxa"/>
            <w:vAlign w:val="bottom"/>
          </w:tcPr>
          <w:p>
            <w:pPr>
              <w:spacing w:after="0"/>
              <w:rPr>
                <w:sz w:val="17"/>
                <w:szCs w:val="17"/>
                <w:color w:val="auto"/>
              </w:rPr>
            </w:pP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1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MERRILL LYNCH, PIERCE, FENNER &amp; SMITH</w:t>
            </w:r>
          </w:p>
        </w:tc>
      </w:tr>
      <w:tr>
        <w:trPr>
          <w:trHeight w:val="234"/>
        </w:trPr>
        <w:tc>
          <w:tcPr>
            <w:tcW w:w="700" w:type="dxa"/>
            <w:vAlign w:val="bottom"/>
          </w:tcPr>
          <w:p>
            <w:pPr>
              <w:spacing w:after="0"/>
              <w:rPr>
                <w:sz w:val="20"/>
                <w:szCs w:val="20"/>
                <w:color w:val="auto"/>
              </w:rPr>
            </w:pPr>
          </w:p>
        </w:tc>
        <w:tc>
          <w:tcPr>
            <w:tcW w:w="372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INCORPORATED</w:t>
            </w:r>
          </w:p>
        </w:tc>
      </w:tr>
      <w:tr>
        <w:trPr>
          <w:trHeight w:val="44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Brendan Hanley</w:t>
            </w:r>
          </w:p>
        </w:tc>
      </w:tr>
      <w:tr>
        <w:trPr>
          <w:trHeight w:val="205"/>
        </w:trPr>
        <w:tc>
          <w:tcPr>
            <w:tcW w:w="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0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Brendan Hanley</w:t>
            </w:r>
          </w:p>
        </w:tc>
        <w:tc>
          <w:tcPr>
            <w:tcW w:w="720" w:type="dxa"/>
            <w:vAlign w:val="bottom"/>
          </w:tcPr>
          <w:p>
            <w:pPr>
              <w:spacing w:after="0"/>
              <w:rPr>
                <w:sz w:val="17"/>
                <w:szCs w:val="17"/>
                <w:color w:val="auto"/>
              </w:rPr>
            </w:pP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INC.</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Guardino</w:t>
            </w:r>
          </w:p>
        </w:tc>
      </w:tr>
      <w:tr>
        <w:trPr>
          <w:trHeight w:val="205"/>
        </w:trPr>
        <w:tc>
          <w:tcPr>
            <w:tcW w:w="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0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James Guardino</w:t>
            </w:r>
          </w:p>
        </w:tc>
        <w:tc>
          <w:tcPr>
            <w:tcW w:w="720" w:type="dxa"/>
            <w:vAlign w:val="bottom"/>
          </w:tcPr>
          <w:p>
            <w:pPr>
              <w:spacing w:after="0"/>
              <w:rPr>
                <w:sz w:val="17"/>
                <w:szCs w:val="17"/>
                <w:color w:val="auto"/>
              </w:rPr>
            </w:pP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the other several Underwriters,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named in Schedule II to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137" w:lineRule="exact"/>
        <w:rPr>
          <w:sz w:val="20"/>
          <w:szCs w:val="20"/>
          <w:color w:val="auto"/>
        </w:rPr>
      </w:pPr>
    </w:p>
    <w:p>
      <w:pPr>
        <w:jc w:val="right"/>
        <w:ind w:right="279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 (II)</w:t>
      </w:r>
    </w:p>
    <w:p>
      <w:pPr>
        <w:sectPr>
          <w:pgSz w:w="11900" w:h="16838" w:orient="portrait"/>
          <w:cols w:equalWidth="0" w:num="1">
            <w:col w:w="10219"/>
          </w:cols>
          <w:pgMar w:left="240" w:top="266"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Issuer Free Writing Prospectus dated May 9, 2016 relating to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Preliminary Prospectus Supplement dated May 9, 2016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Prospectus dated October 27, 2015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333-207628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$500,000,000 2.400% Senior Notes due 2023</w:t>
      </w:r>
    </w:p>
    <w:p>
      <w:pPr>
        <w:sectPr>
          <w:pgSz w:w="11900" w:h="16838" w:orient="portrait"/>
          <w:cols w:equalWidth="0" w:num="1">
            <w:col w:w="11420"/>
          </w:cols>
          <w:pgMar w:left="240" w:top="266" w:right="2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11" w:lineRule="exact"/>
        <w:rPr>
          <w:sz w:val="20"/>
          <w:szCs w:val="20"/>
          <w:color w:val="auto"/>
        </w:rPr>
      </w:pPr>
    </w:p>
    <w:p>
      <w:pPr>
        <w:sectPr>
          <w:pgSz w:w="11900" w:h="16838" w:orient="portrait"/>
          <w:cols w:equalWidth="0" w:num="2">
            <w:col w:w="3640" w:space="720"/>
            <w:col w:w="7060"/>
          </w:cols>
          <w:pgMar w:left="240" w:top="26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Waste Management Holdings, Inc.</w:t>
      </w:r>
    </w:p>
    <w:p>
      <w:pPr>
        <w:spacing w:after="0" w:line="211" w:lineRule="exact"/>
        <w:rPr>
          <w:sz w:val="20"/>
          <w:szCs w:val="20"/>
          <w:color w:val="auto"/>
        </w:rPr>
      </w:pPr>
    </w:p>
    <w:p>
      <w:pPr>
        <w:sectPr>
          <w:pgSz w:w="11900" w:h="16838" w:orient="portrait"/>
          <w:cols w:equalWidth="0" w:num="2">
            <w:col w:w="3640" w:space="720"/>
            <w:col w:w="7060"/>
          </w:cols>
          <w:pgMar w:left="240" w:top="26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9, 2016</w:t>
      </w:r>
    </w:p>
    <w:p>
      <w:pPr>
        <w:spacing w:after="0" w:line="200" w:lineRule="exact"/>
        <w:rPr>
          <w:sz w:val="20"/>
          <w:szCs w:val="20"/>
          <w:color w:val="auto"/>
        </w:rPr>
      </w:pPr>
    </w:p>
    <w:p>
      <w:pPr>
        <w:sectPr>
          <w:pgSz w:w="11900" w:h="16838" w:orient="portrait"/>
          <w:cols w:equalWidth="0" w:num="2">
            <w:col w:w="3640" w:space="720"/>
            <w:col w:w="7060"/>
          </w:cols>
          <w:pgMar w:left="240" w:top="26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T+5; May 16, 2016</w:t>
      </w:r>
    </w:p>
    <w:p>
      <w:pPr>
        <w:spacing w:after="0" w:line="211" w:lineRule="exact"/>
        <w:rPr>
          <w:sz w:val="20"/>
          <w:szCs w:val="20"/>
          <w:color w:val="auto"/>
        </w:rPr>
      </w:pPr>
    </w:p>
    <w:p>
      <w:pPr>
        <w:sectPr>
          <w:pgSz w:w="11900" w:h="16838" w:orient="portrait"/>
          <w:cols w:equalWidth="0" w:num="2">
            <w:col w:w="3640" w:space="720"/>
            <w:col w:w="7060"/>
          </w:cols>
          <w:pgMar w:left="240" w:top="26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$500,000,000</w:t>
      </w:r>
    </w:p>
    <w:p>
      <w:pPr>
        <w:spacing w:after="0" w:line="211" w:lineRule="exact"/>
        <w:rPr>
          <w:sz w:val="20"/>
          <w:szCs w:val="20"/>
          <w:color w:val="auto"/>
        </w:rPr>
      </w:pPr>
    </w:p>
    <w:p>
      <w:pPr>
        <w:sectPr>
          <w:pgSz w:w="11900" w:h="16838" w:orient="portrait"/>
          <w:cols w:equalWidth="0" w:num="2">
            <w:col w:w="3640" w:space="720"/>
            <w:col w:w="7060"/>
          </w:cols>
          <w:pgMar w:left="240" w:top="26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15, 2023</w:t>
      </w:r>
    </w:p>
    <w:p>
      <w:pPr>
        <w:spacing w:after="0" w:line="211" w:lineRule="exact"/>
        <w:rPr>
          <w:sz w:val="20"/>
          <w:szCs w:val="20"/>
          <w:color w:val="auto"/>
        </w:rPr>
      </w:pPr>
    </w:p>
    <w:p>
      <w:pPr>
        <w:sectPr>
          <w:pgSz w:w="11900" w:h="16838" w:orient="portrait"/>
          <w:cols w:equalWidth="0" w:num="2">
            <w:col w:w="3640" w:space="720"/>
            <w:col w:w="7060"/>
          </w:cols>
          <w:pgMar w:left="240" w:top="26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Coupon: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2.400%</w:t>
      </w:r>
    </w:p>
    <w:p>
      <w:pPr>
        <w:spacing w:after="0" w:line="200" w:lineRule="exact"/>
        <w:rPr>
          <w:sz w:val="20"/>
          <w:szCs w:val="20"/>
          <w:color w:val="auto"/>
        </w:rPr>
      </w:pPr>
    </w:p>
    <w:p>
      <w:pPr>
        <w:sectPr>
          <w:pgSz w:w="11900" w:h="16838" w:orient="portrait"/>
          <w:cols w:equalWidth="0" w:num="2">
            <w:col w:w="3640" w:space="720"/>
            <w:col w:w="7060"/>
          </w:cols>
          <w:pgMar w:left="240" w:top="26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1.625% due April 30, 2023</w:t>
      </w:r>
    </w:p>
    <w:p>
      <w:pPr>
        <w:spacing w:after="0" w:line="200" w:lineRule="exact"/>
        <w:rPr>
          <w:sz w:val="20"/>
          <w:szCs w:val="20"/>
          <w:color w:val="auto"/>
        </w:rPr>
      </w:pPr>
    </w:p>
    <w:p>
      <w:pPr>
        <w:sectPr>
          <w:pgSz w:w="11900" w:h="16838" w:orient="portrait"/>
          <w:cols w:equalWidth="0" w:num="2">
            <w:col w:w="3640" w:space="720"/>
            <w:col w:w="7060"/>
          </w:cols>
          <w:pgMar w:left="240" w:top="266"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100-23 / 1.516%</w:t>
      </w:r>
    </w:p>
    <w:p>
      <w:pPr>
        <w:spacing w:after="0" w:line="200" w:lineRule="exact"/>
        <w:rPr>
          <w:sz w:val="20"/>
          <w:szCs w:val="20"/>
          <w:color w:val="auto"/>
        </w:rPr>
      </w:pPr>
    </w:p>
    <w:p>
      <w:pPr>
        <w:sectPr>
          <w:pgSz w:w="11900" w:h="16838" w:orient="portrait"/>
          <w:cols w:equalWidth="0" w:num="2">
            <w:col w:w="3640" w:space="720"/>
            <w:col w:w="7060"/>
          </w:cols>
          <w:pgMar w:left="240" w:top="266"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+90 basis points</w:t>
      </w:r>
    </w:p>
    <w:p>
      <w:pPr>
        <w:spacing w:after="0" w:line="211" w:lineRule="exact"/>
        <w:rPr>
          <w:sz w:val="20"/>
          <w:szCs w:val="20"/>
          <w:color w:val="auto"/>
        </w:rPr>
      </w:pPr>
    </w:p>
    <w:p>
      <w:pPr>
        <w:sectPr>
          <w:pgSz w:w="11900" w:h="16838" w:orient="portrait"/>
          <w:cols w:equalWidth="0" w:num="2">
            <w:col w:w="3640" w:space="720"/>
            <w:col w:w="7060"/>
          </w:cols>
          <w:pgMar w:left="240" w:top="26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Yield to Maturity: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2.416%</w:t>
      </w:r>
    </w:p>
    <w:p>
      <w:pPr>
        <w:spacing w:after="0" w:line="200" w:lineRule="exact"/>
        <w:rPr>
          <w:sz w:val="20"/>
          <w:szCs w:val="20"/>
          <w:color w:val="auto"/>
        </w:rPr>
      </w:pPr>
    </w:p>
    <w:p>
      <w:pPr>
        <w:sectPr>
          <w:pgSz w:w="11900" w:h="16838" w:orient="portrait"/>
          <w:cols w:equalWidth="0" w:num="2">
            <w:col w:w="3640" w:space="720"/>
            <w:col w:w="7060"/>
          </w:cols>
          <w:pgMar w:left="240" w:top="26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99.898% of face amount</w:t>
      </w:r>
    </w:p>
    <w:p>
      <w:pPr>
        <w:spacing w:after="0" w:line="211" w:lineRule="exact"/>
        <w:rPr>
          <w:sz w:val="20"/>
          <w:szCs w:val="20"/>
          <w:color w:val="auto"/>
        </w:rPr>
      </w:pPr>
    </w:p>
    <w:p>
      <w:pPr>
        <w:sectPr>
          <w:pgSz w:w="11900" w:h="16838" w:orient="portrait"/>
          <w:cols w:equalWidth="0" w:num="2">
            <w:col w:w="3640" w:space="720"/>
            <w:col w:w="7060"/>
          </w:cols>
          <w:pgMar w:left="240" w:top="26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Proceeds (before expenses):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$496,365,000</w:t>
      </w:r>
    </w:p>
    <w:p>
      <w:pPr>
        <w:spacing w:after="0" w:line="211" w:lineRule="exact"/>
        <w:rPr>
          <w:sz w:val="20"/>
          <w:szCs w:val="20"/>
          <w:color w:val="auto"/>
        </w:rPr>
      </w:pPr>
    </w:p>
    <w:p>
      <w:pPr>
        <w:sectPr>
          <w:pgSz w:w="11900" w:h="16838" w:orient="portrait"/>
          <w:cols w:equalWidth="0" w:num="2">
            <w:col w:w="3640" w:space="720"/>
            <w:col w:w="7060"/>
          </w:cols>
          <w:pgMar w:left="240" w:top="26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Semi-annually on May 15 and November 15, commencing on November 15, 2016.</w:t>
      </w:r>
    </w:p>
    <w:p>
      <w:pPr>
        <w:spacing w:after="0" w:line="200" w:lineRule="exact"/>
        <w:rPr>
          <w:sz w:val="20"/>
          <w:szCs w:val="20"/>
          <w:color w:val="auto"/>
        </w:rPr>
      </w:pPr>
    </w:p>
    <w:p>
      <w:pPr>
        <w:sectPr>
          <w:pgSz w:w="11900" w:h="16838" w:orient="portrait"/>
          <w:cols w:equalWidth="0" w:num="2">
            <w:col w:w="3640" w:space="720"/>
            <w:col w:w="7060"/>
          </w:cols>
          <w:pgMar w:left="240" w:top="26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Provisions: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Notes are redeemable at any time prior to March 15, 2023 (two months prior to the maturity date), in whole or from time to time in part, at the option of the Company, at a make whole redemption price using the applicable Treasury rate plus 15 basis points (as defined and described in further detail in the Prospectus Supplement). The Notes are redeemable on or after March 15, 2023 (two months prior to the maturity date), in whole or from time to time in part, at the option of the Company, at par.</w:t>
      </w:r>
    </w:p>
    <w:p>
      <w:pPr>
        <w:sectPr>
          <w:pgSz w:w="11900" w:h="16838" w:orient="portrait"/>
          <w:cols w:equalWidth="0" w:num="2">
            <w:col w:w="3640" w:space="720"/>
            <w:col w:w="7060"/>
          </w:cols>
          <w:pgMar w:left="240" w:top="266" w:right="2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94106L BD0 / US94106LBD01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-206375</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6840"/>
          </w:cols>
          <w:pgMar w:left="240" w:top="270" w:right="459" w:bottom="1440" w:gutter="0" w:footer="0" w:header="0"/>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Merrill Lynch, Pierce, Fenner &amp; Smith</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Inc.</w:t>
      </w:r>
    </w:p>
    <w:p>
      <w:pPr>
        <w:spacing w:after="0" w:line="200" w:lineRule="exact"/>
        <w:rPr>
          <w:sz w:val="20"/>
          <w:szCs w:val="20"/>
          <w:color w:val="auto"/>
        </w:rPr>
      </w:pPr>
    </w:p>
    <w:p>
      <w:pPr>
        <w:sectPr>
          <w:pgSz w:w="11900" w:h="16838" w:orient="portrait"/>
          <w:cols w:equalWidth="0" w:num="2">
            <w:col w:w="3640" w:space="720"/>
            <w:col w:w="6840"/>
          </w:cols>
          <w:pgMar w:left="240" w:top="270" w:right="45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Comerica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Drexel Hamilton,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Siebert Brandford Shank &amp; Co., L.L.C.</w:t>
      </w:r>
    </w:p>
    <w:p>
      <w:pPr>
        <w:spacing w:after="0" w:line="200" w:lineRule="exact"/>
        <w:rPr>
          <w:sz w:val="20"/>
          <w:szCs w:val="20"/>
          <w:color w:val="auto"/>
        </w:rPr>
      </w:pPr>
    </w:p>
    <w:p>
      <w:pPr>
        <w:sectPr>
          <w:pgSz w:w="11900" w:h="16838" w:orient="portrait"/>
          <w:cols w:equalWidth="0" w:num="2">
            <w:col w:w="3640" w:space="720"/>
            <w:col w:w="6840"/>
          </w:cols>
          <w:pgMar w:left="240" w:top="270" w:right="459" w:bottom="1440" w:gutter="0" w:footer="0" w:header="0"/>
          <w:type w:val="continuous"/>
        </w:sectPr>
      </w:pPr>
    </w:p>
    <w:p>
      <w:pPr>
        <w:spacing w:after="0" w:line="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Citigroup Global Markets Inc. toll-free at 1-800-831-9146; (2) Merrill Lynch, Pierce, Fenner &amp; Smith Incorporated toll-free at 1-800-294-1322; or (3) Mizuho Securities USA Inc. toll-free at 1-866-271-7403.</w:t>
      </w:r>
    </w:p>
    <w:p>
      <w:pPr>
        <w:spacing w:after="0" w:line="18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p>
    <w:p>
      <w:pPr>
        <w:sectPr>
          <w:pgSz w:w="11900" w:h="16838" w:orient="portrait"/>
          <w:cols w:equalWidth="0" w:num="1">
            <w:col w:w="11200"/>
          </w:cols>
          <w:pgMar w:left="240" w:top="270" w:right="459"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Representatives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Merrill Lynch, Pierce, Fenner &amp; Smith</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Inc.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Underwriters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149"/>
        </w:trPr>
        <w:tc>
          <w:tcPr>
            <w:tcW w:w="65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r>
      <w:tr>
        <w:trPr>
          <w:trHeight w:val="149"/>
        </w:trPr>
        <w:tc>
          <w:tcPr>
            <w:tcW w:w="65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Notes</w:t>
            </w:r>
          </w:p>
        </w:tc>
      </w:tr>
      <w:tr>
        <w:trPr>
          <w:trHeight w:val="149"/>
        </w:trPr>
        <w:tc>
          <w:tcPr>
            <w:tcW w:w="65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r>
      <w:tr>
        <w:trPr>
          <w:trHeight w:val="187"/>
        </w:trPr>
        <w:tc>
          <w:tcPr>
            <w:tcW w:w="65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Purchased</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145,000,000</w:t>
            </w:r>
          </w:p>
        </w:tc>
        <w:tc>
          <w:tcPr>
            <w:tcW w:w="100" w:type="dxa"/>
            <w:vAlign w:val="bottom"/>
            <w:shd w:val="clear" w:color="auto" w:fill="CCEEFF"/>
          </w:tcPr>
          <w:p>
            <w:pPr>
              <w:spacing w:after="0"/>
              <w:rPr>
                <w:sz w:val="18"/>
                <w:szCs w:val="18"/>
                <w:color w:val="auto"/>
              </w:rPr>
            </w:pPr>
          </w:p>
        </w:tc>
      </w:tr>
      <w:tr>
        <w:trPr>
          <w:trHeight w:val="198"/>
        </w:trPr>
        <w:tc>
          <w:tcPr>
            <w:tcW w:w="6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Merrill Lynch, Pierce, Fenner &amp; Smith</w:t>
            </w:r>
          </w:p>
        </w:tc>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65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Incorporated</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145,000,000</w:t>
            </w:r>
          </w:p>
        </w:tc>
        <w:tc>
          <w:tcPr>
            <w:tcW w:w="100" w:type="dxa"/>
            <w:vAlign w:val="bottom"/>
          </w:tcPr>
          <w:p>
            <w:pPr>
              <w:spacing w:after="0"/>
              <w:rPr>
                <w:sz w:val="21"/>
                <w:szCs w:val="2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Inc.</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145,000,000</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20,000,000</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15,000,000</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Comerica Securities, Inc.</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10,000,000</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Drexel Hamilton, LLC</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10,000,000</w:t>
            </w: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Siebert Brandford Shank &amp; Co., L.L.C.</w:t>
            </w:r>
          </w:p>
        </w:tc>
        <w:tc>
          <w:tcPr>
            <w:tcW w:w="3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10,000,000</w:t>
            </w:r>
          </w:p>
        </w:tc>
      </w:tr>
      <w:tr>
        <w:trPr>
          <w:trHeight w:val="216"/>
        </w:trPr>
        <w:tc>
          <w:tcPr>
            <w:tcW w:w="65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w:t>
            </w:r>
          </w:p>
        </w:tc>
        <w:tc>
          <w:tcPr>
            <w:tcW w:w="37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500,000,000</w:t>
            </w:r>
          </w:p>
        </w:tc>
        <w:tc>
          <w:tcPr>
            <w:tcW w:w="100" w:type="dxa"/>
            <w:vAlign w:val="bottom"/>
            <w:shd w:val="clear" w:color="auto" w:fill="CCEEFF"/>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66" w:right="239" w:bottom="1440" w:gutter="0" w:footer="0" w:header="0"/>
        </w:sectPr>
      </w:pPr>
    </w:p>
    <w:bookmarkStart w:id="39" w:name="page40"/>
    <w:bookmarkEnd w:id="39"/>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FREE WRITING PROSPECTUSES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 Pricing Term Sheet, substantially in the form of Schedule I attached to this Agreement.</w:t>
      </w:r>
    </w:p>
    <w:p>
      <w:pPr>
        <w:sectPr>
          <w:pgSz w:w="11900" w:h="16838" w:orient="portrait"/>
          <w:cols w:equalWidth="0" w:num="1">
            <w:col w:w="10219"/>
          </w:cols>
          <w:pgMar w:left="240" w:top="266" w:right="1440"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301 of the Indenture dated as of September 10, 1997</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undersigned, the Vice President and Treasurer, and the Corporate Secretary of Waste Management, Inc. (the “Company”), hereby certify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207" w:lineRule="exact"/>
        <w:rPr>
          <w:sz w:val="20"/>
          <w:szCs w:val="20"/>
          <w:color w:val="auto"/>
        </w:rPr>
      </w:pPr>
    </w:p>
    <w:p>
      <w:pPr>
        <w:ind w:right="60" w:firstLine="921"/>
        <w:spacing w:after="0" w:line="261" w:lineRule="auto"/>
        <w:tabs>
          <w:tab w:leader="none" w:pos="109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May 16, 2016 (the “Order”) for the authentication and delivery by the Trustee of $500,000,000 aggregate principal amount of 2.400% Senior Notes due 2023 (the “Notes”).</w:t>
      </w:r>
    </w:p>
    <w:p>
      <w:pPr>
        <w:spacing w:after="0" w:line="180"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have read Sections 102, 103, 301 and 303 of the Indenture and the definitions in the Indenture relating thereto.</w:t>
      </w:r>
    </w:p>
    <w:p>
      <w:pPr>
        <w:spacing w:after="0" w:line="225" w:lineRule="exact"/>
        <w:rPr>
          <w:rFonts w:ascii="Times New Roman" w:cs="Times New Roman" w:eastAsia="Times New Roman" w:hAnsi="Times New Roman"/>
          <w:sz w:val="18"/>
          <w:szCs w:val="18"/>
          <w:color w:val="auto"/>
        </w:rPr>
      </w:pPr>
    </w:p>
    <w:p>
      <w:pPr>
        <w:ind w:right="220" w:firstLine="921"/>
        <w:spacing w:after="0" w:line="282" w:lineRule="auto"/>
        <w:tabs>
          <w:tab w:leader="none" w:pos="109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61"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have examined the Order, and they have read the covenants, conditions and provisions of the Indenture relating thereto.</w:t>
      </w:r>
    </w:p>
    <w:p>
      <w:pPr>
        <w:spacing w:after="0" w:line="225" w:lineRule="exact"/>
        <w:rPr>
          <w:rFonts w:ascii="Times New Roman" w:cs="Times New Roman" w:eastAsia="Times New Roman" w:hAnsi="Times New Roman"/>
          <w:sz w:val="18"/>
          <w:szCs w:val="18"/>
          <w:color w:val="auto"/>
        </w:rPr>
      </w:pPr>
    </w:p>
    <w:p>
      <w:pPr>
        <w:ind w:right="360" w:firstLine="921"/>
        <w:spacing w:after="0" w:line="266" w:lineRule="auto"/>
        <w:tabs>
          <w:tab w:leader="none" w:pos="109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76" w:lineRule="exact"/>
        <w:rPr>
          <w:rFonts w:ascii="Times New Roman" w:cs="Times New Roman" w:eastAsia="Times New Roman" w:hAnsi="Times New Roman"/>
          <w:sz w:val="18"/>
          <w:szCs w:val="18"/>
          <w:color w:val="auto"/>
        </w:rPr>
      </w:pPr>
    </w:p>
    <w:p>
      <w:pPr>
        <w:ind w:right="40" w:firstLine="921"/>
        <w:spacing w:after="0" w:line="266" w:lineRule="auto"/>
        <w:tabs>
          <w:tab w:leader="none" w:pos="109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covenants and conditions (including all conditions precedent) provided in the Indenture to the authentication and delivery by the Trustee of $500,000,000 aggregate principal amount of the Notes have been complied with, and such Notes may be delivered in accordance with the Order as provided in the Indenture.</w:t>
      </w:r>
    </w:p>
    <w:p>
      <w:pPr>
        <w:spacing w:after="0" w:line="176" w:lineRule="exact"/>
        <w:rPr>
          <w:rFonts w:ascii="Times New Roman" w:cs="Times New Roman" w:eastAsia="Times New Roman" w:hAnsi="Times New Roman"/>
          <w:sz w:val="18"/>
          <w:szCs w:val="18"/>
          <w:color w:val="auto"/>
        </w:rPr>
      </w:pPr>
    </w:p>
    <w:p>
      <w:pPr>
        <w:ind w:right="80" w:firstLine="921"/>
        <w:spacing w:after="0" w:line="266" w:lineRule="auto"/>
        <w:tabs>
          <w:tab w:leader="none" w:pos="109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of the Notes (including the Form of Note) as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Officers’ Certificate have been approved by officers of the Company as duly authorized by resolutions of the Board of Directors of the Company as of August 20, 2015 and such resolutions, copies of which are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are in full force and effect as of the date hereof.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17"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hereunto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368935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Devina A. Rankin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330200</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Corporate Secretary</w:t>
      </w:r>
    </w:p>
    <w:p>
      <w:pPr>
        <w:sectPr>
          <w:pgSz w:w="11900" w:h="16838" w:orient="portrait"/>
          <w:cols w:equalWidth="0" w:num="1">
            <w:col w:w="9299"/>
          </w:cols>
          <w:pgMar w:left="1160" w:top="270" w:right="1440" w:bottom="1440" w:gutter="0" w:footer="0" w:header="0"/>
        </w:sectPr>
      </w:pPr>
    </w:p>
    <w:bookmarkStart w:id="42" w:name="page43"/>
    <w:bookmarkEnd w:id="42"/>
    <w:p>
      <w:pPr>
        <w:jc w:val="center"/>
        <w:ind w:right="-79"/>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207"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Pursuant to authority granted by the Board of Directors of the Company on August 20, 2015 and the Sole Director of Waste Management Holdings, Inc. on October 19, 2015 and May 3, 2016,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93" w:lineRule="exact"/>
        <w:rPr>
          <w:sz w:val="20"/>
          <w:szCs w:val="20"/>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Securities shall be “2.400% Senior Notes due 2023” (the “Notes”).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general unsecured, senior obligations of the Company.</w:t>
      </w:r>
    </w:p>
    <w:p>
      <w:pPr>
        <w:spacing w:after="0" w:line="130" w:lineRule="exact"/>
        <w:rPr>
          <w:rFonts w:ascii="Times New Roman" w:cs="Times New Roman" w:eastAsia="Times New Roman" w:hAnsi="Times New Roman"/>
          <w:sz w:val="18"/>
          <w:szCs w:val="18"/>
          <w:color w:val="auto"/>
        </w:rPr>
      </w:pPr>
    </w:p>
    <w:p>
      <w:pPr>
        <w:ind w:left="460" w:right="100" w:hanging="452"/>
        <w:spacing w:after="0" w:line="261"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Notes that may be authenticated and delivered under the Indenture shall be $500,000,000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8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each Note shall be payable on May 15, 2023.</w:t>
      </w:r>
    </w:p>
    <w:p>
      <w:pPr>
        <w:spacing w:after="0" w:line="130" w:lineRule="exact"/>
        <w:rPr>
          <w:rFonts w:ascii="Times New Roman" w:cs="Times New Roman" w:eastAsia="Times New Roman" w:hAnsi="Times New Roman"/>
          <w:sz w:val="18"/>
          <w:szCs w:val="18"/>
          <w:color w:val="auto"/>
        </w:rPr>
      </w:pPr>
    </w:p>
    <w:p>
      <w:pPr>
        <w:ind w:left="460" w:right="160" w:hanging="452"/>
        <w:spacing w:after="0" w:line="261"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shall bear interest from May 16, 2016 at the fixed rate of 2.400% per annum; the Interest Payment Dates on which such interest shall be payable shall be May 15 and November 15, of each year, commencing November 15, 2016, until maturity unless such date falls on a day that is not a Business Day, in which case, such payment shall be made on the next day that is a Business Day. The Regular Record Date for the determination of Holders to whom interest is payable shall be May 1 or November 1, respectively, immediately preceding such date, as the case may be.</w:t>
      </w:r>
    </w:p>
    <w:p>
      <w:pPr>
        <w:spacing w:after="0" w:line="85"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81" w:lineRule="exact"/>
        <w:rPr>
          <w:rFonts w:ascii="Times New Roman" w:cs="Times New Roman" w:eastAsia="Times New Roman" w:hAnsi="Times New Roman"/>
          <w:sz w:val="18"/>
          <w:szCs w:val="18"/>
          <w:color w:val="auto"/>
        </w:rPr>
      </w:pPr>
    </w:p>
    <w:p>
      <w:pPr>
        <w:ind w:left="460" w:right="160" w:hanging="452"/>
        <w:spacing w:after="0" w:line="261"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ectPr>
          <w:pgSz w:w="11900" w:h="16838" w:orient="portrait"/>
          <w:cols w:equalWidth="0" w:num="1">
            <w:col w:w="11340"/>
          </w:cols>
          <w:pgMar w:left="240" w:top="266" w:right="319" w:bottom="1440" w:gutter="0" w:footer="0" w:header="0"/>
        </w:sectPr>
      </w:pPr>
    </w:p>
    <w:bookmarkStart w:id="43" w:name="page44"/>
    <w:bookmarkEnd w:id="43"/>
    <w:p>
      <w:pPr>
        <w:ind w:left="452" w:right="180" w:hanging="452"/>
        <w:spacing w:after="0" w:line="261" w:lineRule="auto"/>
        <w:tabs>
          <w:tab w:leader="none" w:pos="4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85" w:lineRule="exact"/>
        <w:rPr>
          <w:rFonts w:ascii="Times New Roman" w:cs="Times New Roman" w:eastAsia="Times New Roman" w:hAnsi="Times New Roman"/>
          <w:sz w:val="18"/>
          <w:szCs w:val="18"/>
          <w:color w:val="auto"/>
        </w:rPr>
      </w:pPr>
    </w:p>
    <w:p>
      <w:pPr>
        <w:ind w:left="452" w:hanging="452"/>
        <w:spacing w:after="0" w:line="255" w:lineRule="auto"/>
        <w:tabs>
          <w:tab w:leader="none" w:pos="4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15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March 15, 2023.</w:t>
      </w:r>
    </w:p>
    <w:p>
      <w:pPr>
        <w:spacing w:after="0" w:line="90" w:lineRule="exact"/>
        <w:rPr>
          <w:rFonts w:ascii="Times New Roman" w:cs="Times New Roman" w:eastAsia="Times New Roman" w:hAnsi="Times New Roman"/>
          <w:sz w:val="18"/>
          <w:szCs w:val="18"/>
          <w:color w:val="auto"/>
        </w:rPr>
      </w:pPr>
    </w:p>
    <w:p>
      <w:pPr>
        <w:ind w:left="452" w:right="520" w:hanging="452"/>
        <w:spacing w:after="0" w:line="282" w:lineRule="auto"/>
        <w:tabs>
          <w:tab w:leader="none" w:pos="4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redeem, purchase or repay the Notes pursuant to any mandatory redemption, sinking fund or analogous provisions or at the option of a Holder thereof.</w:t>
      </w:r>
    </w:p>
    <w:p>
      <w:pPr>
        <w:spacing w:after="0" w:line="67" w:lineRule="exact"/>
        <w:rPr>
          <w:rFonts w:ascii="Times New Roman" w:cs="Times New Roman" w:eastAsia="Times New Roman" w:hAnsi="Times New Roman"/>
          <w:sz w:val="18"/>
          <w:szCs w:val="18"/>
          <w:color w:val="auto"/>
        </w:rPr>
      </w:pPr>
    </w:p>
    <w:p>
      <w:pPr>
        <w:ind w:left="452" w:right="980" w:hanging="452"/>
        <w:spacing w:after="0" w:line="282" w:lineRule="auto"/>
        <w:tabs>
          <w:tab w:leader="none" w:pos="4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subject to defeasance and discharge as contemplated by Section 1302 of the Indenture and to covenant defeasance under Section 1303 of the Indenture.</w:t>
      </w:r>
    </w:p>
    <w:p>
      <w:pPr>
        <w:spacing w:after="0" w:line="67"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entitled to the benefit of the covenants contained in Sections 1008 and 1009 of the Indenture.</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of New York Mellon Trust Company, N.A. shall serve initially as Security Registrar for the Notes.</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substantially in the form of Exhibit A hereto.</w:t>
      </w:r>
    </w:p>
    <w:p>
      <w:pPr>
        <w:spacing w:after="0" w:line="130" w:lineRule="exact"/>
        <w:rPr>
          <w:rFonts w:ascii="Times New Roman" w:cs="Times New Roman" w:eastAsia="Times New Roman" w:hAnsi="Times New Roman"/>
          <w:sz w:val="18"/>
          <w:szCs w:val="18"/>
          <w:color w:val="auto"/>
        </w:rPr>
      </w:pPr>
    </w:p>
    <w:p>
      <w:pPr>
        <w:ind w:left="452" w:right="240" w:hanging="452"/>
        <w:spacing w:after="0" w:line="281" w:lineRule="auto"/>
        <w:tabs>
          <w:tab w:leader="none" w:pos="452"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Notes will be fully and unconditionally guaranteed on a senior basis by the Company’s wholly owned subsidiary, Waste Management Holdings, Inc., pursuant to the terms and conditions of a Guarantee Agreement dated May 16, 2016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ectPr>
          <w:pgSz w:w="11900" w:h="16838" w:orient="portrait"/>
          <w:cols w:equalWidth="0" w:num="1">
            <w:col w:w="11412"/>
          </w:cols>
          <w:pgMar w:left="248" w:top="270"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BOOK-ENTRY SECURITY</w:t>
      </w:r>
    </w:p>
    <w:p>
      <w:pPr>
        <w:spacing w:after="0" w:line="225" w:lineRule="exact"/>
        <w:rPr>
          <w:sz w:val="20"/>
          <w:szCs w:val="20"/>
          <w:color w:val="auto"/>
        </w:rPr>
      </w:pPr>
    </w:p>
    <w:p>
      <w:pPr>
        <w:ind w:right="220" w:firstLine="456"/>
        <w:spacing w:after="0" w:line="274" w:lineRule="auto"/>
        <w:rPr>
          <w:sz w:val="20"/>
          <w:szCs w:val="20"/>
          <w:color w:val="auto"/>
        </w:rPr>
      </w:pPr>
      <w:r>
        <w:rPr>
          <w:rFonts w:ascii="Times New Roman" w:cs="Times New Roman" w:eastAsia="Times New Roman" w:hAnsi="Times New Roman"/>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7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RGN</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414"/>
        </w:trPr>
        <w:tc>
          <w:tcPr>
            <w:tcW w:w="848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U.S. $,</w:t>
            </w:r>
          </w:p>
        </w:tc>
      </w:tr>
      <w:tr>
        <w:trPr>
          <w:trHeight w:val="216"/>
        </w:trPr>
        <w:tc>
          <w:tcPr>
            <w:tcW w:w="8480" w:type="dxa"/>
            <w:vAlign w:val="bottom"/>
          </w:tcPr>
          <w:p>
            <w:pPr>
              <w:spacing w:after="0"/>
              <w:rPr>
                <w:sz w:val="18"/>
                <w:szCs w:val="18"/>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which may be decreased</w:t>
            </w:r>
          </w:p>
        </w:tc>
      </w:tr>
      <w:tr>
        <w:trPr>
          <w:trHeight w:val="216"/>
        </w:trPr>
        <w:tc>
          <w:tcPr>
            <w:tcW w:w="8480" w:type="dxa"/>
            <w:vAlign w:val="bottom"/>
          </w:tcPr>
          <w:p>
            <w:pPr>
              <w:spacing w:after="0"/>
              <w:rPr>
                <w:sz w:val="18"/>
                <w:szCs w:val="18"/>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by the Schedule of</w:t>
            </w:r>
          </w:p>
        </w:tc>
      </w:tr>
      <w:tr>
        <w:trPr>
          <w:trHeight w:val="216"/>
        </w:trPr>
        <w:tc>
          <w:tcPr>
            <w:tcW w:w="8480" w:type="dxa"/>
            <w:vAlign w:val="bottom"/>
          </w:tcPr>
          <w:p>
            <w:pPr>
              <w:spacing w:after="0"/>
              <w:rPr>
                <w:sz w:val="18"/>
                <w:szCs w:val="18"/>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Exchanges of Definitive</w:t>
            </w:r>
          </w:p>
        </w:tc>
      </w:tr>
      <w:tr>
        <w:trPr>
          <w:trHeight w:val="248"/>
        </w:trPr>
        <w:tc>
          <w:tcPr>
            <w:tcW w:w="8480" w:type="dxa"/>
            <w:vAlign w:val="bottom"/>
          </w:tcPr>
          <w:p>
            <w:pPr>
              <w:jc w:val="center"/>
              <w:ind w:left="3330"/>
              <w:spacing w:after="0"/>
              <w:rPr>
                <w:sz w:val="20"/>
                <w:szCs w:val="20"/>
                <w:color w:val="auto"/>
              </w:rPr>
            </w:pPr>
            <w:r>
              <w:rPr>
                <w:rFonts w:ascii="Times New Roman" w:cs="Times New Roman" w:eastAsia="Times New Roman" w:hAnsi="Times New Roman"/>
                <w:sz w:val="18"/>
                <w:szCs w:val="18"/>
                <w:color w:val="auto"/>
                <w:w w:val="98"/>
              </w:rPr>
              <w:t>WASTE MANAGEMENT, INC.</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Security attached hereto</w:t>
            </w:r>
          </w:p>
        </w:tc>
      </w:tr>
      <w:tr>
        <w:trPr>
          <w:trHeight w:val="432"/>
        </w:trPr>
        <w:tc>
          <w:tcPr>
            <w:tcW w:w="8480" w:type="dxa"/>
            <w:vAlign w:val="bottom"/>
          </w:tcPr>
          <w:p>
            <w:pPr>
              <w:jc w:val="center"/>
              <w:ind w:left="3330"/>
              <w:spacing w:after="0"/>
              <w:rPr>
                <w:sz w:val="20"/>
                <w:szCs w:val="20"/>
                <w:color w:val="auto"/>
              </w:rPr>
            </w:pPr>
            <w:r>
              <w:rPr>
                <w:rFonts w:ascii="Times New Roman" w:cs="Times New Roman" w:eastAsia="Times New Roman" w:hAnsi="Times New Roman"/>
                <w:sz w:val="18"/>
                <w:szCs w:val="18"/>
                <w:color w:val="auto"/>
              </w:rPr>
              <w:t>2.400% SENIOR NOTES DUE 2023</w:t>
            </w:r>
          </w:p>
        </w:tc>
        <w:tc>
          <w:tcPr>
            <w:tcW w:w="2940" w:type="dxa"/>
            <w:vAlign w:val="bottom"/>
          </w:tcPr>
          <w:p>
            <w:pPr>
              <w:spacing w:after="0"/>
              <w:rPr>
                <w:sz w:val="24"/>
                <w:szCs w:val="24"/>
                <w:color w:val="auto"/>
              </w:rPr>
            </w:pPr>
          </w:p>
        </w:tc>
      </w:tr>
      <w:tr>
        <w:trPr>
          <w:trHeight w:val="432"/>
        </w:trPr>
        <w:tc>
          <w:tcPr>
            <w:tcW w:w="848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CUSIP 94106L BD0</w:t>
            </w:r>
          </w:p>
        </w:tc>
      </w:tr>
    </w:tbl>
    <w:p>
      <w:pPr>
        <w:spacing w:after="0" w:line="198" w:lineRule="exact"/>
        <w:rPr>
          <w:sz w:val="20"/>
          <w:szCs w:val="20"/>
          <w:color w:val="auto"/>
        </w:rPr>
      </w:pPr>
    </w:p>
    <w:p>
      <w:pPr>
        <w:jc w:val="both"/>
        <w:ind w:right="20" w:firstLine="456"/>
        <w:spacing w:after="0" w:line="261" w:lineRule="auto"/>
        <w:rPr>
          <w:sz w:val="20"/>
          <w:szCs w:val="20"/>
          <w:color w:val="auto"/>
        </w:rPr>
      </w:pPr>
      <w:r>
        <w:rPr>
          <w:rFonts w:ascii="Times New Roman" w:cs="Times New Roman" w:eastAsia="Times New Roman" w:hAnsi="Times New Roman"/>
          <w:sz w:val="18"/>
          <w:szCs w:val="18"/>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w:t>
      </w:r>
    </w:p>
    <w:p>
      <w:pPr>
        <w:spacing w:after="0" w:line="253" w:lineRule="auto"/>
        <w:rPr>
          <w:sz w:val="20"/>
          <w:szCs w:val="20"/>
          <w:color w:val="auto"/>
        </w:rPr>
      </w:pPr>
      <w:r>
        <w:rPr>
          <w:rFonts w:ascii="Times New Roman" w:cs="Times New Roman" w:eastAsia="Times New Roman" w:hAnsi="Times New Roman"/>
          <w:sz w:val="18"/>
          <w:szCs w:val="18"/>
          <w:color w:val="auto"/>
        </w:rPr>
        <w:t>Million ($ ) U.S. dollars, or such lesser principal sum as is shown on the attached Schedule of Exchanges of Definitive Security, on May 15, 2023 in such coin or currency of the United States of America as at the time of payment shall be legal tender for the payment of public and private debts, and to pay interest at an annual rate of 2.400% payable on May 15 and November 15 of each year, to the person in whose name this Security is registered at the close of business on the record date for such interest, which shall be the preceding May 1 or November 1, respectively, payable commencing November 15, 2016, with interest consisting of interest accrued from May 16, 2016.</w:t>
      </w:r>
    </w:p>
    <w:p>
      <w:pPr>
        <w:sectPr>
          <w:pgSz w:w="11900" w:h="16838" w:orient="portrait"/>
          <w:cols w:equalWidth="0" w:num="1">
            <w:col w:w="11420"/>
          </w:cols>
          <w:pgMar w:left="240" w:top="270" w:right="239" w:bottom="1440" w:gutter="0" w:footer="0" w:header="0"/>
        </w:sectPr>
      </w:pPr>
    </w:p>
    <w:bookmarkStart w:id="45" w:name="page46"/>
    <w:bookmarkEnd w:id="45"/>
    <w:p>
      <w:pPr>
        <w:ind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 is made to the further provisions of this Security set forth on the reverse hereof. Such further provisions shall for all purposes have the same effect as though fully set forth at this place.</w:t>
      </w:r>
    </w:p>
    <w:p>
      <w:pPr>
        <w:spacing w:after="0" w:line="162"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6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This Security is issued in respect of a series of Securities of an initial aggregate of U.S. $500,000,000 in principal amount designated as the 2.400% Senior Notes due 2023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8"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76"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Company hereby irrevocably undertakes to the Holder hereof to exchange this Security in accordance with the terms of the Indenture without charge.</w:t>
      </w:r>
    </w:p>
    <w:p>
      <w:pPr>
        <w:sectPr>
          <w:pgSz w:w="11900" w:h="16838" w:orient="portrait"/>
          <w:cols w:equalWidth="0" w:num="1">
            <w:col w:w="11320"/>
          </w:cols>
          <w:pgMar w:left="240" w:top="270" w:right="339" w:bottom="1440" w:gutter="0" w:footer="0" w:header="0"/>
        </w:sectPr>
      </w:pPr>
    </w:p>
    <w:bookmarkStart w:id="46" w:name="page47"/>
    <w:bookmarkEnd w:id="46"/>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Security shall not be valid or become obligatory for any purpose until the Certificate of Authentication hereon shall have been manually signed by the Trustee under the Indenture.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under its corporate seal.</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Dated: May 16, 2016</w:t>
            </w:r>
          </w:p>
        </w:tc>
        <w:tc>
          <w:tcPr>
            <w:tcW w:w="696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234"/>
        </w:trPr>
        <w:tc>
          <w:tcPr>
            <w:tcW w:w="4460" w:type="dxa"/>
            <w:vAlign w:val="bottom"/>
          </w:tcPr>
          <w:p>
            <w:pPr>
              <w:spacing w:after="0"/>
              <w:rPr>
                <w:sz w:val="20"/>
                <w:szCs w:val="20"/>
                <w:color w:val="auto"/>
              </w:rPr>
            </w:pPr>
          </w:p>
        </w:tc>
        <w:tc>
          <w:tcPr>
            <w:tcW w:w="696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46"/>
        </w:trPr>
        <w:tc>
          <w:tcPr>
            <w:tcW w:w="4460" w:type="dxa"/>
            <w:vAlign w:val="bottom"/>
          </w:tcPr>
          <w:p>
            <w:pPr>
              <w:spacing w:after="0"/>
              <w:rPr>
                <w:sz w:val="24"/>
                <w:szCs w:val="24"/>
                <w:color w:val="auto"/>
              </w:rPr>
            </w:pPr>
          </w:p>
        </w:tc>
        <w:tc>
          <w:tcPr>
            <w:tcW w:w="696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4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1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Devina A. Rankin</w:t>
            </w:r>
          </w:p>
        </w:tc>
      </w:tr>
      <w:tr>
        <w:trPr>
          <w:trHeight w:val="234"/>
        </w:trPr>
        <w:tc>
          <w:tcPr>
            <w:tcW w:w="44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446"/>
        </w:trPr>
        <w:tc>
          <w:tcPr>
            <w:tcW w:w="4460" w:type="dxa"/>
            <w:vAlign w:val="bottom"/>
          </w:tcPr>
          <w:p>
            <w:pPr>
              <w:spacing w:after="0"/>
              <w:rPr>
                <w:sz w:val="24"/>
                <w:szCs w:val="24"/>
                <w:color w:val="auto"/>
              </w:rPr>
            </w:pPr>
          </w:p>
        </w:tc>
        <w:tc>
          <w:tcPr>
            <w:tcW w:w="696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Attest:</w:t>
            </w:r>
          </w:p>
        </w:tc>
      </w:tr>
      <w:tr>
        <w:trPr>
          <w:trHeight w:val="432"/>
        </w:trPr>
        <w:tc>
          <w:tcPr>
            <w:tcW w:w="4460" w:type="dxa"/>
            <w:vAlign w:val="bottom"/>
          </w:tcPr>
          <w:p>
            <w:pPr>
              <w:spacing w:after="0"/>
              <w:rPr>
                <w:sz w:val="24"/>
                <w:szCs w:val="24"/>
                <w:color w:val="auto"/>
              </w:rPr>
            </w:pPr>
          </w:p>
        </w:tc>
        <w:tc>
          <w:tcPr>
            <w:tcW w:w="696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4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1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Courtney A. Tippy</w:t>
            </w:r>
          </w:p>
        </w:tc>
      </w:tr>
      <w:tr>
        <w:trPr>
          <w:trHeight w:val="234"/>
        </w:trPr>
        <w:tc>
          <w:tcPr>
            <w:tcW w:w="44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44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AUTHENTICATION</w:t>
            </w:r>
          </w:p>
        </w:tc>
        <w:tc>
          <w:tcPr>
            <w:tcW w:w="182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of Authentication: May 16, 2016</w:t>
      </w:r>
      <w:r>
        <w:rPr>
          <w:sz w:val="20"/>
          <w:szCs w:val="20"/>
          <w:color w:val="auto"/>
        </w:rPr>
        <w:tab/>
      </w:r>
      <w:r>
        <w:rPr>
          <w:rFonts w:ascii="Times New Roman" w:cs="Times New Roman" w:eastAsia="Times New Roman" w:hAnsi="Times New Roman"/>
          <w:sz w:val="17"/>
          <w:szCs w:val="17"/>
          <w:color w:val="auto"/>
        </w:rPr>
        <w:t>The Bank of New York Mellon Trust Company, N.A., as Trustee</w:t>
      </w:r>
    </w:p>
    <w:p>
      <w:pPr>
        <w:spacing w:after="0" w:line="25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0</wp:posOffset>
            </wp:positionV>
            <wp:extent cx="32588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Lawrence M. Kusch</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Vice President</w:t>
      </w:r>
    </w:p>
    <w:p>
      <w:pPr>
        <w:sectPr>
          <w:pgSz w:w="11900" w:h="16838" w:orient="portrait"/>
          <w:cols w:equalWidth="0" w:num="1">
            <w:col w:w="11420"/>
          </w:cols>
          <w:pgMar w:left="240" w:top="270" w:right="2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BOOK-ENTRY SECURITY</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2.400% SENIOR NOTES DUE 2023</w:t>
      </w:r>
    </w:p>
    <w:p>
      <w:pPr>
        <w:spacing w:after="0" w:line="225"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2.400% Senior Notes due 2023 of the Company, in initial aggregate principal amount of $500,000,000 (the “Securities”).</w:t>
      </w:r>
    </w:p>
    <w:p>
      <w:pPr>
        <w:spacing w:after="0" w:line="336" w:lineRule="exact"/>
        <w:rPr>
          <w:sz w:val="20"/>
          <w:szCs w:val="20"/>
          <w:color w:val="auto"/>
        </w:rPr>
      </w:pPr>
    </w:p>
    <w:p>
      <w:pPr>
        <w:ind w:left="900" w:hanging="446"/>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promises to pay interest on the principal amount of this Security at the rate of 2.400% per annum.</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will pay interest semi-annually on May 15 and November 15 of each year (each an “Interest Payment Date”), commencing November 15, 2016. Interest on the Securities will accrue from the most recent date to which interest has been paid or, if no interest has been paid on the Securities, from May 16, 2016.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2.400% per annum, in each case to the extent lawful.</w:t>
      </w:r>
    </w:p>
    <w:p>
      <w:pPr>
        <w:spacing w:after="0" w:line="331" w:lineRule="exact"/>
        <w:rPr>
          <w:sz w:val="20"/>
          <w:szCs w:val="20"/>
          <w:color w:val="auto"/>
        </w:rPr>
      </w:pPr>
    </w:p>
    <w:p>
      <w:pPr>
        <w:ind w:left="900" w:hanging="446"/>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p>
    <w:p>
      <w:pPr>
        <w:spacing w:after="0" w:line="11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w:t>
      </w:r>
    </w:p>
    <w:p>
      <w:pPr>
        <w:sectPr>
          <w:pgSz w:w="11900" w:h="16838" w:orient="portrait"/>
          <w:cols w:equalWidth="0" w:num="1">
            <w:col w:w="11420"/>
          </w:cols>
          <w:pgMar w:left="240" w:top="270" w:right="239" w:bottom="1440" w:gutter="0" w:footer="0" w:header="0"/>
        </w:sectPr>
      </w:pPr>
    </w:p>
    <w:bookmarkStart w:id="48" w:name="page49"/>
    <w:bookmarkEnd w:id="48"/>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331" w:lineRule="exact"/>
        <w:rPr>
          <w:sz w:val="20"/>
          <w:szCs w:val="20"/>
          <w:color w:val="auto"/>
        </w:rPr>
      </w:pPr>
    </w:p>
    <w:p>
      <w:pPr>
        <w:ind w:left="900" w:hanging="446"/>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Paying Agent and Registrar.</w:t>
      </w:r>
    </w:p>
    <w:p>
      <w:pPr>
        <w:spacing w:after="0" w:line="119"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323" w:lineRule="exact"/>
        <w:rPr>
          <w:sz w:val="20"/>
          <w:szCs w:val="20"/>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Security is one of a duly authorized issue of Debt Securities of the Company issued and to be issued in one or more series under the Indenture.</w:t>
      </w:r>
    </w:p>
    <w:p>
      <w:pPr>
        <w:spacing w:after="0" w:line="225"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20, 2015 (the “Resolutions”) and the written consents of the Sole Director of Waste Management Holdings, Inc. on October 19, 2015 and May 3, 2016 (the “Consents”). The Securities are subject to all such terms, and Holders of Securities are referred to the Indenture, all indentures supplemental thereto, said Act, said Resolutions and said Consents and Officers’ Certificate for a statement of them. The Securities of this series are general unsecured obligations of the Company limited with an initial aggregate principal amount of $500,000,000.</w:t>
      </w:r>
    </w:p>
    <w:p>
      <w:pPr>
        <w:spacing w:after="0" w:line="336" w:lineRule="exact"/>
        <w:rPr>
          <w:sz w:val="20"/>
          <w:szCs w:val="20"/>
          <w:color w:val="auto"/>
        </w:rPr>
      </w:pPr>
    </w:p>
    <w:p>
      <w:pPr>
        <w:ind w:left="900" w:hanging="446"/>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15 basis points; plus, in either case, accrued interest to the Redemption Date.</w:t>
      </w:r>
    </w:p>
    <w:p>
      <w:pPr>
        <w:spacing w:after="0" w:line="188"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ectPr>
          <w:pgSz w:w="11900" w:h="16838" w:orient="portrait"/>
          <w:cols w:equalWidth="0" w:num="1">
            <w:col w:w="11400"/>
          </w:cols>
          <w:pgMar w:left="240" w:top="270" w:right="259" w:bottom="1440" w:gutter="0" w:footer="0" w:header="0"/>
        </w:sectPr>
      </w:pPr>
    </w:p>
    <w:bookmarkStart w:id="49" w:name="page50"/>
    <w:bookmarkEnd w:id="49"/>
    <w:p>
      <w:pPr>
        <w:ind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purposes of determining the Make-Whole Price, the following definitions are applicable:</w:t>
      </w:r>
    </w:p>
    <w:p>
      <w:pPr>
        <w:spacing w:after="0" w:line="22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80"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80" w:lineRule="exact"/>
        <w:rPr>
          <w:sz w:val="20"/>
          <w:szCs w:val="20"/>
          <w:color w:val="auto"/>
        </w:rPr>
      </w:pPr>
    </w:p>
    <w:p>
      <w:pPr>
        <w:jc w:val="both"/>
        <w:ind w:right="440" w:firstLine="456"/>
        <w:spacing w:after="0" w:line="266" w:lineRule="auto"/>
        <w:rPr>
          <w:sz w:val="20"/>
          <w:szCs w:val="20"/>
          <w:color w:val="auto"/>
        </w:rPr>
      </w:pPr>
      <w:r>
        <w:rPr>
          <w:rFonts w:ascii="Times New Roman" w:cs="Times New Roman" w:eastAsia="Times New Roman" w:hAnsi="Times New Roman"/>
          <w:sz w:val="18"/>
          <w:szCs w:val="18"/>
          <w:color w:val="auto"/>
        </w:rPr>
        <w:t>“Independent Investment Banker” means any of Citigroup Global Markets Inc., Merrill Lynch, Pierce, Fenner &amp; Smith Incorporated and Mizuho Securities USA Inc. (and their respective successors), or, if all such firms are unwilling or unable to select the applicable Comparable Treasury Issue, an independent investment banking institution of national standing appointed by the Company.</w:t>
      </w:r>
    </w:p>
    <w:p>
      <w:pPr>
        <w:spacing w:after="0" w:line="176"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“Comparable Treasury Price” means, with respect to any Redemption Date,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“Par Call Date” means March 15, 2023.</w:t>
      </w:r>
    </w:p>
    <w:p>
      <w:pPr>
        <w:sectPr>
          <w:pgSz w:w="11900" w:h="16838" w:orient="portrait"/>
          <w:cols w:equalWidth="0" w:num="1">
            <w:col w:w="11400"/>
          </w:cols>
          <w:pgMar w:left="240" w:top="270" w:right="259" w:bottom="1440" w:gutter="0" w:footer="0" w:header="0"/>
        </w:sectPr>
      </w:pPr>
    </w:p>
    <w:bookmarkStart w:id="50" w:name="page51"/>
    <w:bookmarkEnd w:id="50"/>
    <w:p>
      <w:pPr>
        <w:ind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 Treasury Dealer” means (i) each of Citigroup Global Markets Inc., Merrill Lynch, Pierce, Fenner &amp; Smith Incorporated and Mizuho Securities USA Inc.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80" w:lineRule="exact"/>
        <w:rPr>
          <w:sz w:val="20"/>
          <w:szCs w:val="20"/>
          <w:color w:val="auto"/>
        </w:rPr>
      </w:pPr>
    </w:p>
    <w:p>
      <w:pPr>
        <w:ind w:right="480" w:firstLine="456"/>
        <w:spacing w:after="0" w:line="261" w:lineRule="auto"/>
        <w:rPr>
          <w:sz w:val="20"/>
          <w:szCs w:val="20"/>
          <w:color w:val="auto"/>
        </w:rPr>
      </w:pPr>
      <w:r>
        <w:rPr>
          <w:rFonts w:ascii="Times New Roman" w:cs="Times New Roman" w:eastAsia="Times New Roman" w:hAnsi="Times New Roman"/>
          <w:sz w:val="18"/>
          <w:szCs w:val="18"/>
          <w:color w:val="auto"/>
        </w:rPr>
        <w:t>“Reference Treasury Dealer Quotations” means, with respect to each Reference Treasury Dealer and any Redemption Date for the Securities, an average, as determined by the Trustee, of the bid and asked prices for the Comparable Treasury Issue for the Securities (expressed in each case as a percentage of its principal amount) quoted in writing to the Trustee by such Reference Treasury Dealer at 5:00 p.m., New York City time, on the third Business Day preceding such Redemption Date.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Except as set forth above, the Securities will not be redeemable prior to their Stated Maturity and will not be entitled to the benefit of any sinking fund.</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Securities may be redeemed in part in a minimum principal amount of $2,000, or any integral multiple of $1,000 in excess thereof.</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such redemption will also comply with Article Eleven of the Indenture.</w:t>
      </w:r>
    </w:p>
    <w:p>
      <w:pPr>
        <w:spacing w:after="0" w:line="372" w:lineRule="exact"/>
        <w:rPr>
          <w:sz w:val="20"/>
          <w:szCs w:val="20"/>
          <w:color w:val="auto"/>
        </w:rPr>
      </w:pPr>
    </w:p>
    <w:p>
      <w:pPr>
        <w:ind w:left="900" w:hanging="446"/>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 Offer.</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88"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ectPr>
          <w:pgSz w:w="11900" w:h="16838" w:orient="portrait"/>
          <w:cols w:equalWidth="0" w:num="1">
            <w:col w:w="11340"/>
          </w:cols>
          <w:pgMar w:left="240" w:top="270" w:right="319"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Change of Control Payment Date, the Company shall, to the extent lawful:</w:t>
      </w:r>
    </w:p>
    <w:p>
      <w:pPr>
        <w:spacing w:after="0" w:line="131" w:lineRule="exact"/>
        <w:rPr>
          <w:sz w:val="20"/>
          <w:szCs w:val="20"/>
          <w:color w:val="auto"/>
        </w:rPr>
      </w:pPr>
    </w:p>
    <w:p>
      <w:pPr>
        <w:ind w:left="900" w:hanging="446"/>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Securities or portions of Securities properly tendered and not withdrawn pursuant to the Change of Control Offer;</w:t>
      </w:r>
    </w:p>
    <w:p>
      <w:pPr>
        <w:spacing w:after="0" w:line="130"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Securities or portions of Securities properly tendered; and</w:t>
      </w:r>
    </w:p>
    <w:p>
      <w:pPr>
        <w:spacing w:after="0" w:line="67" w:lineRule="exact"/>
        <w:rPr>
          <w:rFonts w:ascii="Times New Roman" w:cs="Times New Roman" w:eastAsia="Times New Roman" w:hAnsi="Times New Roman"/>
          <w:sz w:val="18"/>
          <w:szCs w:val="18"/>
          <w:color w:val="auto"/>
        </w:rPr>
      </w:pPr>
    </w:p>
    <w:p>
      <w:pPr>
        <w:ind w:left="900" w:right="580" w:hanging="446"/>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62"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84"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w:t>
      </w:r>
    </w:p>
    <w:p>
      <w:pPr>
        <w:sectPr>
          <w:pgSz w:w="11900" w:h="16838" w:orient="portrait"/>
          <w:cols w:equalWidth="0" w:num="1">
            <w:col w:w="11360"/>
          </w:cols>
          <w:pgMar w:left="240" w:top="270" w:right="299" w:bottom="1440" w:gutter="0" w:footer="0" w:header="0"/>
        </w:sectPr>
      </w:pPr>
    </w:p>
    <w:bookmarkStart w:id="52" w:name="page53"/>
    <w:bookmarkEnd w:id="5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direct or indirect parent company of the surviving person, measured by voting power rather than number of shares, immediately after giving effect to such transaction; (4) the first day on which a majority of the members of the Board of Directors of the Company are not Continuing Directors; or (5) the adoption of a plan relating to the liquidation or dissolution of the Company.</w:t>
      </w:r>
    </w:p>
    <w:p>
      <w:pPr>
        <w:spacing w:after="0" w:line="176" w:lineRule="exact"/>
        <w:rPr>
          <w:sz w:val="20"/>
          <w:szCs w:val="20"/>
          <w:color w:val="auto"/>
        </w:rPr>
      </w:pPr>
    </w:p>
    <w:p>
      <w:pPr>
        <w:jc w:val="both"/>
        <w:ind w:right="300" w:firstLine="447"/>
        <w:spacing w:after="0" w:line="257" w:lineRule="auto"/>
        <w:rPr>
          <w:sz w:val="20"/>
          <w:szCs w:val="20"/>
          <w:color w:val="auto"/>
        </w:rPr>
      </w:pPr>
      <w:r>
        <w:rPr>
          <w:rFonts w:ascii="Times New Roman" w:cs="Times New Roman" w:eastAsia="Times New Roman" w:hAnsi="Times New Roman"/>
          <w:sz w:val="18"/>
          <w:szCs w:val="18"/>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w:t>
      </w:r>
    </w:p>
    <w:p>
      <w:pPr>
        <w:spacing w:after="0" w:line="2" w:lineRule="exact"/>
        <w:rPr>
          <w:sz w:val="20"/>
          <w:szCs w:val="20"/>
          <w:color w:val="auto"/>
        </w:rPr>
      </w:pPr>
    </w:p>
    <w:p>
      <w:pPr>
        <w:ind w:right="220" w:firstLine="8"/>
        <w:spacing w:after="0" w:line="255" w:lineRule="auto"/>
        <w:tabs>
          <w:tab w:leader="none" w:pos="2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Rating Event.</w:t>
      </w:r>
    </w:p>
    <w:p>
      <w:pPr>
        <w:spacing w:after="0" w:line="225" w:lineRule="exact"/>
        <w:rPr>
          <w:sz w:val="20"/>
          <w:szCs w:val="20"/>
          <w:color w:val="auto"/>
        </w:rPr>
      </w:pPr>
    </w:p>
    <w:p>
      <w:pPr>
        <w:jc w:val="both"/>
        <w:ind w:right="40" w:firstLine="456"/>
        <w:spacing w:after="0" w:line="258" w:lineRule="auto"/>
        <w:rPr>
          <w:sz w:val="20"/>
          <w:szCs w:val="20"/>
          <w:color w:val="auto"/>
        </w:rPr>
      </w:pPr>
      <w:r>
        <w:rPr>
          <w:rFonts w:ascii="Times New Roman" w:cs="Times New Roman" w:eastAsia="Times New Roman" w:hAnsi="Times New Roman"/>
          <w:sz w:val="18"/>
          <w:szCs w:val="18"/>
          <w:color w:val="auto"/>
        </w:rPr>
        <w:t>“Continuing Directors” means, as of any date of determination, any member of the Board of Directors of the Company who (1) was a member of such Board of Directors on the date the Securities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“Fitch” means Fitch Inc. and its successors.</w:t>
      </w:r>
    </w:p>
    <w:p>
      <w:pPr>
        <w:spacing w:after="0" w:line="225"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“Investment Grade Rating” means a rating equal to or higher than BBB- (or the equivalent) by Fitch, Baa3 (or the equivalent) by Moody’s and BBB-(or the equivalent) by S&amp;P, and the equivalent investment grade credit rating from any replacement Rating Agency or Rating Agencies selected by the Company.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“Moody’s” means Moody’s Investors Service, Inc. and its successors.</w:t>
      </w:r>
    </w:p>
    <w:p>
      <w:pPr>
        <w:spacing w:after="0" w:line="225"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8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ectPr>
          <w:pgSz w:w="11900" w:h="16838" w:orient="portrait"/>
          <w:cols w:equalWidth="0" w:num="1">
            <w:col w:w="11420"/>
          </w:cols>
          <w:pgMar w:left="240" w:top="270" w:right="239" w:bottom="1440" w:gutter="0" w:footer="0" w:header="0"/>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“S&amp;P” means S&amp;P Global Ratings, a division of S&amp;P Global Inc., and its successors.</w:t>
      </w:r>
    </w:p>
    <w:p>
      <w:pPr>
        <w:spacing w:after="0" w:line="225"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308" w:lineRule="exact"/>
        <w:rPr>
          <w:sz w:val="20"/>
          <w:szCs w:val="20"/>
          <w:color w:val="auto"/>
        </w:rPr>
      </w:pPr>
    </w:p>
    <w:p>
      <w:pPr>
        <w:ind w:left="900" w:hanging="446"/>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Denominations; Transfer; Exchange.</w:t>
      </w:r>
    </w:p>
    <w:p>
      <w:pPr>
        <w:spacing w:after="0" w:line="11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323" w:lineRule="exact"/>
        <w:rPr>
          <w:sz w:val="20"/>
          <w:szCs w:val="20"/>
          <w:color w:val="auto"/>
        </w:rPr>
      </w:pPr>
    </w:p>
    <w:p>
      <w:pPr>
        <w:ind w:left="900" w:hanging="446"/>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 Deemed Owners.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registered Holder of a Security may be treated as the owner of it for all purposes.</w:t>
      </w:r>
    </w:p>
    <w:p>
      <w:pPr>
        <w:spacing w:after="0" w:line="372" w:lineRule="exact"/>
        <w:rPr>
          <w:sz w:val="20"/>
          <w:szCs w:val="20"/>
          <w:color w:val="auto"/>
        </w:rPr>
      </w:pPr>
    </w:p>
    <w:p>
      <w:pPr>
        <w:ind w:left="900" w:hanging="446"/>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Supplement; Waiver.</w:t>
      </w:r>
    </w:p>
    <w:p>
      <w:pPr>
        <w:spacing w:after="0" w:line="11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336" w:lineRule="exact"/>
        <w:rPr>
          <w:sz w:val="20"/>
          <w:szCs w:val="20"/>
          <w:color w:val="auto"/>
        </w:rPr>
      </w:pPr>
    </w:p>
    <w:p>
      <w:pPr>
        <w:ind w:left="900" w:hanging="446"/>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Defaults and Remedies.</w:t>
      </w:r>
    </w:p>
    <w:p>
      <w:pPr>
        <w:spacing w:after="0" w:line="11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w:t>
      </w:r>
    </w:p>
    <w:p>
      <w:pPr>
        <w:sectPr>
          <w:pgSz w:w="11900" w:h="16838" w:orient="portrait"/>
          <w:cols w:equalWidth="0" w:num="1">
            <w:col w:w="11400"/>
          </w:cols>
          <w:pgMar w:left="240" w:top="270" w:right="259" w:bottom="1440" w:gutter="0" w:footer="0" w:header="0"/>
        </w:sectPr>
      </w:pPr>
    </w:p>
    <w:bookmarkStart w:id="54" w:name="page55"/>
    <w:bookmarkEnd w:id="54"/>
    <w:p>
      <w:pPr>
        <w:ind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332" w:lineRule="exact"/>
        <w:rPr>
          <w:sz w:val="20"/>
          <w:szCs w:val="20"/>
          <w:color w:val="auto"/>
        </w:rPr>
      </w:pPr>
    </w:p>
    <w:p>
      <w:pPr>
        <w:ind w:left="900" w:hanging="446"/>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 Dealings with Company.</w:t>
      </w:r>
    </w:p>
    <w:p>
      <w:pPr>
        <w:spacing w:after="0" w:line="119"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323" w:lineRule="exact"/>
        <w:rPr>
          <w:sz w:val="20"/>
          <w:szCs w:val="20"/>
          <w:color w:val="auto"/>
        </w:rPr>
      </w:pPr>
    </w:p>
    <w:p>
      <w:pPr>
        <w:ind w:left="900" w:hanging="446"/>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Security shall not be valid until the Trustee or authenticating agent signs the certificate of authentication on the other side of this Security.</w:t>
      </w:r>
    </w:p>
    <w:p>
      <w:pPr>
        <w:spacing w:after="0" w:line="372" w:lineRule="exact"/>
        <w:rPr>
          <w:sz w:val="20"/>
          <w:szCs w:val="20"/>
          <w:color w:val="auto"/>
        </w:rPr>
      </w:pPr>
    </w:p>
    <w:p>
      <w:pPr>
        <w:ind w:left="900" w:hanging="446"/>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Abbreviations and Defined Terms.</w:t>
      </w:r>
    </w:p>
    <w:p>
      <w:pPr>
        <w:spacing w:after="0" w:line="119"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323" w:lineRule="exact"/>
        <w:rPr>
          <w:sz w:val="20"/>
          <w:szCs w:val="20"/>
          <w:color w:val="auto"/>
        </w:rPr>
      </w:pPr>
    </w:p>
    <w:p>
      <w:pPr>
        <w:ind w:left="900" w:hanging="446"/>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Numbers.</w:t>
      </w:r>
    </w:p>
    <w:p>
      <w:pPr>
        <w:spacing w:after="0" w:line="11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323" w:lineRule="exact"/>
        <w:rPr>
          <w:sz w:val="20"/>
          <w:szCs w:val="20"/>
          <w:color w:val="auto"/>
        </w:rPr>
      </w:pPr>
    </w:p>
    <w:p>
      <w:pPr>
        <w:ind w:left="900" w:hanging="446"/>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Absolute Obligation.</w:t>
      </w:r>
    </w:p>
    <w:p>
      <w:pPr>
        <w:spacing w:after="0" w:line="119"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ectPr>
          <w:pgSz w:w="11900" w:h="16838" w:orient="portrait"/>
          <w:cols w:equalWidth="0" w:num="1">
            <w:col w:w="11380"/>
          </w:cols>
          <w:pgMar w:left="240" w:top="270" w:right="279" w:bottom="1440" w:gutter="0" w:footer="0" w:header="0"/>
        </w:sectPr>
      </w:pPr>
    </w:p>
    <w:bookmarkStart w:id="55" w:name="page56"/>
    <w:bookmarkEnd w:id="55"/>
    <w:p>
      <w:pPr>
        <w:ind w:left="900" w:hanging="446"/>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Recourse.</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331" w:lineRule="exact"/>
        <w:rPr>
          <w:sz w:val="20"/>
          <w:szCs w:val="20"/>
          <w:color w:val="auto"/>
        </w:rPr>
      </w:pPr>
    </w:p>
    <w:p>
      <w:pPr>
        <w:ind w:left="900" w:hanging="446"/>
        <w:spacing w:after="0"/>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Security shall be construed in accordance with and governed by the laws of the State of New York.</w:t>
      </w:r>
    </w:p>
    <w:p>
      <w:pPr>
        <w:spacing w:after="0" w:line="372" w:lineRule="exact"/>
        <w:rPr>
          <w:sz w:val="20"/>
          <w:szCs w:val="20"/>
          <w:color w:val="auto"/>
        </w:rPr>
      </w:pPr>
    </w:p>
    <w:p>
      <w:pPr>
        <w:ind w:left="900" w:hanging="446"/>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Guarantee.</w:t>
      </w:r>
    </w:p>
    <w:p>
      <w:pPr>
        <w:spacing w:after="0" w:line="11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Securities will be fully and unconditionally guaranteed on a senior basis by the Company’s wholly owned subsidiary, Waste Management Holdings, Inc., pursuant to the terms and conditions of a Guarantee Agreement dated May 16, 2016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ectPr>
          <w:pgSz w:w="11900" w:h="16838" w:orient="portrait"/>
          <w:cols w:equalWidth="0" w:num="1">
            <w:col w:w="11240"/>
          </w:cols>
          <w:pgMar w:left="240" w:top="268" w:right="4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EXCHANGES OF DEFINITIVE SECURITY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exchanges of a part of this Book-Entry Security for definitive Securities have been made: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2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2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w:t>
            </w:r>
          </w:p>
        </w:tc>
        <w:tc>
          <w:tcPr>
            <w:tcW w:w="2260" w:type="dxa"/>
            <w:vAlign w:val="bottom"/>
            <w:gridSpan w:val="2"/>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Amount of this</w:t>
            </w:r>
          </w:p>
        </w:tc>
        <w:tc>
          <w:tcPr>
            <w:tcW w:w="2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this Book-Entry</w:t>
            </w: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 officer</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146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this Book-Entry</w:t>
            </w:r>
          </w:p>
        </w:tc>
        <w:tc>
          <w:tcPr>
            <w:tcW w:w="2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Book-Entry</w:t>
            </w:r>
          </w:p>
        </w:tc>
        <w:tc>
          <w:tcPr>
            <w:tcW w:w="2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Security following</w:t>
            </w: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Trustee or</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146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0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such decrease (or increase)</w:t>
            </w:r>
          </w:p>
        </w:tc>
        <w:tc>
          <w:tcPr>
            <w:tcW w:w="10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Custodian</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B</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Resolutions of the Board of Directors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Waste Management, Inc.</w:t>
      </w:r>
    </w:p>
    <w:p>
      <w:pPr>
        <w:spacing w:after="0" w:line="203"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on September 28, 2012, Waste Management, Inc. (the “Company”) filed with the Securities Exchange Commission (the “SEC”)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automatic shelf registration statement on Form S-3, File No. 333-184157 (the “Automatic Shelf Registration Statement”), which registered the offer and sale by the Company from time to time of common stock; senior and subordinated debt securities; preferred stock; warrants; units; and guarantees by Waste Management Holdings, Inc., a wholly-owned subsidiary of the Company (“WMHI”), with respect to debt securities, in one or more classes or series in amounts as may be determined at the time of any offering; and</w:t>
      </w:r>
    </w:p>
    <w:p>
      <w:pPr>
        <w:spacing w:after="0" w:line="180" w:lineRule="exact"/>
        <w:rPr>
          <w:sz w:val="20"/>
          <w:szCs w:val="20"/>
          <w:color w:val="auto"/>
        </w:rPr>
      </w:pPr>
    </w:p>
    <w:p>
      <w:pPr>
        <w:ind w:right="5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pursuant to rules and regulations promulgated by the SEC, the Automatic Shelf Registration Statement will expire, by its terms,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28, 2015, three years after the effective date of the Automatic Shelf Registration Statement; and</w:t>
      </w:r>
    </w:p>
    <w:p>
      <w:pPr>
        <w:spacing w:after="0" w:line="155" w:lineRule="exact"/>
        <w:rPr>
          <w:sz w:val="20"/>
          <w:szCs w:val="20"/>
          <w:color w:val="auto"/>
        </w:rPr>
      </w:pPr>
    </w:p>
    <w:p>
      <w:pPr>
        <w:ind w:right="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at the time of the Board of Directors’ approval of the Automatic Shelf Registration Statement, the Board of Directors also authorized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offer and sell up to an aggregate of $3,000,000,000 of Securities (the “2012 Issuance Authorization”); and</w:t>
      </w:r>
    </w:p>
    <w:p>
      <w:pPr>
        <w:spacing w:after="0" w:line="155" w:lineRule="exact"/>
        <w:rPr>
          <w:sz w:val="20"/>
          <w:szCs w:val="20"/>
          <w:color w:val="auto"/>
        </w:rPr>
      </w:pPr>
    </w:p>
    <w:p>
      <w:pPr>
        <w:ind w:right="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desires, and finds it in the best interests of the Company, to file a new automatic shelf registration statement on Form S-3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to facilitate any future offerings of securities by the Company or any selling security holders.</w:t>
      </w:r>
    </w:p>
    <w:p>
      <w:pPr>
        <w:spacing w:after="0" w:line="15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NOW, THEREFORE, BE IT RESOLVED, </w:t>
      </w:r>
      <w:r>
        <w:rPr>
          <w:rFonts w:ascii="Times New Roman" w:cs="Times New Roman" w:eastAsia="Times New Roman" w:hAnsi="Times New Roman"/>
          <w:sz w:val="18"/>
          <w:szCs w:val="18"/>
          <w:color w:val="auto"/>
        </w:rPr>
        <w:t>that the Company is hereby authorized to prepare and file with the SEC an automatic shelf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on Form S-3 (the “New Registration Statement”), pursuant to the Securities Act of 1933, as amended, and the rules and regulations promulgated thereunder (the “Securities Act”), which New Registration Statement may cover, among other things, unsecured senior or subordinated debentures, notes or other evidences of indebtedness of the Company (collectively “Debt Securities”); shares of common stock, par value $0.01 per share, of the Company (the “Common Stock”); warrants to purchase shares of Common Stock; shares of preferred stock in such series with such designations, powers, preferences and relative and other special rights and qualifications, limitations and restrictions as the Board of Directors may from time to time authorize; guarantees of securities by WMHI; and any units consisting of one or more of the foregoing (the Debt Securities, Common Stock, warrants, preferred stock, guarantees and units collectively referred to herein as the “Securities”), to be issued from time to time;</w:t>
      </w:r>
    </w:p>
    <w:p>
      <w:pPr>
        <w:spacing w:after="0" w:line="185" w:lineRule="exact"/>
        <w:rPr>
          <w:sz w:val="20"/>
          <w:szCs w:val="20"/>
          <w:color w:val="auto"/>
        </w:rPr>
      </w:pPr>
    </w:p>
    <w:p>
      <w:pPr>
        <w:jc w:val="both"/>
        <w:ind w:right="24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the proper officers (as established pursuant to these resolutions) be, and they hereby are, authorized, in their sole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absolute discretion, subject to any limitations set forth in these resolutions, to cause the Company to offer and sell up to an aggregate of $3,000,000,000 of Securities without further approval of the Board of Directors;</w:t>
      </w:r>
    </w:p>
    <w:p>
      <w:pPr>
        <w:spacing w:after="0" w:line="171" w:lineRule="exact"/>
        <w:rPr>
          <w:sz w:val="20"/>
          <w:szCs w:val="20"/>
          <w:color w:val="auto"/>
        </w:rPr>
      </w:pPr>
    </w:p>
    <w:p>
      <w:pPr>
        <w:ind w:right="2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upon the filing date of the New Registration Statement, authority to make new issuances of Securities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2012 Issuance Authorization shall be deemed rescinded;</w:t>
      </w:r>
    </w:p>
    <w:p>
      <w:pPr>
        <w:spacing w:after="0" w:line="155"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the proper officers and the authorized employees (as established pursuant to these resolutions) be, and each of them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is, authorized, in the name and on behalf of the Company, to execute and cause to be filed with the SEC any and all amendments (including, without limitation, post-effective amendments) or supplements to the New Registration Statement and any prospectus included therein and any additional documents which such officer or employee may deem necessary or desirable with respect to the registration and offering of the Securities, and such amendments, supplements, registration statements and documents to be in such form as the officer or employee executing the same may approve, as conclusively evidenced by his execution thereof;</w:t>
      </w:r>
    </w:p>
    <w:p>
      <w:pPr>
        <w:spacing w:after="0" w:line="183" w:lineRule="exact"/>
        <w:rPr>
          <w:sz w:val="20"/>
          <w:szCs w:val="20"/>
          <w:color w:val="auto"/>
        </w:rPr>
      </w:pPr>
    </w:p>
    <w:p>
      <w:pPr>
        <w:ind w:right="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the Chief Legal Officer of the Company be, and he hereby is, designated and appointed the agent for service of process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Company under the Securities Act in connection with the New Registration Statement and any and all amendments and supplements thereto, with all powers incident to such appointment;</w:t>
      </w:r>
    </w:p>
    <w:p>
      <w:pPr>
        <w:sectPr>
          <w:pgSz w:w="11900" w:h="16838" w:orient="portrait"/>
          <w:cols w:equalWidth="0" w:num="1">
            <w:col w:w="11400"/>
          </w:cols>
          <w:pgMar w:left="240" w:top="266" w:right="259" w:bottom="1440" w:gutter="0" w:footer="0" w:header="0"/>
        </w:sectPr>
      </w:pPr>
    </w:p>
    <w:bookmarkStart w:id="58" w:name="page59"/>
    <w:bookmarkEnd w:id="58"/>
    <w:p>
      <w:pPr>
        <w:ind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RESOLVED FURTHER, </w:t>
      </w:r>
      <w:r>
        <w:rPr>
          <w:rFonts w:ascii="Times New Roman" w:cs="Times New Roman" w:eastAsia="Times New Roman" w:hAnsi="Times New Roman"/>
          <w:sz w:val="18"/>
          <w:szCs w:val="18"/>
          <w:color w:val="auto"/>
        </w:rPr>
        <w:t>that the proper officers and authorized employees be and hereby are authorized and directed in the name and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to take any and all action which they may deem necessary or advisable in order to effect the registration or qualification of all or part of the Securities to be registered under the Securities Act, for offer and sale under the securities or Blue Sky laws of the states of the United States of America,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183"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the form of any additional resolutions required in connection with the appropriate qualification or registration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of Directors with the same force and effect as if set out verbatim herein;</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any of the proper officers or authorized employees be, and each of them hereby is, authorized to approve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from time to time, one or more forms of underwriting agreements (and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proper officers to approve any individual agreement pursuant to which Securities are to be sold if the form thereof has previously been approved as provided in this resolution;</w:t>
      </w:r>
    </w:p>
    <w:p>
      <w:pPr>
        <w:spacing w:after="0" w:line="18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any of the proper officers be, and each of them hereby is, authorized, at any time and from time to time,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 to determine, within any limits that may be set by the Board of Directors, the number of shares of Common Stock, preferred stock or other equity securities to be offered and sold by the Company pursuant to the New Registration Statement, including any shares underlying warrants or convertible Debt Securities, (ii) to authorize the reserve and issuance of such shares and (iii) to take any and all action and to do or cause to be done any and all things which may appear to any of the proper officers to be necessary or advisable in order to authorize, offer, issue, and sell such shares of Common Stock, pursuant to the New Registration Statement and the applicable purchase agreement, which action could be taken or which things could be done by the Board of Directors of the Company;</w:t>
      </w:r>
    </w:p>
    <w:p>
      <w:pPr>
        <w:spacing w:after="0" w:line="183"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any of the proper officers may, at any time and from time to time, on behalf of the Company, authorize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or more series of Securities under the Company’s indentures, within any limits that may be set by the Board of Directors, and in connection therewith establish, or, if all of the Securities of such series may not be originally issued at one time, to the extent deemed appropriate, prescribe the manner of determining, within any limitations established by any of the proper officers and subject in either case to the limitations set forth in these resolutions, all of the terms of such Securities;</w:t>
      </w:r>
    </w:p>
    <w:p>
      <w:pPr>
        <w:spacing w:after="0" w:line="180"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in connection with any such series of Securities (but without limiting the authority hereinafter in these resolutions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conferred with respect to the issuance of Securities of a series which may not all be originally issued at one time), any of the proper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or underwriter and any other terms of offering or sale of Securities of such series and to sell Securities of such series in accordance with any applicable purchase agreement or other agreement(s);</w:t>
      </w:r>
    </w:p>
    <w:p>
      <w:pPr>
        <w:sectPr>
          <w:pgSz w:w="11900" w:h="16838" w:orient="portrait"/>
          <w:cols w:equalWidth="0" w:num="1">
            <w:col w:w="11420"/>
          </w:cols>
          <w:pgMar w:left="240" w:top="266" w:right="239" w:bottom="1440" w:gutter="0" w:footer="0" w:header="0"/>
        </w:sectPr>
      </w:pPr>
    </w:p>
    <w:bookmarkStart w:id="59" w:name="page60"/>
    <w:bookmarkEnd w:id="59"/>
    <w:p>
      <w:pPr>
        <w:jc w:val="both"/>
        <w:ind w:right="220" w:firstLine="456"/>
        <w:spacing w:after="0" w:line="291"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RESOLVED FURTHER, </w:t>
      </w:r>
      <w:r>
        <w:rPr>
          <w:rFonts w:ascii="Times New Roman" w:cs="Times New Roman" w:eastAsia="Times New Roman" w:hAnsi="Times New Roman"/>
          <w:sz w:val="17"/>
          <w:szCs w:val="17"/>
          <w:color w:val="auto"/>
        </w:rPr>
        <w:t>that, in connection with the issuance of Securities of any series which may not be originally issued at one time (except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be inconsistent with any action taken by any of the proper officers, as hereinabove provided, in connection with such series), any of the proper officers may delegate any of its authority pursuant to these resolutions to any officer of the Company, including authority to fix the terms of such Securities;</w:t>
      </w:r>
    </w:p>
    <w:p>
      <w:pPr>
        <w:spacing w:after="0" w:line="153"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in connection with any such series of Securities, any of the proper officers is authorized to approve any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modification or supplement to the Company’s indentures and that any proper officer be, and each of them hereby is, authorized to execute and deliver, in the name and on behalf of the Company, any such amendment, modification or supplement, substantially in the form approved by any proper officer;</w:t>
      </w:r>
    </w:p>
    <w:p>
      <w:pPr>
        <w:spacing w:after="0" w:line="17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the proper officers and authorized employees be, and each of them hereby is, authorized, in the name and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177"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the proper officers be, and each of them hereby is, authorized, subject to and in accordance with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indentures and any action taken by any of the proper officers in connection therewith, from time to time to appoint or designate on behalf of the Company one or more security registrars, paying agents and transfer agents for each series of Securities, to rescind on behalf of the Company any such appointment or designation and to approve on behalf of the Company any change in the location of any office through which any such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183"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the proper officers and authorized employees be, and each of them hereby is, authorized, in the name and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to make application to such securities exchange or exchanges as the persons acting shall deem necessary or appropriate for the listing thereof of any of the Securities (including 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may deem necessary or desirable; that such officers, or such other person as any such officer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186"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the proper officers be, and each of them hereby is, authorized, in the name and on behalf of the Company,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to the SEC for registration of any series of the Securities under Section 12 or other applicable section of the Securities Exchange Act of 1934, and the proper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may deem necessary or desirable;</w:t>
      </w:r>
    </w:p>
    <w:p>
      <w:pPr>
        <w:spacing w:after="0" w:line="180"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the officers and authorized employees of the Company be, and each of them hereby is, authorized to take, or cause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any and all action which any such officer may deem necessary or desirable in order to carry out the purpose and intent of the foregoing resolutions or in order to perform, or cause to be performed, the obligations of the Company under the Securities, the New Registration Statement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or authorized employee may deem necessary or appropriate;</w:t>
      </w:r>
    </w:p>
    <w:p>
      <w:pPr>
        <w:sectPr>
          <w:pgSz w:w="11900" w:h="16838" w:orient="portrait"/>
          <w:cols w:equalWidth="0" w:num="1">
            <w:col w:w="11420"/>
          </w:cols>
          <w:pgMar w:left="240" w:top="266" w:right="239" w:bottom="1440" w:gutter="0" w:footer="0" w:header="0"/>
        </w:sectPr>
      </w:pPr>
    </w:p>
    <w:bookmarkStart w:id="60" w:name="page61"/>
    <w:bookmarkEnd w:id="60"/>
    <w:p>
      <w:pPr>
        <w:ind w:right="2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RESOLVED FURTHER, </w:t>
      </w:r>
      <w:r>
        <w:rPr>
          <w:rFonts w:ascii="Times New Roman" w:cs="Times New Roman" w:eastAsia="Times New Roman" w:hAnsi="Times New Roman"/>
          <w:sz w:val="18"/>
          <w:szCs w:val="18"/>
          <w:color w:val="auto"/>
        </w:rPr>
        <w:t>that for purposes of these resolutions, the term “proper officer” shall mean any or all of the Chief Executive Officer,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Financial Officer, the Chief Legal Officer, the Chief Accounting Officer and the Treasurer of the Company and the term “authorized employees” shall mean either or both of the Vice President and General Counsel – Corporate and Securities and the Assistant General Counsel – Securities &amp; Governance of the Company;</w:t>
      </w:r>
    </w:p>
    <w:p>
      <w:pPr>
        <w:spacing w:after="0" w:line="177"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the form of any additional resolutions required in connection with the foregoing resolutions be and hereby is approved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adopted, provided the proper officers of the Company, on the advice of counsel, consider the adoption thereof necessary or advisable, in which case the Secretary or any Assistant Secretary of the Company is hereby directed to insert as an appendix hereto a copy of such resolutions, which shall, upon execution, be deemed to have been adopted by this Board of Directors with the same force and effect as if set out verbatim herein; and</w:t>
      </w:r>
    </w:p>
    <w:p>
      <w:pPr>
        <w:spacing w:after="0" w:line="177"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any officer of the Company is hereby authorized and directed to make, provide, execute, and deliver any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applications, certificates, representations, payments, notices, receipts, and other instruments and documents and take any and all other actions which in the opinion of such officer is or may be necessary or appropriate in connection with or to consummate any of the matters covered by the foregoing resolutions.</w:t>
      </w:r>
    </w:p>
    <w:p>
      <w:pPr>
        <w:sectPr>
          <w:pgSz w:w="11900" w:h="16838" w:orient="portrait"/>
          <w:cols w:equalWidth="0" w:num="1">
            <w:col w:w="11280"/>
          </w:cols>
          <w:pgMar w:left="240" w:top="266" w:right="37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GUARANTEE</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BY WASTE MANAGEMENT HOLDINGS, INC.</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(formerly known as Waste Management, Inc.)</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in Favor of The Bank of New York Mellon Trust Company, N.A., as Trustee for the Holders of Certain Debt Securities of</w:t>
      </w:r>
    </w:p>
    <w:p>
      <w:pPr>
        <w:spacing w:after="0" w:line="23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$500,000,000</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2.400% Senior Notes due 2023</w:t>
      </w:r>
    </w:p>
    <w:p>
      <w:pPr>
        <w:spacing w:after="0" w:line="20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May 16, 2016</w:t>
      </w:r>
    </w:p>
    <w:p>
      <w:pPr>
        <w:sectPr>
          <w:pgSz w:w="11900" w:h="16838" w:orient="portrait"/>
          <w:cols w:equalWidth="0" w:num="1">
            <w:col w:w="10220"/>
          </w:cols>
          <w:pgMar w:left="1440" w:top="117" w:right="239" w:bottom="1440" w:gutter="0" w:footer="0" w:header="0"/>
        </w:sectPr>
      </w:pPr>
    </w:p>
    <w:bookmarkStart w:id="62" w:name="page63"/>
    <w:bookmarkEnd w:id="62"/>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GUARANTEE, dated as of May 16, 2016 (as amended from time to time, this “Guarantee”), made by Waste Management Holdings, Inc. (formerly known as Waste Management, Inc.), a Delaware corporation (the “Guarantor”), in favor of The Bank of New York Mellon Trust Company, N.A., as trustee for the holders of the $500 million aggregate principal amount of 2.400% Senior Notes due 2023 (the “Debt Securities”) of Waste Management, Inc. (formerly known as USA Waste Services, Inc.), a Delaware corporation (the “Issuer”).</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Guarantee</w:t>
      </w:r>
    </w:p>
    <w:p>
      <w:pPr>
        <w:spacing w:after="0" w:line="225" w:lineRule="exact"/>
        <w:rPr>
          <w:sz w:val="20"/>
          <w:szCs w:val="20"/>
          <w:color w:val="auto"/>
        </w:rPr>
      </w:pPr>
    </w:p>
    <w:p>
      <w:pPr>
        <w:ind w:firstLine="921"/>
        <w:spacing w:after="0" w:line="256" w:lineRule="auto"/>
        <w:tabs>
          <w:tab w:leader="none" w:pos="115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87" w:lineRule="exact"/>
        <w:rPr>
          <w:rFonts w:ascii="Times New Roman" w:cs="Times New Roman" w:eastAsia="Times New Roman" w:hAnsi="Times New Roman"/>
          <w:sz w:val="18"/>
          <w:szCs w:val="18"/>
          <w:color w:val="auto"/>
        </w:rPr>
      </w:pPr>
    </w:p>
    <w:p>
      <w:pPr>
        <w:ind w:right="40" w:firstLine="921"/>
        <w:spacing w:after="0" w:line="256" w:lineRule="auto"/>
        <w:tabs>
          <w:tab w:leader="none" w:pos="116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88"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68" w:lineRule="exact"/>
        <w:rPr>
          <w:sz w:val="20"/>
          <w:szCs w:val="20"/>
          <w:color w:val="auto"/>
        </w:rPr>
      </w:pPr>
    </w:p>
    <w:p>
      <w:pPr>
        <w:ind w:left="1120" w:hanging="217"/>
        <w:spacing w:after="0"/>
        <w:tabs>
          <w:tab w:leader="none" w:pos="11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the Indenture, the Debt Securities or any other agreement or instrument relating thereto;</w:t>
      </w:r>
    </w:p>
    <w:p>
      <w:pPr>
        <w:spacing w:after="0" w:line="117" w:lineRule="exact"/>
        <w:rPr>
          <w:rFonts w:ascii="Times New Roman" w:cs="Times New Roman" w:eastAsia="Times New Roman" w:hAnsi="Times New Roman"/>
          <w:sz w:val="18"/>
          <w:szCs w:val="18"/>
          <w:color w:val="auto"/>
        </w:rPr>
      </w:pPr>
    </w:p>
    <w:p>
      <w:pPr>
        <w:ind w:left="460" w:right="440" w:firstLine="443"/>
        <w:spacing w:after="0" w:line="282" w:lineRule="auto"/>
        <w:tabs>
          <w:tab w:leader="none" w:pos="116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time, manner or place of payment of, or in any other term of, all or any of the Obligations, or any other amendment or waiver of or any consent to departure from the Indenture;</w:t>
      </w:r>
    </w:p>
    <w:p>
      <w:pPr>
        <w:sectPr>
          <w:pgSz w:w="11900" w:h="16838" w:orient="portrait"/>
          <w:cols w:equalWidth="0" w:num="1">
            <w:col w:w="11400"/>
          </w:cols>
          <w:pgMar w:left="240" w:top="270" w:right="259" w:bottom="1440" w:gutter="0" w:footer="0" w:header="0"/>
        </w:sectPr>
      </w:pPr>
    </w:p>
    <w:bookmarkStart w:id="63" w:name="page64"/>
    <w:bookmarkEnd w:id="63"/>
    <w:p>
      <w:pPr>
        <w:ind w:left="460" w:right="180" w:firstLine="443"/>
        <w:spacing w:after="0" w:line="282" w:lineRule="auto"/>
        <w:tabs>
          <w:tab w:leader="none" w:pos="121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exchange, release or non-perfection of any collateral, or any release or amendment or waiver of or consent to departure from any other guaranty, for all or any of the Obligations; or</w:t>
      </w:r>
    </w:p>
    <w:p>
      <w:pPr>
        <w:spacing w:after="0" w:line="53" w:lineRule="exact"/>
        <w:rPr>
          <w:rFonts w:ascii="Times New Roman" w:cs="Times New Roman" w:eastAsia="Times New Roman" w:hAnsi="Times New Roman"/>
          <w:sz w:val="18"/>
          <w:szCs w:val="18"/>
          <w:color w:val="auto"/>
        </w:rPr>
      </w:pPr>
    </w:p>
    <w:p>
      <w:pPr>
        <w:ind w:left="1200" w:hanging="297"/>
        <w:spacing w:after="0"/>
        <w:tabs>
          <w:tab w:leader="none" w:pos="12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which might otherwise constitute a defense available to, or a discharge of, the Issuer or a guarantor.</w:t>
      </w:r>
    </w:p>
    <w:p>
      <w:pPr>
        <w:spacing w:after="0" w:line="225" w:lineRule="exact"/>
        <w:rPr>
          <w:sz w:val="20"/>
          <w:szCs w:val="20"/>
          <w:color w:val="auto"/>
        </w:rPr>
      </w:pPr>
    </w:p>
    <w:p>
      <w:pPr>
        <w:ind w:right="4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The Guarantor covenants and agrees that its obligation to make payments of the Obligations hereunder constitutes an unsecured obligation of the Guarantor ranking (a) pari passu with all existing and future senior indebtedness of the Guarantor and (b) senior in right of payment to all existing and future subordinated indebtedness of the Guarantor.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Waiver; Subrogation</w:t>
      </w:r>
    </w:p>
    <w:p>
      <w:pPr>
        <w:spacing w:after="0" w:line="225" w:lineRule="exact"/>
        <w:rPr>
          <w:sz w:val="20"/>
          <w:szCs w:val="20"/>
          <w:color w:val="auto"/>
        </w:rPr>
      </w:pPr>
    </w:p>
    <w:p>
      <w:pPr>
        <w:jc w:val="both"/>
        <w:ind w:right="340" w:firstLine="921"/>
        <w:spacing w:after="0" w:line="266" w:lineRule="auto"/>
        <w:tabs>
          <w:tab w:leader="none" w:pos="115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76" w:lineRule="exact"/>
        <w:rPr>
          <w:rFonts w:ascii="Times New Roman" w:cs="Times New Roman" w:eastAsia="Times New Roman" w:hAnsi="Times New Roman"/>
          <w:sz w:val="18"/>
          <w:szCs w:val="18"/>
          <w:color w:val="auto"/>
        </w:rPr>
      </w:pPr>
    </w:p>
    <w:p>
      <w:pPr>
        <w:ind w:right="160" w:firstLine="921"/>
        <w:spacing w:after="0" w:line="266" w:lineRule="auto"/>
        <w:tabs>
          <w:tab w:leader="none" w:pos="116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76" w:lineRule="exact"/>
        <w:rPr>
          <w:sz w:val="20"/>
          <w:szCs w:val="20"/>
          <w:color w:val="auto"/>
        </w:rPr>
      </w:pPr>
    </w:p>
    <w:p>
      <w:pPr>
        <w:ind w:right="240" w:firstLine="456"/>
        <w:spacing w:after="0" w:line="289"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u w:val="single" w:color="auto"/>
          <w:color w:val="auto"/>
        </w:rPr>
        <w:t>No Waiver, Remedies</w:t>
      </w:r>
      <w:r>
        <w:rPr>
          <w:rFonts w:ascii="Times New Roman" w:cs="Times New Roman" w:eastAsia="Times New Roman" w:hAnsi="Times New Roman"/>
          <w:sz w:val="17"/>
          <w:szCs w:val="17"/>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5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Continuing Guarantee; Transfer of Interest</w:t>
      </w:r>
      <w:r>
        <w:rPr>
          <w:rFonts w:ascii="Times New Roman" w:cs="Times New Roman" w:eastAsia="Times New Roman" w:hAnsi="Times New Roman"/>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Third Amended and Restated Revolving Credit Agreement dated July 10, 2015, by and among the Issuer, the Guarantor (as guarantor), Bank of America, N.A., as administrative agent, J.P. Morgan Securities LLC, Merrill Lynch, Pierce, Fenner &amp; Smith Incorporated and Barclays Bank PLC, as lead arrangers and joint book runners (or under any replacement or new principal credit facility of the Issuer) of the guarantee of the Guarantor thereunder,</w:t>
      </w:r>
    </w:p>
    <w:p>
      <w:pPr>
        <w:ind w:firstLine="8"/>
        <w:spacing w:after="0" w:line="261" w:lineRule="auto"/>
        <w:tabs>
          <w:tab w:leader="none" w:pos="2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binding upon the Guarantor, its successors and assigns, and (iii) inure to the benefit of and be enforceable by any holder of Debt Securities, the Trustee, and by their respective successors, transferees, and assigns.</w:t>
      </w:r>
    </w:p>
    <w:p>
      <w:pPr>
        <w:sectPr>
          <w:pgSz w:w="11900" w:h="16838" w:orient="portrait"/>
          <w:cols w:equalWidth="0" w:num="1">
            <w:col w:w="11400"/>
          </w:cols>
          <w:pgMar w:left="240" w:top="270" w:right="259" w:bottom="1440" w:gutter="0" w:footer="0" w:header="0"/>
        </w:sectPr>
      </w:pPr>
    </w:p>
    <w:bookmarkStart w:id="64" w:name="page65"/>
    <w:bookmarkEnd w:id="64"/>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76"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6"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GUARANTEE SHALL BE GOVERNED BY, AND CONSTRUED IN ACCORDANCE WITH THE LAWS OF THE STATE OF NEW YORK, WITHOUT REGARD TO THE PROVISIONS THEREOF RELATING TO CONFLICT OF LAWS.</w:t>
      </w:r>
    </w:p>
    <w:p>
      <w:pPr>
        <w:sectPr>
          <w:pgSz w:w="11900" w:h="16838" w:orient="portrait"/>
          <w:cols w:equalWidth="0" w:num="1">
            <w:col w:w="11360"/>
          </w:cols>
          <w:pgMar w:left="240" w:top="270" w:right="299" w:bottom="1440" w:gutter="0" w:footer="0" w:header="0"/>
        </w:sectPr>
      </w:pPr>
    </w:p>
    <w:bookmarkStart w:id="65" w:name="page66"/>
    <w:bookmarkEnd w:id="65"/>
    <w:p>
      <w:pPr>
        <w:ind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Guarantor has caused this Guarantee to be duly executed and delivered by its officer thereunto duly authorized as of the date first above written.</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Devina A. Rankin</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Ed Egl</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Assistant Treasurer</w:t>
      </w: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Signature Page to Guarantee</w:t>
      </w:r>
    </w:p>
    <w:p>
      <w:pPr>
        <w:sectPr>
          <w:pgSz w:w="11900" w:h="16838" w:orient="portrait"/>
          <w:cols w:equalWidth="0" w:num="1">
            <w:col w:w="11360"/>
          </w:cols>
          <w:pgMar w:left="240" w:top="270" w:right="299" w:bottom="1440" w:gutter="0" w:footer="0" w:header="0"/>
        </w:sectPr>
      </w:pPr>
    </w:p>
    <w:bookmarkStart w:id="66" w:name="page67"/>
    <w:bookmarkEnd w:id="66"/>
    <w:tbl>
      <w:tblPr>
        <w:tblLayout w:type="fixed"/>
        <w:tblInd w:w="492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0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r>
      <w:tr>
        <w:trPr>
          <w:trHeight w:val="441"/>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ONE SHELL PLAZA</w:t>
            </w:r>
          </w:p>
        </w:tc>
        <w:tc>
          <w:tcPr>
            <w:tcW w:w="1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AUSTIN</w:t>
            </w:r>
          </w:p>
        </w:tc>
        <w:tc>
          <w:tcPr>
            <w:tcW w:w="2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LONDON</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910 LOUISIANA</w:t>
            </w:r>
          </w:p>
        </w:tc>
        <w:tc>
          <w:tcPr>
            <w:tcW w:w="1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BEIJING</w:t>
            </w:r>
          </w:p>
        </w:tc>
        <w:tc>
          <w:tcPr>
            <w:tcW w:w="2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MOSCOW</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HOUSTON, TEXAS</w:t>
            </w:r>
          </w:p>
        </w:tc>
        <w:tc>
          <w:tcPr>
            <w:tcW w:w="1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BRUSSELS</w:t>
            </w:r>
          </w:p>
        </w:tc>
        <w:tc>
          <w:tcPr>
            <w:tcW w:w="2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77002-4995</w:t>
            </w:r>
          </w:p>
        </w:tc>
        <w:tc>
          <w:tcPr>
            <w:tcW w:w="1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DALLAS</w:t>
            </w:r>
          </w:p>
        </w:tc>
        <w:tc>
          <w:tcPr>
            <w:tcW w:w="2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PALO ALTO</w:t>
            </w:r>
          </w:p>
        </w:tc>
      </w:tr>
      <w:tr>
        <w:trPr>
          <w:trHeight w:val="216"/>
        </w:trPr>
        <w:tc>
          <w:tcPr>
            <w:tcW w:w="1960" w:type="dxa"/>
            <w:vAlign w:val="bottom"/>
          </w:tcPr>
          <w:p>
            <w:pPr>
              <w:spacing w:after="0"/>
              <w:rPr>
                <w:sz w:val="18"/>
                <w:szCs w:val="18"/>
                <w:color w:val="auto"/>
              </w:rPr>
            </w:pPr>
          </w:p>
        </w:tc>
        <w:tc>
          <w:tcPr>
            <w:tcW w:w="1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DUBAI</w:t>
            </w:r>
          </w:p>
        </w:tc>
        <w:tc>
          <w:tcPr>
            <w:tcW w:w="2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TEL +1 713.229.1234</w:t>
            </w:r>
          </w:p>
        </w:tc>
        <w:tc>
          <w:tcPr>
            <w:tcW w:w="1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HONG KONG</w:t>
            </w:r>
          </w:p>
        </w:tc>
        <w:tc>
          <w:tcPr>
            <w:tcW w:w="2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57"/>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FAX +1 713.229.1522</w:t>
            </w:r>
          </w:p>
        </w:tc>
        <w:tc>
          <w:tcPr>
            <w:tcW w:w="1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HOUSTON</w:t>
            </w:r>
          </w:p>
        </w:tc>
        <w:tc>
          <w:tcPr>
            <w:tcW w:w="2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WASHINGTON</w:t>
            </w:r>
          </w:p>
        </w:tc>
      </w:tr>
      <w:tr>
        <w:trPr>
          <w:trHeight w:val="234"/>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BakerBotts.com</w:t>
            </w:r>
          </w:p>
        </w:tc>
        <w:tc>
          <w:tcPr>
            <w:tcW w:w="1940" w:type="dxa"/>
            <w:vAlign w:val="bottom"/>
          </w:tcPr>
          <w:p>
            <w:pPr>
              <w:spacing w:after="0"/>
              <w:rPr>
                <w:sz w:val="20"/>
                <w:szCs w:val="20"/>
                <w:color w:val="auto"/>
              </w:rPr>
            </w:pPr>
          </w:p>
        </w:tc>
        <w:tc>
          <w:tcPr>
            <w:tcW w:w="26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173228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32280" cy="1885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00" w:firstLine="913"/>
        <w:spacing w:after="0" w:line="256" w:lineRule="auto"/>
        <w:rPr>
          <w:sz w:val="20"/>
          <w:szCs w:val="20"/>
          <w:color w:val="auto"/>
        </w:rPr>
      </w:pPr>
      <w:r>
        <w:rPr>
          <w:rFonts w:ascii="Times New Roman" w:cs="Times New Roman" w:eastAsia="Times New Roman" w:hAnsi="Times New Roman"/>
          <w:sz w:val="18"/>
          <w:szCs w:val="18"/>
          <w:color w:val="auto"/>
        </w:rPr>
        <w:t>Waste Management, Inc., a Delaware corporation (the “Company”), and Waste Management Holdings, Inc., a Delaware corporation (“Holdings”), have engaged us to render the opinions expressed below in connection with the Company’s proposed issuance of $500,000,000 aggregate principal amount of its 2.400% Senior Notes due 2023 (the “Notes”) and the issuance of the related guarantee of the Notes by Holdings (the “Guarantee”), as contemplated by the Registration Statement on Form S-3 (Registration No. 333-207628) (the “Registration Statement”), filed with the Securities and Exchange Commission (the “Commission”) under the Securities Act of 1933, as amended (the “Act”), relating to the offering of securities of the Company and of Holdings from time to time pursuant to Rule 415 under the Act.</w:t>
      </w:r>
    </w:p>
    <w:p>
      <w:pPr>
        <w:spacing w:after="0" w:line="188" w:lineRule="exact"/>
        <w:rPr>
          <w:sz w:val="20"/>
          <w:szCs w:val="20"/>
          <w:color w:val="auto"/>
        </w:rPr>
      </w:pPr>
    </w:p>
    <w:p>
      <w:pPr>
        <w:ind w:right="100" w:firstLine="913"/>
        <w:spacing w:after="0" w:line="266" w:lineRule="auto"/>
        <w:rPr>
          <w:sz w:val="20"/>
          <w:szCs w:val="20"/>
          <w:color w:val="auto"/>
        </w:rPr>
      </w:pPr>
      <w:r>
        <w:rPr>
          <w:rFonts w:ascii="Times New Roman" w:cs="Times New Roman" w:eastAsia="Times New Roman" w:hAnsi="Times New Roman"/>
          <w:sz w:val="18"/>
          <w:szCs w:val="18"/>
          <w:color w:val="auto"/>
        </w:rPr>
        <w:t>The Registration Statement has been filed with the Commission and became effective upon filing. The Company’s prospectus dated October 27, 2015 and prospectus supplement dated May 9, 2016 relating to the Notes (collectively, the “Prospectus”) have been filed with the Commission pursuant to Rule 424(b) under the Act.</w:t>
      </w:r>
    </w:p>
    <w:p>
      <w:pPr>
        <w:spacing w:after="0" w:line="176" w:lineRule="exact"/>
        <w:rPr>
          <w:sz w:val="20"/>
          <w:szCs w:val="20"/>
          <w:color w:val="auto"/>
        </w:rPr>
      </w:pPr>
    </w:p>
    <w:p>
      <w:pPr>
        <w:ind w:right="140" w:firstLine="913"/>
        <w:spacing w:after="0" w:line="258" w:lineRule="auto"/>
        <w:rPr>
          <w:sz w:val="20"/>
          <w:szCs w:val="20"/>
          <w:color w:val="auto"/>
        </w:rPr>
      </w:pPr>
      <w:r>
        <w:rPr>
          <w:rFonts w:ascii="Times New Roman" w:cs="Times New Roman" w:eastAsia="Times New Roman" w:hAnsi="Times New Roman"/>
          <w:sz w:val="18"/>
          <w:szCs w:val="18"/>
          <w:color w:val="auto"/>
        </w:rPr>
        <w:t>The Company and Holdings entered into an Underwriting Agreement (the “Underwriting Agreement”), dated May 9, 2016, with Merrill Lynch, Pierce, Fenner &amp; Smith Incorporated, Citigroup Global Markets Inc. and Mizuho Securities USA Inc., as representatives of the underwriters named therein (the “Underwriters”), relating to the issuance and sale by the Company to the Underwriters of the Notes to be issued pursuant to an Indenture (the “Indenture”) dated as of September 10, 1997 between the Company, formerly known as USA Waste Services, Inc., and The Bank of New York Mellon Trust Company, N.A., as the current successor to Texas Commerce Bank National Association, as trustee.</w:t>
      </w:r>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 our capacity as counsel to the Company and Holdings in connection with the matters referred to above, we have examined the following:</w:t>
      </w:r>
    </w:p>
    <w:p>
      <w:pPr>
        <w:spacing w:after="0" w:line="27" w:lineRule="exact"/>
        <w:rPr>
          <w:sz w:val="20"/>
          <w:szCs w:val="20"/>
          <w:color w:val="auto"/>
        </w:rPr>
      </w:pPr>
    </w:p>
    <w:p>
      <w:pPr>
        <w:ind w:right="60" w:firstLine="8"/>
        <w:spacing w:after="0" w:line="253" w:lineRule="auto"/>
        <w:tabs>
          <w:tab w:leader="none" w:pos="2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Restated Certificate of Incorporation and the Amended and Restated Bylaws of the Company, each as amended to date; (ii) the Third Restated Certificate of Incorporation and the Amended and Restated Bylaws of Holdings, each as amended to date; (iii) the Indenture; (iv) the Officers’ Certificate delivered pursuant to Section 301 of the Indenture; (v) the Guarantee to be entered into by Holdings in favor of the holders of the Notes concurrently with the issuance of the Notes under the Indenture (the “Guarantee Agreement”); (vi) the Underwriting Agreement; (vii) the Registration Statement and the Prospectus; and (viii) originals, or copies certified or otherwise identified, of corporate records of the Company</w:t>
      </w:r>
    </w:p>
    <w:p>
      <w:pPr>
        <w:sectPr>
          <w:pgSz w:w="11900" w:h="16838" w:orient="portrait"/>
          <w:cols w:equalWidth="0" w:num="1">
            <w:col w:w="11420"/>
          </w:cols>
          <w:pgMar w:left="240" w:top="117"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Inc.</w:t>
            </w:r>
          </w:p>
        </w:tc>
        <w:tc>
          <w:tcPr>
            <w:tcW w:w="410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Holdings, Inc.</w:t>
            </w:r>
          </w:p>
        </w:tc>
        <w:tc>
          <w:tcPr>
            <w:tcW w:w="410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- 2 -</w:t>
            </w:r>
          </w:p>
        </w:tc>
        <w:tc>
          <w:tcPr>
            <w:tcW w:w="3160" w:type="dxa"/>
            <w:vAlign w:val="bottom"/>
          </w:tcPr>
          <w:p>
            <w:pPr>
              <w:ind w:left="2160"/>
              <w:spacing w:after="0"/>
              <w:rPr>
                <w:sz w:val="20"/>
                <w:szCs w:val="20"/>
                <w:color w:val="auto"/>
              </w:rPr>
            </w:pPr>
            <w:r>
              <w:rPr>
                <w:rFonts w:ascii="Times New Roman" w:cs="Times New Roman" w:eastAsia="Times New Roman" w:hAnsi="Times New Roman"/>
                <w:sz w:val="18"/>
                <w:szCs w:val="18"/>
                <w:color w:val="auto"/>
                <w:w w:val="97"/>
              </w:rPr>
              <w:t>May 12, 2016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15060" cy="1117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115060" cy="111760"/>
                    </a:xfrm>
                    <a:prstGeom prst="rect">
                      <a:avLst/>
                    </a:prstGeom>
                    <a:noFill/>
                  </pic:spPr>
                </pic:pic>
              </a:graphicData>
            </a:graphic>
          </wp:anchor>
        </w:drawing>
      </w:r>
    </w:p>
    <w:p>
      <w:pPr>
        <w:ind w:right="60"/>
        <w:spacing w:after="0" w:line="258" w:lineRule="auto"/>
        <w:rPr>
          <w:sz w:val="20"/>
          <w:szCs w:val="20"/>
          <w:color w:val="auto"/>
        </w:rPr>
      </w:pPr>
      <w:r>
        <w:rPr>
          <w:rFonts w:ascii="Times New Roman" w:cs="Times New Roman" w:eastAsia="Times New Roman" w:hAnsi="Times New Roman"/>
          <w:sz w:val="18"/>
          <w:szCs w:val="18"/>
          <w:color w:val="auto"/>
        </w:rPr>
        <w:t>and Holdings, certificates of public officials and of representatives of the Company and Holdings, statutes and other instruments and documents as a basis for the opinions hereinafter expressed. We have relied upon certificates of officers of the Company and Holdings and of public officials with respect to the accuracy of the material factual matters contained in such certificates. In making our examination, we have assumed that all signatures on documents examined by us are genuine, all documents submitted to us as originals are authentic and all documents submitted to us as certified or photostatic copies conformed with the originals of such documents.</w:t>
      </w:r>
    </w:p>
    <w:p>
      <w:pPr>
        <w:spacing w:after="0" w:line="184" w:lineRule="exact"/>
        <w:rPr>
          <w:sz w:val="20"/>
          <w:szCs w:val="20"/>
          <w:color w:val="auto"/>
        </w:rPr>
      </w:pPr>
    </w:p>
    <w:p>
      <w:pPr>
        <w:ind w:right="20" w:firstLine="913"/>
        <w:spacing w:after="0" w:line="282" w:lineRule="auto"/>
        <w:rPr>
          <w:sz w:val="20"/>
          <w:szCs w:val="20"/>
          <w:color w:val="auto"/>
        </w:rPr>
      </w:pPr>
      <w:r>
        <w:rPr>
          <w:rFonts w:ascii="Times New Roman" w:cs="Times New Roman" w:eastAsia="Times New Roman" w:hAnsi="Times New Roman"/>
          <w:sz w:val="18"/>
          <w:szCs w:val="18"/>
          <w:color w:val="auto"/>
        </w:rPr>
        <w:t>In connection with this opinion, we have assumed that the Notes will be issued and sold in compliance with applicable federal and state securities laws and in the manner stated in the Registration Statement and the Prospectus.</w:t>
      </w:r>
    </w:p>
    <w:p>
      <w:pPr>
        <w:spacing w:after="0" w:line="162" w:lineRule="exact"/>
        <w:rPr>
          <w:sz w:val="20"/>
          <w:szCs w:val="20"/>
          <w:color w:val="auto"/>
        </w:rPr>
      </w:pPr>
    </w:p>
    <w:p>
      <w:pPr>
        <w:ind w:right="100" w:firstLine="913"/>
        <w:spacing w:after="0" w:line="253" w:lineRule="auto"/>
        <w:rPr>
          <w:sz w:val="20"/>
          <w:szCs w:val="20"/>
          <w:color w:val="auto"/>
        </w:rPr>
      </w:pPr>
      <w:r>
        <w:rPr>
          <w:rFonts w:ascii="Times New Roman" w:cs="Times New Roman" w:eastAsia="Times New Roman" w:hAnsi="Times New Roman"/>
          <w:sz w:val="18"/>
          <w:szCs w:val="18"/>
          <w:color w:val="auto"/>
        </w:rPr>
        <w:t>On the basis of the foregoing, and subject to the assumptions, limitations and qualifications set forth herein, we are of the opinion that (i) the Notes will, when they have been duly authorized, executed, authenticated, issued and delivered in accordance with the provisions of the Indenture and duly purchased and paid for in accordance with the terms of the Underwriting Agreement, constitute legal, valid and binding obligations of the Company, enforceable against it in accordance with their terms, except to the extent that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(ii) the Guarantee will, when Holdings has duly authorized, executed and delivered the Guarantee Agreement and the Notes have been duly authorized, executed, authenticated, issued and delivered in accordance with the provisions of the Indenture and duly purchased and paid for in accordance with the terms of the Underwriting Agreement, constitute a legal, valid and binding obligation of Holdings, enforceable against it in accordance with its terms, except to the extent that the enforceability thereof may be limited by bankruptcy, insolvency, fraudulent transfer, reorganization, moratorium or other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189" w:lineRule="exact"/>
        <w:rPr>
          <w:sz w:val="20"/>
          <w:szCs w:val="20"/>
          <w:color w:val="auto"/>
        </w:rPr>
      </w:pPr>
    </w:p>
    <w:p>
      <w:pPr>
        <w:ind w:right="240" w:firstLine="913"/>
        <w:spacing w:after="0" w:line="282" w:lineRule="auto"/>
        <w:rPr>
          <w:sz w:val="20"/>
          <w:szCs w:val="20"/>
          <w:color w:val="auto"/>
        </w:rPr>
      </w:pPr>
      <w:r>
        <w:rPr>
          <w:rFonts w:ascii="Times New Roman" w:cs="Times New Roman" w:eastAsia="Times New Roman" w:hAnsi="Times New Roman"/>
          <w:sz w:val="18"/>
          <w:szCs w:val="18"/>
          <w:color w:val="auto"/>
        </w:rPr>
        <w:t>The opinions set forth above are limited in all respects to matters of the General Corporation Law of the State of Delaware, the contract law of the State of New York, and applicable federal laws of the United States, each as currently in effect.</w:t>
      </w:r>
    </w:p>
    <w:p>
      <w:pPr>
        <w:spacing w:after="0" w:line="162" w:lineRule="exact"/>
        <w:rPr>
          <w:sz w:val="20"/>
          <w:szCs w:val="20"/>
          <w:color w:val="auto"/>
        </w:rPr>
      </w:pPr>
    </w:p>
    <w:p>
      <w:pPr>
        <w:ind w:right="60" w:firstLine="913"/>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of counsel as Exhibit 5.1 to the Current Report on Form 8-K and to the incorporation by reference of this opinion of counsel into the Registration Statement. We also consent to the reference to our Firm under the heading “Legal Matters” in the Prospectus. In giving this consent, we do not thereby admit that we are in the category of persons whose consent is required under Section 7 of the Act and the rules and regulations of the Commission thereunder.</w:t>
      </w:r>
    </w:p>
    <w:p>
      <w:pPr>
        <w:sectPr>
          <w:pgSz w:w="11900" w:h="16838" w:orient="portrait"/>
          <w:cols w:equalWidth="0" w:num="1">
            <w:col w:w="11420"/>
          </w:cols>
          <w:pgMar w:left="240" w:top="567"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Inc.</w:t>
            </w:r>
          </w:p>
        </w:tc>
        <w:tc>
          <w:tcPr>
            <w:tcW w:w="410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Holdings, Inc.</w:t>
            </w:r>
          </w:p>
        </w:tc>
        <w:tc>
          <w:tcPr>
            <w:tcW w:w="410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- 3 -</w:t>
            </w:r>
          </w:p>
        </w:tc>
        <w:tc>
          <w:tcPr>
            <w:tcW w:w="3160" w:type="dxa"/>
            <w:vAlign w:val="bottom"/>
          </w:tcPr>
          <w:p>
            <w:pPr>
              <w:ind w:left="2160"/>
              <w:spacing w:after="0"/>
              <w:rPr>
                <w:sz w:val="20"/>
                <w:szCs w:val="20"/>
                <w:color w:val="auto"/>
              </w:rPr>
            </w:pPr>
            <w:r>
              <w:rPr>
                <w:rFonts w:ascii="Times New Roman" w:cs="Times New Roman" w:eastAsia="Times New Roman" w:hAnsi="Times New Roman"/>
                <w:sz w:val="18"/>
                <w:szCs w:val="18"/>
                <w:color w:val="auto"/>
                <w:w w:val="97"/>
              </w:rPr>
              <w:t>May 12, 2016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15060" cy="1117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115060" cy="111760"/>
                    </a:xfrm>
                    <a:prstGeom prst="rect">
                      <a:avLst/>
                    </a:prstGeom>
                    <a:noFill/>
                  </pic:spPr>
                </pic:pic>
              </a:graphicData>
            </a:graphic>
          </wp:anchor>
        </w:drawing>
      </w:r>
    </w:p>
    <w:p>
      <w:pPr>
        <w:jc w:val="center"/>
        <w:ind w:left="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BAKER BOTTS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JAR/MEW/DCU/JAD</w:t>
      </w:r>
    </w:p>
    <w:sectPr>
      <w:pgSz w:w="11900" w:h="16838" w:orient="portrait"/>
      <w:cols w:equalWidth="0" w:num="1">
        <w:col w:w="11420"/>
      </w:cols>
      <w:pgMar w:left="240" w:top="56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1."/>
      <w:numFmt w:val="decimal"/>
      <w:start w:val="1"/>
    </w:lvl>
    <w:lvl w:ilvl="1">
      <w:lvlJc w:val="left"/>
      <w:lvlText w:val="(%2)"/>
      <w:numFmt w:val="lowerLetter"/>
      <w:start w:val="1"/>
    </w:lvl>
  </w:abstractNum>
  <w:abstractNum w:abstractNumId="2">
    <w:nsid w:val="5E884ADC"/>
    <w:multiLevelType w:val="hybridMultilevel"/>
    <w:lvl w:ilvl="0">
      <w:lvlJc w:val="left"/>
      <w:lvlText w:val="(%1)"/>
      <w:numFmt w:val="lowerLetter"/>
      <w:start w:val="3"/>
    </w:lvl>
  </w:abstractNum>
  <w:abstractNum w:abstractNumId="3">
    <w:nsid w:val="51EAD36B"/>
    <w:multiLevelType w:val="hybridMultilevel"/>
    <w:lvl w:ilvl="0">
      <w:lvlJc w:val="left"/>
      <w:lvlText w:val="(%1)"/>
      <w:numFmt w:val="lowerLetter"/>
      <w:start w:val="6"/>
    </w:lvl>
  </w:abstractNum>
  <w:abstractNum w:abstractNumId="4">
    <w:nsid w:val="2D517796"/>
    <w:multiLevelType w:val="hybridMultilevel"/>
    <w:lvl w:ilvl="0">
      <w:lvlJc w:val="left"/>
      <w:lvlText w:val="(%1)"/>
      <w:numFmt w:val="lowerLetter"/>
      <w:start w:val="9"/>
    </w:lvl>
  </w:abstractNum>
  <w:abstractNum w:abstractNumId="5">
    <w:nsid w:val="580BD78F"/>
    <w:multiLevelType w:val="hybridMultilevel"/>
    <w:lvl w:ilvl="0">
      <w:lvlJc w:val="left"/>
      <w:lvlText w:val="(%1)"/>
      <w:numFmt w:val="lowerLetter"/>
      <w:start w:val="13"/>
    </w:lvl>
  </w:abstractNum>
  <w:abstractNum w:abstractNumId="6">
    <w:nsid w:val="153EA438"/>
    <w:multiLevelType w:val="hybridMultilevel"/>
    <w:lvl w:ilvl="0">
      <w:lvlJc w:val="left"/>
      <w:lvlText w:val="(%1)"/>
      <w:numFmt w:val="lowerLetter"/>
      <w:start w:val="17"/>
    </w:lvl>
  </w:abstractNum>
  <w:abstractNum w:abstractNumId="7">
    <w:nsid w:val="3855585C"/>
    <w:multiLevelType w:val="hybridMultilevel"/>
    <w:lvl w:ilvl="0">
      <w:lvlJc w:val="left"/>
      <w:lvlText w:val="(%1)"/>
      <w:numFmt w:val="lowerLetter"/>
      <w:start w:val="23"/>
    </w:lvl>
  </w:abstractNum>
  <w:abstractNum w:abstractNumId="8">
    <w:nsid w:val="70A64E2A"/>
    <w:multiLevelType w:val="hybridMultilevel"/>
    <w:lvl w:ilvl="0">
      <w:lvlJc w:val="left"/>
      <w:lvlText w:val="%1"/>
      <w:numFmt w:val="lowerLetter"/>
      <w:start w:val="1"/>
    </w:lvl>
    <w:lvl w:ilvl="1">
      <w:lvlJc w:val="left"/>
      <w:lvlText w:val="(%2)"/>
      <w:numFmt w:val="lowerLetter"/>
      <w:start w:val="27"/>
    </w:lvl>
  </w:abstractNum>
  <w:abstractNum w:abstractNumId="9">
    <w:nsid w:val="6A2342EC"/>
    <w:multiLevelType w:val="hybridMultilevel"/>
    <w:lvl w:ilvl="0">
      <w:lvlJc w:val="left"/>
      <w:lvlText w:val="(%1)"/>
      <w:numFmt w:val="lowerLetter"/>
      <w:start w:val="35"/>
    </w:lvl>
    <w:lvl w:ilvl="1">
      <w:lvlJc w:val="left"/>
      <w:lvlText w:val="%2"/>
      <w:numFmt w:val="lowerLetter"/>
      <w:start w:val="1"/>
    </w:lvl>
  </w:abstractNum>
  <w:abstractNum w:abstractNumId="10">
    <w:nsid w:val="2A487CB0"/>
    <w:multiLevelType w:val="hybridMultilevel"/>
    <w:lvl w:ilvl="0">
      <w:lvlJc w:val="left"/>
      <w:lvlText w:val="%1"/>
      <w:numFmt w:val="lowerLetter"/>
      <w:start w:val="1"/>
    </w:lvl>
    <w:lvl w:ilvl="1">
      <w:lvlJc w:val="left"/>
      <w:lvlText w:val="(%2)"/>
      <w:numFmt w:val="lowerLetter"/>
      <w:start w:val="28"/>
    </w:lvl>
  </w:abstractNum>
  <w:abstractNum w:abstractNumId="11">
    <w:nsid w:val="1D4ED43B"/>
    <w:multiLevelType w:val="hybridMultilevel"/>
    <w:lvl w:ilvl="0">
      <w:lvlJc w:val="left"/>
      <w:lvlText w:val="(%1)"/>
      <w:numFmt w:val="lowerLetter"/>
      <w:start w:val="9"/>
    </w:lvl>
    <w:lvl w:ilvl="1">
      <w:lvlJc w:val="left"/>
      <w:lvlText w:val="(%2)"/>
      <w:numFmt w:val="lowerLetter"/>
      <w:start w:val="31"/>
    </w:lvl>
  </w:abstractNum>
  <w:abstractNum w:abstractNumId="12">
    <w:nsid w:val="725A06FB"/>
    <w:multiLevelType w:val="hybridMultilevel"/>
    <w:lvl w:ilvl="0">
      <w:lvlJc w:val="left"/>
      <w:lvlText w:val="(%1)"/>
      <w:numFmt w:val="lowerLetter"/>
      <w:start w:val="32"/>
    </w:lvl>
  </w:abstractNum>
  <w:abstractNum w:abstractNumId="13">
    <w:nsid w:val="2CD89A32"/>
    <w:multiLevelType w:val="hybridMultilevel"/>
    <w:lvl w:ilvl="0">
      <w:lvlJc w:val="left"/>
      <w:lvlText w:val="%1"/>
      <w:numFmt w:val="lowerLetter"/>
      <w:start w:val="1"/>
    </w:lvl>
    <w:lvl w:ilvl="1">
      <w:lvlJc w:val="left"/>
      <w:lvlText w:val="(%2)"/>
      <w:numFmt w:val="lowerLetter"/>
      <w:start w:val="35"/>
    </w:lvl>
  </w:abstractNum>
  <w:abstractNum w:abstractNumId="14">
    <w:nsid w:val="57E4CCAF"/>
    <w:multiLevelType w:val="hybridMultilevel"/>
    <w:lvl w:ilvl="0">
      <w:lvlJc w:val="left"/>
      <w:lvlText w:val="(%1)"/>
      <w:numFmt w:val="lowerLetter"/>
      <w:start w:val="9"/>
    </w:lvl>
    <w:lvl w:ilvl="1">
      <w:lvlJc w:val="left"/>
      <w:lvlText w:val="(%2)"/>
      <w:numFmt w:val="lowerLetter"/>
      <w:start w:val="38"/>
    </w:lvl>
  </w:abstractNum>
  <w:abstractNum w:abstractNumId="15">
    <w:nsid w:val="7A6D8D3C"/>
    <w:multiLevelType w:val="hybridMultilevel"/>
    <w:lvl w:ilvl="0">
      <w:lvlJc w:val="left"/>
      <w:lvlText w:val="(%1)"/>
      <w:numFmt w:val="lowerLetter"/>
      <w:start w:val="9"/>
    </w:lvl>
    <w:lvl w:ilvl="1">
      <w:lvlJc w:val="left"/>
      <w:lvlText w:val="(%2)"/>
      <w:numFmt w:val="lowerLetter"/>
      <w:start w:val="39"/>
    </w:lvl>
  </w:abstractNum>
  <w:abstractNum w:abstractNumId="16">
    <w:nsid w:val="4B588F54"/>
    <w:multiLevelType w:val="hybridMultilevel"/>
    <w:lvl w:ilvl="0">
      <w:lvlJc w:val="left"/>
      <w:lvlText w:val="(%1)"/>
      <w:numFmt w:val="lowerLetter"/>
      <w:start w:val="40"/>
    </w:lvl>
  </w:abstractNum>
  <w:abstractNum w:abstractNumId="17">
    <w:nsid w:val="542289EC"/>
    <w:multiLevelType w:val="hybridMultilevel"/>
    <w:lvl w:ilvl="0">
      <w:lvlJc w:val="left"/>
      <w:lvlText w:val="%1."/>
      <w:numFmt w:val="decimal"/>
      <w:start w:val="2"/>
    </w:lvl>
  </w:abstractNum>
  <w:abstractNum w:abstractNumId="18">
    <w:nsid w:val="6DE91B18"/>
    <w:multiLevelType w:val="hybridMultilevel"/>
    <w:lvl w:ilvl="0">
      <w:lvlJc w:val="left"/>
      <w:lvlText w:val="%1."/>
      <w:numFmt w:val="decimal"/>
      <w:start w:val="3"/>
    </w:lvl>
  </w:abstractNum>
  <w:abstractNum w:abstractNumId="19">
    <w:nsid w:val="38437FD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2"/>
    </w:lvl>
  </w:abstractNum>
  <w:abstractNum w:abstractNumId="20">
    <w:nsid w:val="7644A45C"/>
    <w:multiLevelType w:val="hybridMultilevel"/>
    <w:lvl w:ilvl="0">
      <w:lvlJc w:val="left"/>
      <w:lvlText w:val="%1"/>
      <w:numFmt w:val="decimal"/>
      <w:start w:val="1"/>
    </w:lvl>
    <w:lvl w:ilvl="1">
      <w:lvlJc w:val="left"/>
      <w:lvlText w:val="(%2)"/>
      <w:numFmt w:val="lowerLetter"/>
      <w:start w:val="4"/>
    </w:lvl>
  </w:abstractNum>
  <w:abstractNum w:abstractNumId="21">
    <w:nsid w:val="32FFF902"/>
    <w:multiLevelType w:val="hybridMultilevel"/>
    <w:lvl w:ilvl="0">
      <w:lvlJc w:val="left"/>
      <w:lvlText w:val="(%1)"/>
      <w:numFmt w:val="decimal"/>
      <w:start w:val="2"/>
    </w:lvl>
    <w:lvl w:ilvl="1">
      <w:lvlJc w:val="left"/>
      <w:lvlText w:val="(%2)"/>
      <w:numFmt w:val="lowerLetter"/>
      <w:start w:val="5"/>
    </w:lvl>
  </w:abstractNum>
  <w:abstractNum w:abstractNumId="22">
    <w:nsid w:val="684A481A"/>
    <w:multiLevelType w:val="hybridMultilevel"/>
    <w:lvl w:ilvl="0">
      <w:lvlJc w:val="left"/>
      <w:lvlText w:val="%1"/>
      <w:numFmt w:val="decimal"/>
      <w:start w:val="1"/>
    </w:lvl>
    <w:lvl w:ilvl="1">
      <w:lvlJc w:val="left"/>
      <w:lvlText w:val="(%2)"/>
      <w:numFmt w:val="lowerLetter"/>
      <w:start w:val="8"/>
    </w:lvl>
  </w:abstractNum>
  <w:abstractNum w:abstractNumId="23">
    <w:nsid w:val="579478FE"/>
    <w:multiLevelType w:val="hybridMultilevel"/>
    <w:lvl w:ilvl="0">
      <w:lvlJc w:val="left"/>
      <w:lvlText w:val="%1."/>
      <w:numFmt w:val="decimal"/>
      <w:start w:val="6"/>
    </w:lvl>
    <w:lvl w:ilvl="1">
      <w:lvlJc w:val="left"/>
      <w:lvlText w:val="(%2)"/>
      <w:numFmt w:val="lowerLetter"/>
      <w:start w:val="1"/>
    </w:lvl>
  </w:abstractNum>
  <w:abstractNum w:abstractNumId="24">
    <w:nsid w:val="749ABB43"/>
    <w:multiLevelType w:val="hybridMultilevel"/>
    <w:lvl w:ilvl="0">
      <w:lvlJc w:val="left"/>
      <w:lvlText w:val="%1"/>
      <w:numFmt w:val="decimal"/>
      <w:start w:val="405"/>
    </w:lvl>
    <w:lvl w:ilvl="1">
      <w:lvlJc w:val="left"/>
      <w:lvlText w:val="%2"/>
      <w:numFmt w:val="lowerLetter"/>
      <w:start w:val="1"/>
    </w:lvl>
  </w:abstractNum>
  <w:abstractNum w:abstractNumId="25">
    <w:nsid w:val="3DC240F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6">
    <w:nsid w:val="1BA026F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7">
    <w:nsid w:val="79A1DEAA"/>
    <w:multiLevelType w:val="hybridMultilevel"/>
    <w:lvl w:ilvl="0">
      <w:lvlJc w:val="left"/>
      <w:lvlText w:val="(%1)"/>
      <w:numFmt w:val="lowerRoman"/>
      <w:start w:val="4"/>
    </w:lvl>
  </w:abstractNum>
  <w:abstractNum w:abstractNumId="28">
    <w:nsid w:val="75C6C33A"/>
    <w:multiLevelType w:val="hybridMultilevel"/>
    <w:lvl w:ilvl="0">
      <w:lvlJc w:val="left"/>
      <w:lvlText w:val="(%1)"/>
      <w:numFmt w:val="lowerRoman"/>
      <w:start w:val="9"/>
    </w:lvl>
  </w:abstractNum>
  <w:abstractNum w:abstractNumId="29">
    <w:nsid w:val="12E685FB"/>
    <w:multiLevelType w:val="hybridMultilevel"/>
    <w:lvl w:ilvl="0">
      <w:lvlJc w:val="left"/>
      <w:lvlText w:val="(%1)"/>
      <w:numFmt w:val="lowerRoman"/>
      <w:start w:val="7"/>
    </w:lvl>
  </w:abstractNum>
  <w:abstractNum w:abstractNumId="30">
    <w:nsid w:val="70C6A529"/>
    <w:multiLevelType w:val="hybridMultilevel"/>
    <w:lvl w:ilvl="0">
      <w:lvlJc w:val="left"/>
      <w:lvlText w:val="(%1)"/>
      <w:numFmt w:val="lowerLetter"/>
      <w:start w:val="2"/>
    </w:lvl>
  </w:abstractNum>
  <w:abstractNum w:abstractNumId="31">
    <w:nsid w:val="520EEDD1"/>
    <w:multiLevelType w:val="hybridMultilevel"/>
    <w:lvl w:ilvl="0">
      <w:lvlJc w:val="left"/>
      <w:lvlText w:val="(%1)"/>
      <w:numFmt w:val="lowerLetter"/>
      <w:start w:val="3"/>
    </w:lvl>
    <w:lvl w:ilvl="1">
      <w:lvlJc w:val="left"/>
      <w:lvlText w:val="(%2)"/>
      <w:numFmt w:val="lowerLetter"/>
      <w:start w:val="9"/>
    </w:lvl>
  </w:abstractNum>
  <w:abstractNum w:abstractNumId="32">
    <w:nsid w:val="374A3FE6"/>
    <w:multiLevelType w:val="hybridMultilevel"/>
    <w:lvl w:ilvl="0">
      <w:lvlJc w:val="left"/>
      <w:lvlText w:val="(%1)"/>
      <w:numFmt w:val="lowerRoman"/>
      <w:start w:val="2"/>
    </w:lvl>
  </w:abstractNum>
  <w:abstractNum w:abstractNumId="33">
    <w:nsid w:val="4F4EF005"/>
    <w:multiLevelType w:val="hybridMultilevel"/>
    <w:lvl w:ilvl="0">
      <w:lvlJc w:val="left"/>
      <w:lvlText w:val="(%1)"/>
      <w:numFmt w:val="lowerLetter"/>
      <w:start w:val="4"/>
    </w:lvl>
    <w:lvl w:ilvl="1">
      <w:lvlJc w:val="left"/>
      <w:lvlText w:val="(%2)"/>
      <w:numFmt w:val="lowerRoman"/>
      <w:start w:val="1"/>
    </w:lvl>
  </w:abstractNum>
  <w:abstractNum w:abstractNumId="34">
    <w:nsid w:val="23F9C13C"/>
    <w:multiLevelType w:val="hybridMultilevel"/>
    <w:lvl w:ilvl="0">
      <w:lvlJc w:val="left"/>
      <w:lvlText w:val="%1"/>
      <w:numFmt w:val="upperLetter"/>
      <w:start w:val="1"/>
    </w:lvl>
    <w:lvl w:ilvl="1">
      <w:lvlJc w:val="left"/>
      <w:lvlText w:val="(%2)"/>
      <w:numFmt w:val="lowerRoman"/>
      <w:start w:val="1"/>
    </w:lvl>
  </w:abstractNum>
  <w:abstractNum w:abstractNumId="35">
    <w:nsid w:val="649BB77C"/>
    <w:multiLevelType w:val="hybridMultilevel"/>
    <w:lvl w:ilvl="0">
      <w:lvlJc w:val="left"/>
      <w:lvlText w:val="(%1)"/>
      <w:numFmt w:val="upperLetter"/>
      <w:start w:val="1"/>
    </w:lvl>
    <w:lvl w:ilvl="1">
      <w:lvlJc w:val="left"/>
      <w:lvlText w:val="%2"/>
      <w:numFmt w:val="lowerRoman"/>
      <w:start w:val="1"/>
    </w:lvl>
  </w:abstractNum>
  <w:abstractNum w:abstractNumId="36">
    <w:nsid w:val="275AC794"/>
    <w:multiLevelType w:val="hybridMultilevel"/>
    <w:lvl w:ilvl="0">
      <w:lvlJc w:val="left"/>
      <w:lvlText w:val="(%1)"/>
      <w:numFmt w:val="lowerLetter"/>
      <w:start w:val="7"/>
    </w:lvl>
  </w:abstractNum>
  <w:abstractNum w:abstractNumId="37">
    <w:nsid w:val="39386575"/>
    <w:multiLevelType w:val="hybridMultilevel"/>
    <w:lvl w:ilvl="0">
      <w:lvlJc w:val="left"/>
      <w:lvlText w:val="%1."/>
      <w:numFmt w:val="decimal"/>
      <w:start w:val="8"/>
    </w:lvl>
  </w:abstractNum>
  <w:abstractNum w:abstractNumId="38">
    <w:nsid w:val="1CF10FD8"/>
    <w:multiLevelType w:val="hybridMultilevel"/>
    <w:lvl w:ilvl="0">
      <w:lvlJc w:val="left"/>
      <w:lvlText w:val="%1."/>
      <w:numFmt w:val="decimal"/>
      <w:start w:val="9"/>
    </w:lvl>
  </w:abstractNum>
  <w:abstractNum w:abstractNumId="39">
    <w:nsid w:val="180115BE"/>
    <w:multiLevelType w:val="hybridMultilevel"/>
    <w:lvl w:ilvl="0">
      <w:lvlJc w:val="left"/>
      <w:lvlText w:val="(%1)"/>
      <w:numFmt w:val="lowerLetter"/>
      <w:start w:val="2"/>
    </w:lvl>
  </w:abstractNum>
  <w:abstractNum w:abstractNumId="40">
    <w:nsid w:val="235BA861"/>
    <w:multiLevelType w:val="hybridMultilevel"/>
    <w:lvl w:ilvl="0">
      <w:lvlJc w:val="left"/>
      <w:lvlText w:val="%1"/>
      <w:numFmt w:val="lowerLetter"/>
      <w:start w:val="1"/>
    </w:lvl>
    <w:lvl w:ilvl="1">
      <w:lvlJc w:val="left"/>
      <w:lvlText w:val="(%2)"/>
      <w:numFmt w:val="lowerLetter"/>
      <w:start w:val="3"/>
    </w:lvl>
  </w:abstractNum>
  <w:abstractNum w:abstractNumId="41">
    <w:nsid w:val="47398C89"/>
    <w:multiLevelType w:val="hybridMultilevel"/>
    <w:lvl w:ilvl="0">
      <w:lvlJc w:val="left"/>
      <w:lvlText w:val="(%1)"/>
      <w:numFmt w:val="lowerLetter"/>
      <w:start w:val="2"/>
    </w:lvl>
    <w:lvl w:ilvl="1">
      <w:lvlJc w:val="left"/>
      <w:lvlText w:val="(%2)"/>
      <w:numFmt w:val="lowerLetter"/>
      <w:start w:val="4"/>
    </w:lvl>
  </w:abstractNum>
  <w:abstractNum w:abstractNumId="42">
    <w:nsid w:val="354FE9F9"/>
    <w:multiLevelType w:val="hybridMultilevel"/>
    <w:lvl w:ilvl="0">
      <w:lvlJc w:val="left"/>
      <w:lvlText w:val="%1."/>
      <w:numFmt w:val="decimal"/>
      <w:start w:val="10"/>
    </w:lvl>
  </w:abstractNum>
  <w:abstractNum w:abstractNumId="43">
    <w:nsid w:val="15B5AF5C"/>
    <w:multiLevelType w:val="hybridMultilevel"/>
    <w:lvl w:ilvl="0">
      <w:lvlJc w:val="left"/>
      <w:lvlText w:val="%1."/>
      <w:numFmt w:val="decimal"/>
      <w:start w:val="11"/>
    </w:lvl>
  </w:abstractNum>
  <w:abstractNum w:abstractNumId="44">
    <w:nsid w:val="741226BB"/>
    <w:multiLevelType w:val="hybridMultilevel"/>
    <w:lvl w:ilvl="0">
      <w:lvlJc w:val="left"/>
      <w:lvlText w:val="%1."/>
      <w:numFmt w:val="decimal"/>
      <w:start w:val="15"/>
    </w:lvl>
  </w:abstractNum>
  <w:abstractNum w:abstractNumId="45">
    <w:nsid w:val="D34B6A8"/>
    <w:multiLevelType w:val="hybridMultilevel"/>
    <w:lvl w:ilvl="0">
      <w:lvlJc w:val="left"/>
      <w:lvlText w:val="%1."/>
      <w:numFmt w:val="decimal"/>
      <w:start w:val="19"/>
    </w:lvl>
  </w:abstractNum>
  <w:abstractNum w:abstractNumId="46">
    <w:nsid w:val="10233C99"/>
    <w:multiLevelType w:val="hybridMultilevel"/>
    <w:lvl w:ilvl="0">
      <w:lvlJc w:val="left"/>
      <w:lvlText w:val="%1."/>
      <w:numFmt w:val="decimal"/>
      <w:start w:val="1"/>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1)"/>
      <w:numFmt w:val="decimal"/>
      <w:start w:val="8"/>
    </w:lvl>
  </w:abstractNum>
  <w:abstractNum w:abstractNumId="49">
    <w:nsid w:val="7E0C57B1"/>
    <w:multiLevelType w:val="hybridMultilevel"/>
    <w:lvl w:ilvl="0">
      <w:lvlJc w:val="left"/>
      <w:lvlText w:val="%1."/>
      <w:numFmt w:val="decimal"/>
      <w:start w:val="1"/>
    </w:lvl>
  </w:abstractNum>
  <w:abstractNum w:abstractNumId="50">
    <w:nsid w:val="77AE35EB"/>
    <w:multiLevelType w:val="hybridMultilevel"/>
    <w:lvl w:ilvl="0">
      <w:lvlJc w:val="left"/>
      <w:lvlText w:val="%1."/>
      <w:numFmt w:val="decimal"/>
      <w:start w:val="2"/>
    </w:lvl>
  </w:abstractNum>
  <w:abstractNum w:abstractNumId="51">
    <w:nsid w:val="579BE4F1"/>
    <w:multiLevelType w:val="hybridMultilevel"/>
    <w:lvl w:ilvl="0">
      <w:lvlJc w:val="left"/>
      <w:lvlText w:val="%1."/>
      <w:numFmt w:val="decimal"/>
      <w:start w:val="3"/>
    </w:lvl>
  </w:abstractNum>
  <w:abstractNum w:abstractNumId="52">
    <w:nsid w:val="310C50B3"/>
    <w:multiLevelType w:val="hybridMultilevel"/>
    <w:lvl w:ilvl="0">
      <w:lvlJc w:val="left"/>
      <w:lvlText w:val="%1."/>
      <w:numFmt w:val="decimal"/>
      <w:start w:val="4"/>
    </w:lvl>
  </w:abstractNum>
  <w:abstractNum w:abstractNumId="53">
    <w:nsid w:val="5FF87E05"/>
    <w:multiLevelType w:val="hybridMultilevel"/>
    <w:lvl w:ilvl="0">
      <w:lvlJc w:val="left"/>
      <w:lvlText w:val="%1."/>
      <w:numFmt w:val="decimal"/>
      <w:start w:val="5"/>
    </w:lvl>
  </w:abstractNum>
  <w:abstractNum w:abstractNumId="54">
    <w:nsid w:val="2F305DEF"/>
    <w:multiLevelType w:val="hybridMultilevel"/>
    <w:lvl w:ilvl="0">
      <w:lvlJc w:val="left"/>
      <w:lvlText w:val="%1."/>
      <w:numFmt w:val="decimal"/>
      <w:start w:val="6"/>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1)"/>
      <w:numFmt w:val="upperLetter"/>
      <w:start w:val="2"/>
    </w:lvl>
  </w:abstractNum>
  <w:abstractNum w:abstractNumId="57">
    <w:nsid w:val="4AD084E9"/>
    <w:multiLevelType w:val="hybridMultilevel"/>
    <w:lvl w:ilvl="0">
      <w:lvlJc w:val="left"/>
      <w:lvlText w:val="%1."/>
      <w:numFmt w:val="decimal"/>
      <w:start w:val="7"/>
    </w:lvl>
  </w:abstractNum>
  <w:abstractNum w:abstractNumId="58">
    <w:nsid w:val="1F48EAA1"/>
    <w:multiLevelType w:val="hybridMultilevel"/>
    <w:lvl w:ilvl="0">
      <w:lvlJc w:val="left"/>
      <w:lvlText w:val="%1."/>
      <w:numFmt w:val="decimal"/>
      <w:start w:val="8"/>
    </w:lvl>
  </w:abstractNum>
  <w:abstractNum w:abstractNumId="59">
    <w:nsid w:val="1381823A"/>
    <w:multiLevelType w:val="hybridMultilevel"/>
    <w:lvl w:ilvl="0">
      <w:lvlJc w:val="left"/>
      <w:lvlText w:val="%1."/>
      <w:numFmt w:val="decimal"/>
      <w:start w:val="9"/>
    </w:lvl>
  </w:abstractNum>
  <w:abstractNum w:abstractNumId="60">
    <w:nsid w:val="5DB70AE5"/>
    <w:multiLevelType w:val="hybridMultilevel"/>
    <w:lvl w:ilvl="0">
      <w:lvlJc w:val="left"/>
      <w:lvlText w:val="%1."/>
      <w:numFmt w:val="decimal"/>
      <w:start w:val="10"/>
    </w:lvl>
  </w:abstractNum>
  <w:abstractNum w:abstractNumId="61">
    <w:nsid w:val="100F8FCA"/>
    <w:multiLevelType w:val="hybridMultilevel"/>
    <w:lvl w:ilvl="0">
      <w:lvlJc w:val="left"/>
      <w:lvlText w:val="%1."/>
      <w:numFmt w:val="decimal"/>
      <w:start w:val="11"/>
    </w:lvl>
  </w:abstractNum>
  <w:abstractNum w:abstractNumId="62">
    <w:nsid w:val="6590700B"/>
    <w:multiLevelType w:val="hybridMultilevel"/>
    <w:lvl w:ilvl="0">
      <w:lvlJc w:val="left"/>
      <w:lvlText w:val="%1."/>
      <w:numFmt w:val="decimal"/>
      <w:start w:val="12"/>
    </w:lvl>
  </w:abstractNum>
  <w:abstractNum w:abstractNumId="63">
    <w:nsid w:val="15014ACB"/>
    <w:multiLevelType w:val="hybridMultilevel"/>
    <w:lvl w:ilvl="0">
      <w:lvlJc w:val="left"/>
      <w:lvlText w:val="%1."/>
      <w:numFmt w:val="decimal"/>
      <w:start w:val="13"/>
    </w:lvl>
  </w:abstractNum>
  <w:abstractNum w:abstractNumId="64">
    <w:nsid w:val="5F5E7FD0"/>
    <w:multiLevelType w:val="hybridMultilevel"/>
    <w:lvl w:ilvl="0">
      <w:lvlJc w:val="left"/>
      <w:lvlText w:val="%1."/>
      <w:numFmt w:val="decimal"/>
      <w:start w:val="14"/>
    </w:lvl>
  </w:abstractNum>
  <w:abstractNum w:abstractNumId="65">
    <w:nsid w:val="98A3148"/>
    <w:multiLevelType w:val="hybridMultilevel"/>
    <w:lvl w:ilvl="0">
      <w:lvlJc w:val="left"/>
      <w:lvlText w:val="%1."/>
      <w:numFmt w:val="decimal"/>
      <w:start w:val="15"/>
    </w:lvl>
  </w:abstractNum>
  <w:abstractNum w:abstractNumId="66">
    <w:nsid w:val="799D0247"/>
    <w:multiLevelType w:val="hybridMultilevel"/>
    <w:lvl w:ilvl="0">
      <w:lvlJc w:val="left"/>
      <w:lvlText w:val="%1."/>
      <w:numFmt w:val="decimal"/>
      <w:start w:val="16"/>
    </w:lvl>
  </w:abstractNum>
  <w:abstractNum w:abstractNumId="67">
    <w:nsid w:val="6B94764"/>
    <w:multiLevelType w:val="hybridMultilevel"/>
    <w:lvl w:ilvl="0">
      <w:lvlJc w:val="left"/>
      <w:lvlText w:val="%1."/>
      <w:numFmt w:val="decimal"/>
      <w:start w:val="17"/>
    </w:lvl>
  </w:abstractNum>
  <w:abstractNum w:abstractNumId="68">
    <w:nsid w:val="42C296BD"/>
    <w:multiLevelType w:val="hybridMultilevel"/>
    <w:lvl w:ilvl="0">
      <w:lvlJc w:val="left"/>
      <w:lvlText w:val="%1."/>
      <w:numFmt w:val="decimal"/>
      <w:start w:val="18"/>
    </w:lvl>
  </w:abstractNum>
  <w:abstractNum w:abstractNumId="69">
    <w:nsid w:val="168E121F"/>
    <w:multiLevelType w:val="hybridMultilevel"/>
    <w:lvl w:ilvl="0">
      <w:lvlJc w:val="left"/>
      <w:lvlText w:val="(%1)"/>
      <w:numFmt w:val="lowerLetter"/>
      <w:start w:val="1"/>
    </w:lvl>
  </w:abstractNum>
  <w:abstractNum w:abstractNumId="70">
    <w:nsid w:val="1EBA5D23"/>
    <w:multiLevelType w:val="hybridMultilevel"/>
    <w:lvl w:ilvl="0">
      <w:lvlJc w:val="left"/>
      <w:lvlText w:val="(%1)"/>
      <w:numFmt w:val="lowerRoman"/>
      <w:start w:val="1"/>
    </w:lvl>
  </w:abstractNum>
  <w:abstractNum w:abstractNumId="71">
    <w:nsid w:val="661E3F1E"/>
    <w:multiLevelType w:val="hybridMultilevel"/>
    <w:lvl w:ilvl="0">
      <w:lvlJc w:val="left"/>
      <w:lvlText w:val="(%1)"/>
      <w:numFmt w:val="lowerRoman"/>
      <w:start w:val="3"/>
    </w:lvl>
  </w:abstractNum>
  <w:abstractNum w:abstractNumId="72">
    <w:nsid w:val="5DC79EA8"/>
    <w:multiLevelType w:val="hybridMultilevel"/>
    <w:lvl w:ilvl="0">
      <w:lvlJc w:val="left"/>
      <w:lvlText w:val="(%1)"/>
      <w:numFmt w:val="lowerLetter"/>
      <w:start w:val="1"/>
    </w:lvl>
  </w:abstractNum>
  <w:abstractNum w:abstractNumId="73">
    <w:nsid w:val="540A471C"/>
    <w:multiLevelType w:val="hybridMultilevel"/>
    <w:lvl w:ilvl="0">
      <w:lvlJc w:val="left"/>
      <w:lvlText w:val="(%1)"/>
      <w:numFmt w:val="lowerRoman"/>
      <w:start w:val="2"/>
    </w:lvl>
  </w:abstractNum>
  <w:abstractNum w:abstractNumId="74">
    <w:nsid w:val="7BD3EE7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2019-12-05T20:47:11Z</dcterms:created>
  <dcterms:modified xsi:type="dcterms:W3CDTF">2019-12-05T20:47:11Z</dcterms:modified>
</cp:coreProperties>
</file>