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50"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280" w:space="720"/>
            <w:col w:w="2820" w:space="720"/>
            <w:col w:w="2760"/>
          </w:cols>
          <w:pgMar w:left="240" w:top="368" w:right="359" w:bottom="1440" w:gutter="0" w:footer="0" w:header="0"/>
          <w:type w:val="continuous"/>
        </w:sectPr>
      </w:pPr>
    </w:p>
    <w:p>
      <w:pPr>
        <w:spacing w:after="0" w:line="24" w:lineRule="exact"/>
        <w:rPr>
          <w:sz w:val="24"/>
          <w:szCs w:val="24"/>
          <w:color w:val="auto"/>
        </w:rPr>
      </w:pPr>
    </w:p>
    <w:p>
      <w:pPr>
        <w:ind w:left="1780"/>
        <w:spacing w:after="0"/>
        <w:rPr>
          <w:sz w:val="20"/>
          <w:szCs w:val="20"/>
          <w:color w:val="auto"/>
        </w:rPr>
      </w:pPr>
      <w:r>
        <w:rPr>
          <w:rFonts w:ascii="Arial" w:cs="Arial" w:eastAsia="Arial" w:hAnsi="Arial"/>
          <w:sz w:val="16"/>
          <w:szCs w:val="16"/>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20" w:firstLine="45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first quarter of 2017,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94449507. A replay of the call will be available on the Company’s website and by telephone until May 10, 2017. To access a replay telephonically, please dial (855) 859-2056 and use the replay conference ID number 94449507.</w:t>
      </w:r>
    </w:p>
    <w:p>
      <w:pPr>
        <w:spacing w:after="0" w:line="15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footnote (b) and the tables that accompany the press release.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April 26, 2017</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26,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Charles C. Boettcher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Legal Officer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6350</wp:posOffset>
            </wp:positionV>
            <wp:extent cx="6569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9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26, 2017</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spacing w:after="0"/>
        <w:tabs>
          <w:tab w:leader="none" w:pos="10260" w:val="left"/>
        </w:tabs>
        <w:rPr>
          <w:sz w:val="20"/>
          <w:szCs w:val="20"/>
          <w:color w:val="auto"/>
        </w:rPr>
      </w:pPr>
      <w:r>
        <w:rPr>
          <w:rFonts w:ascii="Arial" w:cs="Arial" w:eastAsia="Arial" w:hAnsi="Arial"/>
          <w:sz w:val="18"/>
          <w:szCs w:val="18"/>
          <w:b w:val="1"/>
          <w:bCs w:val="1"/>
          <w:color w:val="auto"/>
        </w:rPr>
        <w:t>FOR IMMEDIATE RELEASE</w:t>
      </w:r>
      <w:r>
        <w:rPr>
          <w:sz w:val="20"/>
          <w:szCs w:val="20"/>
          <w:color w:val="auto"/>
        </w:rPr>
        <w:tab/>
      </w:r>
      <w:r>
        <w:rPr>
          <w:rFonts w:ascii="Arial" w:cs="Arial" w:eastAsia="Arial" w:hAnsi="Arial"/>
          <w:sz w:val="18"/>
          <w:szCs w:val="18"/>
          <w:b w:val="1"/>
          <w:bCs w:val="1"/>
          <w:color w:val="auto"/>
        </w:rPr>
        <w:t>EXHIBIT 99.1</w:t>
      </w:r>
    </w:p>
    <w:p>
      <w:pPr>
        <w:spacing w:after="0" w:line="235" w:lineRule="exact"/>
        <w:rPr>
          <w:sz w:val="20"/>
          <w:szCs w:val="20"/>
          <w:color w:val="auto"/>
        </w:rPr>
      </w:pPr>
    </w:p>
    <w:p>
      <w:pPr>
        <w:ind w:left="140"/>
        <w:spacing w:after="0"/>
        <w:rPr>
          <w:sz w:val="20"/>
          <w:szCs w:val="20"/>
          <w:color w:val="auto"/>
        </w:rPr>
      </w:pPr>
      <w:r>
        <w:rPr>
          <w:rFonts w:ascii="Arial" w:cs="Arial" w:eastAsia="Arial" w:hAnsi="Arial"/>
          <w:sz w:val="40"/>
          <w:szCs w:val="40"/>
          <w:color w:val="auto"/>
        </w:rPr>
        <w:t>Waste Management Announces First Quarter Earnings</w:t>
      </w:r>
    </w:p>
    <w:p>
      <w:pPr>
        <w:sectPr>
          <w:pgSz w:w="11900" w:h="16838" w:orient="portrait"/>
          <w:cols w:equalWidth="0" w:num="1">
            <w:col w:w="11420"/>
          </w:cols>
          <w:pgMar w:left="240" w:top="121" w:right="239"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Grows 8.3%, Producing Strong Net Income and Cash Flow</w:t>
      </w:r>
    </w:p>
    <w:p>
      <w:pPr>
        <w:spacing w:after="0" w:line="2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Earnings Per Diluted Share Grows More Than 15%</w:t>
      </w:r>
    </w:p>
    <w:p>
      <w:pPr>
        <w:spacing w:after="0" w:line="24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HOUSTON – April 26, 2017 </w:t>
      </w:r>
      <w:r>
        <w:rPr>
          <w:rFonts w:ascii="Arial" w:cs="Arial" w:eastAsia="Arial" w:hAnsi="Arial"/>
          <w:sz w:val="18"/>
          <w:szCs w:val="18"/>
          <w:color w:val="auto"/>
        </w:rPr>
        <w:t>– Waste Management, Inc. (NYSE: WM) today announced financial results for its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31, 2017. Revenues for the first quarter of 2017 were $3.44 billion compared with $3.18 billion for the same 2016 period. Net income for the quarter was $298 million, or $0.67 per diluted share, compared with $258 million, or $0.58 per diluted share, for the first quarter of 2016.</w:t>
      </w:r>
      <w:r>
        <w:rPr>
          <w:rFonts w:ascii="Arial" w:cs="Arial" w:eastAsia="Arial" w:hAnsi="Arial"/>
          <w:sz w:val="15"/>
          <w:szCs w:val="15"/>
          <w:color w:val="auto"/>
        </w:rPr>
        <w:t>(a)</w:t>
      </w:r>
      <w:r>
        <w:rPr>
          <w:rFonts w:ascii="Arial" w:cs="Arial" w:eastAsia="Arial" w:hAnsi="Arial"/>
          <w:sz w:val="18"/>
          <w:szCs w:val="18"/>
          <w:color w:val="auto"/>
        </w:rPr>
        <w:t xml:space="preserve"> On an as-adjusted basis, excluding certain items, net income was $291 million, or $0.66 per diluted share, in the first quarter of 2017.</w:t>
      </w:r>
      <w:r>
        <w:rPr>
          <w:rFonts w:ascii="Arial" w:cs="Arial" w:eastAsia="Arial" w:hAnsi="Arial"/>
          <w:sz w:val="15"/>
          <w:szCs w:val="15"/>
          <w:color w:val="auto"/>
        </w:rPr>
        <w:t>(b)</w:t>
      </w:r>
    </w:p>
    <w:p>
      <w:pPr>
        <w:spacing w:after="0" w:line="2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as-adjusted first quarter 2017 results exclude a $0.07 per diluted share tax benefit related to equity-based compensation and a non-cash charge of $0.06 per diluted share related to the impairment of an equity investment in a waste diversion technology company.</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Jim Fish, President and Chief Executive Officer of Waste Management, commented, “We are pleased with our strong first quarter results, as we met or exceeded all of our internal targets. On an as-adjusted basis, we saw earnings growth of almost 14%.</w:t>
      </w:r>
      <w:r>
        <w:rPr>
          <w:rFonts w:ascii="Arial" w:cs="Arial" w:eastAsia="Arial" w:hAnsi="Arial"/>
          <w:sz w:val="15"/>
          <w:szCs w:val="15"/>
          <w:color w:val="auto"/>
        </w:rPr>
        <w:t>(b)</w:t>
      </w:r>
      <w:r>
        <w:rPr>
          <w:rFonts w:ascii="Arial" w:cs="Arial" w:eastAsia="Arial" w:hAnsi="Arial"/>
          <w:sz w:val="18"/>
          <w:szCs w:val="18"/>
          <w:color w:val="auto"/>
        </w:rPr>
        <w:t xml:space="preserve"> Operating EBITDA grew 8.0% due to strength in both our traditional solid waste business and our recycling business, which in turn drove strong first quarter cash flows.</w:t>
      </w:r>
      <w:r>
        <w:rPr>
          <w:rFonts w:ascii="Arial" w:cs="Arial" w:eastAsia="Arial" w:hAnsi="Arial"/>
          <w:sz w:val="15"/>
          <w:szCs w:val="15"/>
          <w:color w:val="auto"/>
        </w:rPr>
        <w:t>(c)</w:t>
      </w:r>
      <w:r>
        <w:rPr>
          <w:rFonts w:ascii="Arial" w:cs="Arial" w:eastAsia="Arial" w:hAnsi="Arial"/>
          <w:sz w:val="18"/>
          <w:szCs w:val="18"/>
          <w:color w:val="auto"/>
        </w:rPr>
        <w:t xml:space="preserve"> This performance led to us exceeding our internal targets for operating EBITDA and free cash flow.”</w:t>
      </w:r>
      <w:r>
        <w:rPr>
          <w:rFonts w:ascii="Arial" w:cs="Arial" w:eastAsia="Arial" w:hAnsi="Arial"/>
          <w:sz w:val="15"/>
          <w:szCs w:val="15"/>
          <w:color w:val="auto"/>
        </w:rPr>
        <w:t>(b)</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2017</w:t>
      </w:r>
    </w:p>
    <w:p>
      <w:pPr>
        <w:spacing w:after="0" w:line="135" w:lineRule="exact"/>
        <w:rPr>
          <w:sz w:val="20"/>
          <w:szCs w:val="20"/>
          <w:color w:val="auto"/>
        </w:rPr>
      </w:pPr>
    </w:p>
    <w:p>
      <w:pPr>
        <w:ind w:left="720" w:right="220" w:hanging="262"/>
        <w:spacing w:after="0" w:line="312" w:lineRule="auto"/>
        <w:tabs>
          <w:tab w:leader="none" w:pos="693" w:val="left"/>
        </w:tabs>
        <w:numPr>
          <w:ilvl w:val="0"/>
          <w:numId w:val="2"/>
        </w:numPr>
        <w:rPr>
          <w:rFonts w:ascii="Arial" w:cs="Arial" w:eastAsia="Arial" w:hAnsi="Arial"/>
          <w:sz w:val="16"/>
          <w:szCs w:val="16"/>
          <w:color w:val="auto"/>
        </w:rPr>
      </w:pPr>
      <w:r>
        <w:rPr>
          <w:rFonts w:ascii="Arial" w:cs="Arial" w:eastAsia="Arial" w:hAnsi="Arial"/>
          <w:sz w:val="16"/>
          <w:szCs w:val="16"/>
          <w:color w:val="auto"/>
        </w:rPr>
        <w:t>Overall revenue increased by 8.3%, or $264 million. The revenue increase was driven by positive yield and volume in the Company’s collection and disposal business, which contributed $113 million to revenue growth, and significantly higher recycling commodity prices, which contributed $111 million of revenue growth.</w:t>
      </w:r>
    </w:p>
    <w:p>
      <w:pPr>
        <w:spacing w:after="0" w:line="52" w:lineRule="exact"/>
        <w:rPr>
          <w:rFonts w:ascii="Arial" w:cs="Arial" w:eastAsia="Arial" w:hAnsi="Arial"/>
          <w:sz w:val="16"/>
          <w:szCs w:val="16"/>
          <w:color w:val="auto"/>
        </w:rPr>
      </w:pPr>
    </w:p>
    <w:p>
      <w:pPr>
        <w:ind w:left="720" w:right="120" w:hanging="262"/>
        <w:spacing w:after="0" w:line="277"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Core price, which consists of price increases net of rollbacks, plus fees other than the Company’s fuel surcharge, was 5.1%.</w:t>
      </w:r>
      <w:r>
        <w:rPr>
          <w:rFonts w:ascii="Arial" w:cs="Arial" w:eastAsia="Arial" w:hAnsi="Arial"/>
          <w:sz w:val="15"/>
          <w:szCs w:val="15"/>
          <w:color w:val="auto"/>
        </w:rPr>
        <w:t>(d)</w:t>
      </w:r>
    </w:p>
    <w:p>
      <w:pPr>
        <w:spacing w:after="0" w:line="75" w:lineRule="exact"/>
        <w:rPr>
          <w:rFonts w:ascii="Arial" w:cs="Arial" w:eastAsia="Arial" w:hAnsi="Arial"/>
          <w:sz w:val="18"/>
          <w:szCs w:val="18"/>
          <w:color w:val="auto"/>
        </w:rPr>
      </w:pPr>
    </w:p>
    <w:p>
      <w:pPr>
        <w:ind w:left="700" w:hanging="24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2.0%.</w:t>
      </w:r>
    </w:p>
    <w:p>
      <w:pPr>
        <w:spacing w:after="0" w:line="130" w:lineRule="exact"/>
        <w:rPr>
          <w:rFonts w:ascii="Arial" w:cs="Arial" w:eastAsia="Arial" w:hAnsi="Arial"/>
          <w:sz w:val="18"/>
          <w:szCs w:val="18"/>
          <w:color w:val="auto"/>
        </w:rPr>
      </w:pPr>
    </w:p>
    <w:p>
      <w:pPr>
        <w:ind w:left="720" w:right="260" w:hanging="262"/>
        <w:spacing w:after="0" w:line="264"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both the total Company and the traditional solid waste business, internal revenue growth from volume was positive 1.9% in the first quarter of 2017, or 1.4% after adjusting for one additional workday in the current quarter.</w:t>
      </w:r>
    </w:p>
    <w:p>
      <w:pPr>
        <w:spacing w:after="0" w:line="86" w:lineRule="exact"/>
        <w:rPr>
          <w:rFonts w:ascii="Arial" w:cs="Arial" w:eastAsia="Arial" w:hAnsi="Arial"/>
          <w:sz w:val="18"/>
          <w:szCs w:val="18"/>
          <w:color w:val="auto"/>
        </w:rPr>
      </w:pPr>
    </w:p>
    <w:p>
      <w:pPr>
        <w:ind w:left="720" w:right="240" w:hanging="262"/>
        <w:spacing w:after="0" w:line="264" w:lineRule="auto"/>
        <w:tabs>
          <w:tab w:leader="none" w:pos="683"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recycling commodity prices at the Company’s recycling facilities were almost 70% higher in the first quarter of 2017 than in the prior year period. Results in the Company’s recycling line of business improved by $0.066 per diluted share when compared to the prior year period.</w:t>
      </w:r>
    </w:p>
    <w:p>
      <w:pPr>
        <w:spacing w:after="0" w:line="86" w:lineRule="exact"/>
        <w:rPr>
          <w:rFonts w:ascii="Arial" w:cs="Arial" w:eastAsia="Arial" w:hAnsi="Arial"/>
          <w:sz w:val="18"/>
          <w:szCs w:val="18"/>
          <w:color w:val="auto"/>
        </w:rPr>
      </w:pPr>
    </w:p>
    <w:p>
      <w:pPr>
        <w:ind w:left="720" w:right="80" w:hanging="262"/>
        <w:spacing w:after="0" w:line="259" w:lineRule="auto"/>
        <w:tabs>
          <w:tab w:leader="none" w:pos="683"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percent of revenue, operating expenses were 63.0% in the first quarter of 2017, as compared to 62.8% in the first quarter of 2016. Increased recycling commodity rebates and fuel costs drove the increase in operating expenses as a percent of revenue. Fuel costs were a negative $0.02 per diluted share when compared to the prior year period.</w:t>
      </w:r>
    </w:p>
    <w:p>
      <w:pPr>
        <w:spacing w:after="0" w:line="92" w:lineRule="exact"/>
        <w:rPr>
          <w:rFonts w:ascii="Arial" w:cs="Arial" w:eastAsia="Arial" w:hAnsi="Arial"/>
          <w:sz w:val="18"/>
          <w:szCs w:val="18"/>
          <w:color w:val="auto"/>
        </w:rPr>
      </w:pPr>
    </w:p>
    <w:p>
      <w:pPr>
        <w:ind w:left="720" w:right="120" w:hanging="262"/>
        <w:spacing w:after="0" w:line="264" w:lineRule="auto"/>
        <w:tabs>
          <w:tab w:leader="none" w:pos="683"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a percent of revenue, SG&amp;A expenses were 11.3% in the first quarter of 2017, which is a 10 basis point improvement when compared to the first quarter of 2016. First quarter 2017 SG&amp;A expenses include a negative $0.02 per diluted share impact related to executive severance.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FOR MORE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920" w:space="220"/>
            <w:col w:w="2280"/>
          </w:cols>
          <w:pgMar w:left="240" w:top="121" w:right="239" w:bottom="1440" w:gutter="0" w:footer="0" w:header="0"/>
          <w:type w:val="continuous"/>
        </w:sectPr>
      </w:pPr>
    </w:p>
    <w:bookmarkStart w:id="5" w:name="page6"/>
    <w:bookmarkEnd w:id="5"/>
    <w:p>
      <w:pPr>
        <w:ind w:left="720" w:right="1339" w:hanging="262"/>
        <w:spacing w:after="0" w:line="308" w:lineRule="auto"/>
        <w:tabs>
          <w:tab w:leader="none" w:pos="693" w:val="left"/>
        </w:tabs>
        <w:numPr>
          <w:ilvl w:val="0"/>
          <w:numId w:val="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provided by operating activities was $721 million, compared to $732 million in the first quarter of 2016. The first quarter of 2016 included a $67 million benefit from terminating a cross-currency hedge.</w:t>
      </w:r>
    </w:p>
    <w:p>
      <w:pPr>
        <w:spacing w:after="0" w:line="51" w:lineRule="exact"/>
        <w:rPr>
          <w:rFonts w:ascii="Arial" w:cs="Arial" w:eastAsia="Arial" w:hAnsi="Arial"/>
          <w:sz w:val="17"/>
          <w:szCs w:val="17"/>
          <w:color w:val="auto"/>
        </w:rPr>
      </w:pPr>
    </w:p>
    <w:p>
      <w:pPr>
        <w:ind w:left="700" w:hanging="24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 were $332 million, an increase of $15 million compared to 2016.</w:t>
      </w:r>
    </w:p>
    <w:p>
      <w:pPr>
        <w:spacing w:after="0" w:line="130" w:lineRule="exact"/>
        <w:rPr>
          <w:rFonts w:ascii="Arial" w:cs="Arial" w:eastAsia="Arial" w:hAnsi="Arial"/>
          <w:sz w:val="18"/>
          <w:szCs w:val="18"/>
          <w:color w:val="auto"/>
        </w:rPr>
      </w:pPr>
    </w:p>
    <w:p>
      <w:pPr>
        <w:ind w:left="720" w:right="1739" w:hanging="262"/>
        <w:spacing w:after="0" w:line="277"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Free cash flow was $396 million in the first quarter of 2017, compared to $428 million in the first quarter of 2016.</w:t>
      </w:r>
      <w:r>
        <w:rPr>
          <w:rFonts w:ascii="Arial" w:cs="Arial" w:eastAsia="Arial" w:hAnsi="Arial"/>
          <w:sz w:val="15"/>
          <w:szCs w:val="15"/>
          <w:color w:val="auto"/>
        </w:rPr>
        <w:t>(b)</w:t>
      </w:r>
    </w:p>
    <w:p>
      <w:pPr>
        <w:spacing w:after="0" w:line="75" w:lineRule="exact"/>
        <w:rPr>
          <w:rFonts w:ascii="Arial" w:cs="Arial" w:eastAsia="Arial" w:hAnsi="Arial"/>
          <w:sz w:val="18"/>
          <w:szCs w:val="18"/>
          <w:color w:val="auto"/>
        </w:rPr>
      </w:pPr>
    </w:p>
    <w:p>
      <w:pPr>
        <w:ind w:left="700" w:hanging="24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returned $194 million to shareholders during the first quarter in dividends.</w:t>
      </w:r>
    </w:p>
    <w:p>
      <w:pPr>
        <w:spacing w:after="0" w:line="130" w:lineRule="exact"/>
        <w:rPr>
          <w:rFonts w:ascii="Arial" w:cs="Arial" w:eastAsia="Arial" w:hAnsi="Arial"/>
          <w:sz w:val="18"/>
          <w:szCs w:val="18"/>
          <w:color w:val="auto"/>
        </w:rPr>
      </w:pPr>
    </w:p>
    <w:p>
      <w:pPr>
        <w:ind w:left="720" w:right="1699" w:hanging="262"/>
        <w:spacing w:after="0" w:line="277" w:lineRule="auto"/>
        <w:tabs>
          <w:tab w:leader="none" w:pos="69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tax rate was approximately 31.7%. Adjusting for the items noted in the Company’s as-adjusted earnings, the tax rate would have been approximately 36.8%.</w:t>
      </w:r>
      <w:r>
        <w:rPr>
          <w:rFonts w:ascii="Arial" w:cs="Arial" w:eastAsia="Arial" w:hAnsi="Arial"/>
          <w:sz w:val="15"/>
          <w:szCs w:val="15"/>
          <w:color w:val="auto"/>
        </w:rPr>
        <w:t>(b)</w:t>
      </w:r>
    </w:p>
    <w:p>
      <w:pPr>
        <w:spacing w:after="0" w:line="197" w:lineRule="exact"/>
        <w:rPr>
          <w:sz w:val="20"/>
          <w:szCs w:val="20"/>
          <w:color w:val="auto"/>
        </w:rPr>
      </w:pPr>
    </w:p>
    <w:p>
      <w:pPr>
        <w:ind w:right="1339"/>
        <w:spacing w:after="0" w:line="257" w:lineRule="auto"/>
        <w:rPr>
          <w:sz w:val="20"/>
          <w:szCs w:val="20"/>
          <w:color w:val="auto"/>
        </w:rPr>
      </w:pPr>
      <w:r>
        <w:rPr>
          <w:rFonts w:ascii="Arial" w:cs="Arial" w:eastAsia="Arial" w:hAnsi="Arial"/>
          <w:sz w:val="18"/>
          <w:szCs w:val="18"/>
          <w:color w:val="auto"/>
        </w:rPr>
        <w:t xml:space="preserve">Fish concluded, “Our strong start to 2017 gives us early confidence that we are on track to meet our full-year 2017 guidance of adjusted earnings per diluted share of between $3.14 and $3.18 and free cash flow of between $1.5 and $1.6 billion. </w:t>
      </w:r>
      <w:r>
        <w:rPr>
          <w:rFonts w:ascii="Arial" w:cs="Arial" w:eastAsia="Arial" w:hAnsi="Arial"/>
          <w:sz w:val="15"/>
          <w:szCs w:val="15"/>
          <w:color w:val="auto"/>
        </w:rPr>
        <w:t>(b)</w:t>
      </w:r>
      <w:r>
        <w:rPr>
          <w:rFonts w:ascii="Arial" w:cs="Arial" w:eastAsia="Arial" w:hAnsi="Arial"/>
          <w:sz w:val="18"/>
          <w:szCs w:val="18"/>
          <w:color w:val="auto"/>
        </w:rPr>
        <w:t xml:space="preserve"> As in previous years, we will wait to see the extent of the anticipated seasonal upturn in our business before reevaluating our guidance. Our employees have continued to deliver strong performance, and the first quarter sets us up for another successful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360" w:right="1779" w:hanging="352"/>
        <w:spacing w:after="0" w:line="258"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items “Net income attributable to Waste Management, Inc.”.</w:t>
      </w:r>
    </w:p>
    <w:p>
      <w:pPr>
        <w:spacing w:after="0" w:line="1" w:lineRule="exact"/>
        <w:rPr>
          <w:rFonts w:ascii="Arial" w:cs="Arial" w:eastAsia="Arial" w:hAnsi="Arial"/>
          <w:sz w:val="18"/>
          <w:szCs w:val="18"/>
          <w:color w:val="auto"/>
        </w:rPr>
      </w:pPr>
    </w:p>
    <w:p>
      <w:pPr>
        <w:ind w:left="360" w:right="1339" w:hanging="352"/>
        <w:spacing w:after="0" w:line="268" w:lineRule="auto"/>
        <w:tabs>
          <w:tab w:leader="none" w:pos="38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earnings growth, and the effective tax rate for the first quarter of 2017 have been presented in certain instances excluding items identified in the reconciliations provided.</w:t>
      </w:r>
    </w:p>
    <w:p>
      <w:pPr>
        <w:spacing w:after="0" w:line="90" w:lineRule="exact"/>
        <w:rPr>
          <w:sz w:val="20"/>
          <w:szCs w:val="20"/>
          <w:color w:val="auto"/>
        </w:rPr>
      </w:pPr>
    </w:p>
    <w:p>
      <w:pPr>
        <w:ind w:left="360" w:right="1359"/>
        <w:spacing w:after="0" w:line="270" w:lineRule="auto"/>
        <w:rPr>
          <w:sz w:val="20"/>
          <w:szCs w:val="20"/>
          <w:color w:val="auto"/>
        </w:rPr>
      </w:pPr>
      <w:r>
        <w:rPr>
          <w:rFonts w:ascii="Arial" w:cs="Arial" w:eastAsia="Arial" w:hAnsi="Arial"/>
          <w:sz w:val="17"/>
          <w:szCs w:val="17"/>
          <w:color w:val="auto"/>
        </w:rPr>
        <w:t>The Company’s projected full-year 2017 earnings per diluted share is not based on GAAP net earnings per diluted share and are anticipated to be adjusted to exclude the effects of events or circumstances in 2017 that are not representative or indicative of the Company’s results of operations, including the items excluded from our as-adjusted first quarter results.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87" w:lineRule="exact"/>
        <w:rPr>
          <w:sz w:val="20"/>
          <w:szCs w:val="20"/>
          <w:color w:val="auto"/>
        </w:rPr>
      </w:pPr>
    </w:p>
    <w:p>
      <w:pPr>
        <w:ind w:left="360" w:right="1299"/>
        <w:spacing w:after="0" w:line="269" w:lineRule="auto"/>
        <w:rPr>
          <w:sz w:val="20"/>
          <w:szCs w:val="20"/>
          <w:color w:val="auto"/>
        </w:rPr>
      </w:pPr>
      <w:r>
        <w:rPr>
          <w:rFonts w:ascii="Arial" w:cs="Arial" w:eastAsia="Arial" w:hAnsi="Arial"/>
          <w:sz w:val="17"/>
          <w:szCs w:val="17"/>
          <w:color w:val="auto"/>
        </w:rPr>
        <w:t>The Company also discusses free cash flow and provides a projection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 titled measures reported by other companies.</w:t>
      </w:r>
    </w:p>
    <w:p>
      <w:pPr>
        <w:spacing w:after="0" w:line="88" w:lineRule="exact"/>
        <w:rPr>
          <w:sz w:val="20"/>
          <w:szCs w:val="20"/>
          <w:color w:val="auto"/>
        </w:rPr>
      </w:pPr>
    </w:p>
    <w:p>
      <w:pPr>
        <w:ind w:left="360" w:right="1419"/>
        <w:spacing w:after="0" w:line="302" w:lineRule="auto"/>
        <w:rPr>
          <w:sz w:val="20"/>
          <w:szCs w:val="20"/>
          <w:color w:val="auto"/>
        </w:rPr>
      </w:pPr>
      <w:r>
        <w:rPr>
          <w:rFonts w:ascii="Arial" w:cs="Arial" w:eastAsia="Arial" w:hAnsi="Arial"/>
          <w:sz w:val="16"/>
          <w:szCs w:val="16"/>
          <w:color w:val="auto"/>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 and investors are urged to take into account GAAP measures as well as non-GAAP measures in evaluating the Company.</w:t>
      </w:r>
    </w:p>
    <w:p>
      <w:pPr>
        <w:sectPr>
          <w:pgSz w:w="11900" w:h="16838" w:orient="portrait"/>
          <w:cols w:equalWidth="0" w:num="1">
            <w:col w:w="10219"/>
          </w:cols>
          <w:pgMar w:left="240" w:top="395" w:right="1440" w:bottom="1440" w:gutter="0" w:footer="0" w:header="0"/>
        </w:sectPr>
      </w:pPr>
    </w:p>
    <w:bookmarkStart w:id="6" w:name="page7"/>
    <w:bookmarkEnd w:id="6"/>
    <w:p>
      <w:pPr>
        <w:ind w:left="360" w:right="1659" w:hanging="352"/>
        <w:spacing w:after="0" w:line="274"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defines operating EBITDA as GAAP income from operations before depreciation and amortization; this measure may not be comparable to similarly titled measures reported by other companies.</w:t>
      </w:r>
    </w:p>
    <w:p>
      <w:pPr>
        <w:ind w:left="360" w:right="1639" w:hanging="352"/>
        <w:spacing w:after="0" w:line="295" w:lineRule="auto"/>
        <w:tabs>
          <w:tab w:leader="none" w:pos="39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Core price is a performance metric used by management to evaluate the effectiveness of the Company’s pricing strategies; it is not derived from the Company’s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 conference call at 10:00 AM (Eastern) today to discuss the first quarter 2017 results.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contained within this press release will be referenced and should be considered in conjunction with the call.</w:t>
      </w:r>
    </w:p>
    <w:p>
      <w:pPr>
        <w:spacing w:after="0" w:line="261" w:lineRule="exact"/>
        <w:rPr>
          <w:sz w:val="20"/>
          <w:szCs w:val="20"/>
          <w:color w:val="auto"/>
        </w:rPr>
      </w:pPr>
    </w:p>
    <w:p>
      <w:pPr>
        <w:ind w:right="1479"/>
        <w:spacing w:after="0" w:line="279" w:lineRule="auto"/>
        <w:rPr>
          <w:sz w:val="20"/>
          <w:szCs w:val="20"/>
          <w:color w:val="auto"/>
        </w:rPr>
      </w:pPr>
      <w:r>
        <w:rPr>
          <w:rFonts w:ascii="Arial" w:cs="Arial" w:eastAsia="Arial" w:hAnsi="Arial"/>
          <w:sz w:val="17"/>
          <w:szCs w:val="17"/>
          <w:color w:val="auto"/>
        </w:rPr>
        <w:t xml:space="preserve">The conference call will be webcast live from the Investor Relations section of Waste Management’s website </w:t>
      </w:r>
      <w:r>
        <w:rPr>
          <w:rFonts w:ascii="Arial" w:cs="Arial" w:eastAsia="Arial" w:hAnsi="Arial"/>
          <w:sz w:val="17"/>
          <w:szCs w:val="17"/>
          <w:u w:val="single" w:color="auto"/>
          <w:color w:val="auto"/>
        </w:rPr>
        <w:t>www.wm.com</w:t>
      </w:r>
      <w:r>
        <w:rPr>
          <w:rFonts w:ascii="Arial" w:cs="Arial" w:eastAsia="Arial" w:hAnsi="Arial"/>
          <w:sz w:val="17"/>
          <w:szCs w:val="17"/>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94449507 when prompted by the conference call operator.</w:t>
      </w:r>
    </w:p>
    <w:p>
      <w:pPr>
        <w:spacing w:after="0" w:line="198" w:lineRule="exact"/>
        <w:rPr>
          <w:sz w:val="20"/>
          <w:szCs w:val="20"/>
          <w:color w:val="auto"/>
        </w:rPr>
      </w:pPr>
    </w:p>
    <w:p>
      <w:pPr>
        <w:ind w:right="1479"/>
        <w:spacing w:after="0" w:line="25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Wednesday, April 26, 2017 through 5:00 PM (Eastern) on Wednesday, May 10, 2017. To access the replay telephonically, please dial (855) 859-2056, or from outside of the United States or Canada dial (404) 537-3406, and use the replay conference ID number 94449507.</w:t>
      </w:r>
    </w:p>
    <w:p>
      <w:pPr>
        <w:spacing w:after="0" w:line="214" w:lineRule="exact"/>
        <w:rPr>
          <w:sz w:val="20"/>
          <w:szCs w:val="20"/>
          <w:color w:val="auto"/>
        </w:rPr>
      </w:pPr>
    </w:p>
    <w:p>
      <w:pPr>
        <w:ind w:right="1459"/>
        <w:spacing w:after="0" w:line="267" w:lineRule="auto"/>
        <w:rPr>
          <w:sz w:val="20"/>
          <w:szCs w:val="20"/>
          <w:color w:val="auto"/>
        </w:rPr>
      </w:pPr>
      <w:r>
        <w:rPr>
          <w:rFonts w:ascii="Arial" w:cs="Arial" w:eastAsia="Arial" w:hAnsi="Arial"/>
          <w:sz w:val="17"/>
          <w:szCs w:val="17"/>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2017 earnings per diluted share; 2017 free cash flow; and all statements regarding future business performance and growth.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exposure to litigation and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499"/>
        <w:spacing w:after="0" w:line="297" w:lineRule="auto"/>
        <w:rPr>
          <w:sz w:val="20"/>
          <w:szCs w:val="20"/>
          <w:color w:val="auto"/>
        </w:rPr>
      </w:pPr>
      <w:r>
        <w:rPr>
          <w:rFonts w:ascii="Arial" w:cs="Arial" w:eastAsia="Arial" w:hAnsi="Arial"/>
          <w:sz w:val="16"/>
          <w:szCs w:val="16"/>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395"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divestitures</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Basic common shares outstanding</w:t>
            </w:r>
          </w:p>
        </w:tc>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4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4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0.425</w:t>
            </w: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0" w:type="dxa"/>
            <w:vAlign w:val="bottom"/>
            <w:vMerge w:val="restart"/>
          </w:tcPr>
          <w:p>
            <w:pPr>
              <w:jc w:val="right"/>
              <w:ind w:right="359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5"/>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441.9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441.3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444.1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jc w:val="right"/>
              <w:ind w:right="2290"/>
              <w:spacing w:after="0"/>
              <w:rPr>
                <w:sz w:val="20"/>
                <w:szCs w:val="20"/>
                <w:color w:val="auto"/>
              </w:rPr>
            </w:pPr>
            <w:r>
              <w:rPr>
                <w:rFonts w:ascii="Arial" w:cs="Arial" w:eastAsia="Arial" w:hAnsi="Arial"/>
                <w:sz w:val="18"/>
                <w:szCs w:val="18"/>
                <w:b w:val="1"/>
                <w:bCs w:val="1"/>
                <w:color w:val="auto"/>
              </w:rPr>
              <w:t>(2)</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80" w:type="dxa"/>
            <w:vAlign w:val="bottom"/>
            <w:gridSpan w:val="2"/>
            <w:shd w:val="clear" w:color="auto" w:fill="CCEEFF"/>
          </w:tcPr>
          <w:p>
            <w:pPr>
              <w:ind w:left="4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4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20,650</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4280" w:type="dxa"/>
            <w:vAlign w:val="bottom"/>
            <w:gridSpan w:val="2"/>
          </w:tcPr>
          <w:p>
            <w:pPr>
              <w:ind w:left="41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2,162</w:t>
            </w:r>
          </w:p>
        </w:tc>
        <w:tc>
          <w:tcPr>
            <w:tcW w:w="240" w:type="dxa"/>
            <w:vAlign w:val="bottom"/>
          </w:tcPr>
          <w:p>
            <w:pPr>
              <w:spacing w:after="0"/>
              <w:rPr>
                <w:sz w:val="18"/>
                <w:szCs w:val="18"/>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liabilities</w:t>
            </w: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4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120" w:type="dxa"/>
            <w:vAlign w:val="bottom"/>
            <w:vMerge w:val="restart"/>
          </w:tcPr>
          <w:p>
            <w:pPr>
              <w:jc w:val="right"/>
              <w:ind w:right="337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Consolidated net income</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8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borrowings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(541)</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commercial paper borrowings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Common stock repurchase program</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Exercise of common stock options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Prior year information has been revised to reflect the adoption of ASU 2016-09 and conform to our current year presentation.</w:t>
      </w:r>
    </w:p>
    <w:p>
      <w:pPr>
        <w:spacing w:after="0" w:line="15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(4)</w:t>
      </w:r>
    </w:p>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w w:val="95"/>
              </w:rPr>
              <w:t>Quarters Ended</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3"/>
              </w:rPr>
              <w:t>March 31,</w:t>
            </w:r>
          </w:p>
        </w:tc>
        <w:tc>
          <w:tcPr>
            <w:tcW w:w="8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920" w:type="dxa"/>
            <w:vAlign w:val="bottom"/>
          </w:tcPr>
          <w:p>
            <w:pPr>
              <w:spacing w:after="0"/>
              <w:rPr>
                <w:sz w:val="14"/>
                <w:szCs w:val="14"/>
                <w:color w:val="auto"/>
              </w:rPr>
            </w:pPr>
          </w:p>
        </w:tc>
        <w:tc>
          <w:tcPr>
            <w:tcW w:w="2860" w:type="dxa"/>
            <w:vAlign w:val="bottom"/>
            <w:tcBorders>
              <w:top w:val="single" w:sz="8" w:color="CCEEFF"/>
              <w:bottom w:val="single" w:sz="8" w:color="auto"/>
            </w:tcBorders>
            <w:gridSpan w:val="5"/>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88"/>
              </w:rPr>
              <w:t>Operating Revenues by Lines of Business</w:t>
            </w:r>
          </w:p>
        </w:tc>
        <w:tc>
          <w:tcPr>
            <w:tcW w:w="30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5940" w:type="dxa"/>
            <w:vAlign w:val="bottom"/>
            <w:gridSpan w:val="6"/>
          </w:tcPr>
          <w:p>
            <w:pPr>
              <w:ind w:left="340"/>
              <w:spacing w:after="0"/>
              <w:rPr>
                <w:sz w:val="20"/>
                <w:szCs w:val="20"/>
                <w:color w:val="auto"/>
              </w:rPr>
            </w:pPr>
            <w:r>
              <w:rPr>
                <w:rFonts w:ascii="Arial" w:cs="Arial" w:eastAsia="Arial" w:hAnsi="Arial"/>
                <w:sz w:val="16"/>
                <w:szCs w:val="16"/>
                <w:color w:val="auto"/>
              </w:rPr>
              <w:t>Collection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6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9"/>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888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4"/>
          </w:tcPr>
          <w:p>
            <w:pPr>
              <w:ind w:left="180"/>
              <w:spacing w:after="0"/>
              <w:rPr>
                <w:sz w:val="20"/>
                <w:szCs w:val="20"/>
                <w:color w:val="auto"/>
              </w:rPr>
            </w:pPr>
            <w:r>
              <w:rPr>
                <w:rFonts w:ascii="Arial" w:cs="Arial" w:eastAsia="Arial" w:hAnsi="Arial"/>
                <w:sz w:val="16"/>
                <w:szCs w:val="16"/>
                <w:color w:val="auto"/>
              </w:rPr>
              <w:t>Residential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625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6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Industrial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605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4"/>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940" w:type="dxa"/>
            <w:vAlign w:val="bottom"/>
            <w:gridSpan w:val="6"/>
            <w:shd w:val="clear" w:color="auto" w:fill="CCEEFF"/>
          </w:tcPr>
          <w:p>
            <w:pPr>
              <w:ind w:left="340"/>
              <w:spacing w:after="0"/>
              <w:rPr>
                <w:sz w:val="20"/>
                <w:szCs w:val="20"/>
                <w:color w:val="auto"/>
              </w:rPr>
            </w:pPr>
            <w:r>
              <w:rPr>
                <w:rFonts w:ascii="Arial" w:cs="Arial" w:eastAsia="Arial" w:hAnsi="Arial"/>
                <w:sz w:val="16"/>
                <w:szCs w:val="16"/>
                <w:color w:val="auto"/>
              </w:rPr>
              <w:t>Total Collection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2,224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w w:val="79"/>
              </w:rPr>
              <w:t>2,113</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940" w:type="dxa"/>
            <w:vAlign w:val="bottom"/>
            <w:gridSpan w:val="6"/>
          </w:tcPr>
          <w:p>
            <w:pPr>
              <w:ind w:left="340"/>
              <w:spacing w:after="0"/>
              <w:rPr>
                <w:sz w:val="20"/>
                <w:szCs w:val="20"/>
                <w:color w:val="auto"/>
              </w:rPr>
            </w:pPr>
            <w:r>
              <w:rPr>
                <w:rFonts w:ascii="Arial" w:cs="Arial" w:eastAsia="Arial" w:hAnsi="Arial"/>
                <w:sz w:val="16"/>
                <w:szCs w:val="16"/>
                <w:color w:val="auto"/>
              </w:rPr>
              <w:t>Landfill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780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940" w:type="dxa"/>
            <w:vAlign w:val="bottom"/>
            <w:gridSpan w:val="6"/>
            <w:shd w:val="clear" w:color="auto" w:fill="CCEEFF"/>
          </w:tcPr>
          <w:p>
            <w:pPr>
              <w:ind w:left="340"/>
              <w:spacing w:after="0"/>
              <w:rPr>
                <w:sz w:val="20"/>
                <w:szCs w:val="20"/>
                <w:color w:val="auto"/>
              </w:rPr>
            </w:pPr>
            <w:r>
              <w:rPr>
                <w:rFonts w:ascii="Arial" w:cs="Arial" w:eastAsia="Arial" w:hAnsi="Arial"/>
                <w:sz w:val="16"/>
                <w:szCs w:val="16"/>
                <w:color w:val="auto"/>
              </w:rPr>
              <w:t>Transfer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378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940" w:type="dxa"/>
            <w:vAlign w:val="bottom"/>
            <w:gridSpan w:val="6"/>
          </w:tcPr>
          <w:p>
            <w:pPr>
              <w:ind w:left="340"/>
              <w:spacing w:after="0"/>
              <w:rPr>
                <w:sz w:val="20"/>
                <w:szCs w:val="20"/>
                <w:color w:val="auto"/>
              </w:rPr>
            </w:pPr>
            <w:r>
              <w:rPr>
                <w:rFonts w:ascii="Arial" w:cs="Arial" w:eastAsia="Arial" w:hAnsi="Arial"/>
                <w:sz w:val="16"/>
                <w:szCs w:val="16"/>
                <w:color w:val="auto"/>
              </w:rPr>
              <w:t>Recycling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6"/>
                <w:szCs w:val="16"/>
                <w:color w:val="auto"/>
              </w:rPr>
              <w:t>338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940" w:type="dxa"/>
            <w:vAlign w:val="bottom"/>
            <w:gridSpan w:val="6"/>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414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940" w:type="dxa"/>
            <w:vAlign w:val="bottom"/>
            <w:gridSpan w:val="6"/>
          </w:tcPr>
          <w:p>
            <w:pPr>
              <w:ind w:left="340"/>
              <w:spacing w:after="0"/>
              <w:rPr>
                <w:sz w:val="20"/>
                <w:szCs w:val="20"/>
                <w:color w:val="auto"/>
              </w:rPr>
            </w:pPr>
            <w:r>
              <w:rPr>
                <w:rFonts w:ascii="Arial" w:cs="Arial" w:eastAsia="Arial" w:hAnsi="Arial"/>
                <w:sz w:val="16"/>
                <w:szCs w:val="16"/>
                <w:color w:val="auto"/>
              </w:rPr>
              <w:t xml:space="preserve">Intercompany </w:t>
            </w:r>
            <w:r>
              <w:rPr>
                <w:rFonts w:ascii="Arial" w:cs="Arial" w:eastAsia="Arial" w:hAnsi="Arial"/>
                <w:sz w:val="16"/>
                <w:szCs w:val="16"/>
                <w:b w:val="1"/>
                <w:bCs w:val="1"/>
                <w:color w:val="auto"/>
              </w:rPr>
              <w:t>(a)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(672)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6"/>
                <w:szCs w:val="16"/>
                <w:color w:val="auto"/>
              </w:rPr>
              <w:t>(674)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(606)</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60" w:type="dxa"/>
            <w:vAlign w:val="bottom"/>
            <w:gridSpan w:val="4"/>
            <w:shd w:val="clear" w:color="auto" w:fill="CCEEFF"/>
          </w:tcPr>
          <w:p>
            <w:pPr>
              <w:ind w:left="180"/>
              <w:spacing w:after="0"/>
              <w:rPr>
                <w:sz w:val="20"/>
                <w:szCs w:val="20"/>
                <w:color w:val="auto"/>
              </w:rPr>
            </w:pPr>
            <w:r>
              <w:rPr>
                <w:rFonts w:ascii="Arial" w:cs="Arial" w:eastAsia="Arial" w:hAnsi="Arial"/>
                <w:sz w:val="16"/>
                <w:szCs w:val="16"/>
                <w:color w:val="auto"/>
              </w:rPr>
              <w:t>Operating revenues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9"/>
              </w:rPr>
              <w:t>$</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3,460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1"/>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9"/>
              </w:rPr>
              <w:t>3,176</w:t>
            </w:r>
          </w:p>
        </w:tc>
        <w:tc>
          <w:tcPr>
            <w:tcW w:w="10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9"/>
          </w:tcPr>
          <w:p>
            <w:pPr>
              <w:jc w:val="right"/>
              <w:ind w:right="520"/>
              <w:spacing w:after="0"/>
              <w:rPr>
                <w:sz w:val="20"/>
                <w:szCs w:val="20"/>
                <w:color w:val="auto"/>
              </w:rPr>
            </w:pPr>
            <w:r>
              <w:rPr>
                <w:rFonts w:ascii="Arial" w:cs="Arial" w:eastAsia="Arial" w:hAnsi="Arial"/>
                <w:sz w:val="14"/>
                <w:szCs w:val="14"/>
                <w:b w:val="1"/>
                <w:bCs w:val="1"/>
                <w:color w:val="auto"/>
                <w:w w:val="98"/>
              </w:rPr>
              <w:t>Quarters Ended</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7"/>
          </w:tcPr>
          <w:p>
            <w:pPr>
              <w:jc w:val="right"/>
              <w:ind w:right="53"/>
              <w:spacing w:after="0" w:line="142" w:lineRule="exact"/>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jc w:val="center"/>
              <w:ind w:right="48"/>
              <w:spacing w:after="0" w:line="123" w:lineRule="exact"/>
              <w:rPr>
                <w:sz w:val="20"/>
                <w:szCs w:val="20"/>
                <w:color w:val="auto"/>
              </w:rPr>
            </w:pPr>
            <w:r>
              <w:rPr>
                <w:rFonts w:ascii="Arial" w:cs="Arial" w:eastAsia="Arial" w:hAnsi="Arial"/>
                <w:sz w:val="14"/>
                <w:szCs w:val="14"/>
                <w:color w:val="auto"/>
                <w:w w:val="96"/>
              </w:rPr>
              <w:t>As a % of</w:t>
            </w:r>
          </w:p>
        </w:tc>
        <w:tc>
          <w:tcPr>
            <w:tcW w:w="5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68"/>
              <w:spacing w:after="0" w:line="123" w:lineRule="exact"/>
              <w:rPr>
                <w:sz w:val="20"/>
                <w:szCs w:val="20"/>
                <w:color w:val="auto"/>
              </w:rPr>
            </w:pPr>
            <w:r>
              <w:rPr>
                <w:rFonts w:ascii="Arial" w:cs="Arial" w:eastAsia="Arial" w:hAnsi="Arial"/>
                <w:sz w:val="14"/>
                <w:szCs w:val="14"/>
                <w:color w:val="auto"/>
                <w:w w:val="93"/>
              </w:rPr>
              <w:t>As a %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1400" w:type="dxa"/>
            <w:vAlign w:val="bottom"/>
            <w:gridSpan w:val="7"/>
          </w:tcPr>
          <w:p>
            <w:pPr>
              <w:jc w:val="center"/>
              <w:ind w:right="500"/>
              <w:spacing w:after="0"/>
              <w:rPr>
                <w:sz w:val="20"/>
                <w:szCs w:val="20"/>
                <w:color w:val="auto"/>
              </w:rPr>
            </w:pPr>
            <w:r>
              <w:rPr>
                <w:rFonts w:ascii="Arial" w:cs="Arial" w:eastAsia="Arial" w:hAnsi="Arial"/>
                <w:sz w:val="14"/>
                <w:szCs w:val="14"/>
                <w:color w:val="auto"/>
                <w:w w:val="94"/>
              </w:rPr>
              <w:t>Total Company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color w:val="auto"/>
                <w:w w:val="88"/>
              </w:rPr>
              <w:t>Total Company</w:t>
            </w:r>
          </w:p>
        </w:tc>
        <w:tc>
          <w:tcPr>
            <w:tcW w:w="0" w:type="dxa"/>
            <w:vAlign w:val="bottom"/>
          </w:tcPr>
          <w:p>
            <w:pPr>
              <w:spacing w:after="0"/>
              <w:rPr>
                <w:sz w:val="1"/>
                <w:szCs w:val="1"/>
                <w:color w:val="auto"/>
              </w:rPr>
            </w:pPr>
          </w:p>
        </w:tc>
      </w:tr>
      <w:tr>
        <w:trPr>
          <w:trHeight w:val="163"/>
        </w:trPr>
        <w:tc>
          <w:tcPr>
            <w:tcW w:w="3340" w:type="dxa"/>
            <w:vAlign w:val="bottom"/>
            <w:tcBorders>
              <w:top w:val="single" w:sz="8" w:color="CCEEFF"/>
              <w:bottom w:val="single" w:sz="8" w:color="auto"/>
            </w:tcBorders>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0"/>
              </w:rPr>
              <w:t>Analysis of Change in Year Over Year Revenues</w:t>
            </w:r>
          </w:p>
        </w:tc>
        <w:tc>
          <w:tcPr>
            <w:tcW w:w="352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860" w:type="dxa"/>
            <w:vAlign w:val="bottom"/>
            <w:gridSpan w:val="7"/>
          </w:tcPr>
          <w:p>
            <w:pPr>
              <w:ind w:left="340"/>
              <w:spacing w:after="0"/>
              <w:rPr>
                <w:sz w:val="20"/>
                <w:szCs w:val="20"/>
                <w:color w:val="auto"/>
              </w:rPr>
            </w:pPr>
            <w:r>
              <w:rPr>
                <w:rFonts w:ascii="Arial" w:cs="Arial" w:eastAsia="Arial" w:hAnsi="Arial"/>
                <w:sz w:val="16"/>
                <w:szCs w:val="16"/>
                <w:color w:val="auto"/>
              </w:rPr>
              <w:t xml:space="preserve">Average yield </w:t>
            </w:r>
            <w:r>
              <w:rPr>
                <w:rFonts w:ascii="Arial" w:cs="Arial" w:eastAsia="Arial" w:hAnsi="Arial"/>
                <w:sz w:val="16"/>
                <w:szCs w:val="16"/>
                <w:b w:val="1"/>
                <w:bCs w:val="1"/>
                <w:color w:val="auto"/>
              </w:rPr>
              <w:t>(i)</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2"/>
              </w:rPr>
              <w:t>187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220" w:type="dxa"/>
            <w:vAlign w:val="bottom"/>
            <w:gridSpan w:val="3"/>
          </w:tcPr>
          <w:p>
            <w:pPr>
              <w:ind w:left="120"/>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6"/>
        </w:trPr>
        <w:tc>
          <w:tcPr>
            <w:tcW w:w="6860" w:type="dxa"/>
            <w:vAlign w:val="bottom"/>
            <w:gridSpan w:val="7"/>
            <w:shd w:val="clear" w:color="auto" w:fill="CCEEFF"/>
          </w:tcPr>
          <w:p>
            <w:pPr>
              <w:ind w:left="340"/>
              <w:spacing w:after="0"/>
              <w:rPr>
                <w:sz w:val="20"/>
                <w:szCs w:val="20"/>
                <w:color w:val="auto"/>
              </w:rPr>
            </w:pPr>
            <w:r>
              <w:rPr>
                <w:rFonts w:ascii="Arial" w:cs="Arial" w:eastAsia="Arial" w:hAnsi="Arial"/>
                <w:sz w:val="16"/>
                <w:szCs w:val="16"/>
                <w:color w:val="auto"/>
              </w:rPr>
              <w:t>Volume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6860" w:type="dxa"/>
            <w:vAlign w:val="bottom"/>
            <w:gridSpan w:val="7"/>
            <w:vMerge w:val="restart"/>
          </w:tcPr>
          <w:p>
            <w:pPr>
              <w:ind w:left="340"/>
              <w:spacing w:after="0"/>
              <w:rPr>
                <w:sz w:val="20"/>
                <w:szCs w:val="20"/>
                <w:color w:val="auto"/>
              </w:rPr>
            </w:pPr>
            <w:r>
              <w:rPr>
                <w:rFonts w:ascii="Arial" w:cs="Arial" w:eastAsia="Arial" w:hAnsi="Arial"/>
                <w:sz w:val="16"/>
                <w:szCs w:val="16"/>
                <w:color w:val="auto"/>
              </w:rPr>
              <w:t>Internal revenue growth</w:t>
            </w: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60" w:type="dxa"/>
            <w:vAlign w:val="bottom"/>
            <w:gridSpan w:val="7"/>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2"/>
              </w:rPr>
              <w:t>246</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6"/>
        </w:trPr>
        <w:tc>
          <w:tcPr>
            <w:tcW w:w="6860" w:type="dxa"/>
            <w:vAlign w:val="bottom"/>
            <w:gridSpan w:val="7"/>
            <w:shd w:val="clear" w:color="auto" w:fill="CCEEFF"/>
          </w:tcPr>
          <w:p>
            <w:pPr>
              <w:ind w:left="340"/>
              <w:spacing w:after="0"/>
              <w:rPr>
                <w:sz w:val="20"/>
                <w:szCs w:val="20"/>
                <w:color w:val="auto"/>
              </w:rPr>
            </w:pPr>
            <w:r>
              <w:rPr>
                <w:rFonts w:ascii="Arial" w:cs="Arial" w:eastAsia="Arial" w:hAnsi="Arial"/>
                <w:sz w:val="16"/>
                <w:szCs w:val="16"/>
                <w:color w:val="auto"/>
              </w:rPr>
              <w:t>Acquisition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6860" w:type="dxa"/>
            <w:vAlign w:val="bottom"/>
            <w:gridSpan w:val="7"/>
          </w:tcPr>
          <w:p>
            <w:pPr>
              <w:ind w:left="340"/>
              <w:spacing w:after="0"/>
              <w:rPr>
                <w:sz w:val="20"/>
                <w:szCs w:val="20"/>
                <w:color w:val="auto"/>
              </w:rPr>
            </w:pPr>
            <w:r>
              <w:rPr>
                <w:rFonts w:ascii="Arial" w:cs="Arial" w:eastAsia="Arial" w:hAnsi="Arial"/>
                <w:sz w:val="16"/>
                <w:szCs w:val="16"/>
                <w:color w:val="auto"/>
              </w:rPr>
              <w:t>Divestitures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5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4"/>
          </w:tcPr>
          <w:p>
            <w:pPr>
              <w:jc w:val="right"/>
              <w:ind w:right="5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3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6860" w:type="dxa"/>
            <w:vAlign w:val="bottom"/>
            <w:gridSpan w:val="7"/>
            <w:shd w:val="clear" w:color="auto" w:fill="CCEEFF"/>
          </w:tcPr>
          <w:p>
            <w:pPr>
              <w:ind w:left="340"/>
              <w:spacing w:after="0"/>
              <w:rPr>
                <w:sz w:val="20"/>
                <w:szCs w:val="20"/>
                <w:color w:val="auto"/>
              </w:rPr>
            </w:pPr>
            <w:r>
              <w:rPr>
                <w:rFonts w:ascii="Arial" w:cs="Arial" w:eastAsia="Arial" w:hAnsi="Arial"/>
                <w:sz w:val="16"/>
                <w:szCs w:val="16"/>
                <w:color w:val="auto"/>
              </w:rPr>
              <w:t>Foreign currency translation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1"/>
              <w:spacing w:after="0"/>
              <w:rPr>
                <w:sz w:val="20"/>
                <w:szCs w:val="20"/>
                <w:color w:val="auto"/>
              </w:rPr>
            </w:pPr>
            <w:r>
              <w:rPr>
                <w:rFonts w:ascii="Arial" w:cs="Arial" w:eastAsia="Arial" w:hAnsi="Arial"/>
                <w:sz w:val="16"/>
                <w:szCs w:val="16"/>
                <w:color w:val="auto"/>
              </w:rPr>
              <w:t>(18)</w:t>
            </w:r>
          </w:p>
        </w:tc>
        <w:tc>
          <w:tcPr>
            <w:tcW w:w="100" w:type="dxa"/>
            <w:vAlign w:val="bottom"/>
            <w:tcBorders>
              <w:right w:val="single" w:sz="8" w:color="CCEEFF"/>
            </w:tcBorders>
            <w:shd w:val="clear" w:color="auto" w:fill="CCEEFF"/>
          </w:tcPr>
          <w:p>
            <w:pPr>
              <w:spacing w:after="0"/>
              <w:rPr>
                <w:sz w:val="17"/>
                <w:szCs w:val="17"/>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2"/>
              </w:rPr>
              <w:t>264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6"/>
          </w:tcPr>
          <w:p>
            <w:pPr>
              <w:jc w:val="center"/>
              <w:ind w:right="620"/>
              <w:spacing w:after="0"/>
              <w:rPr>
                <w:sz w:val="20"/>
                <w:szCs w:val="20"/>
                <w:color w:val="auto"/>
              </w:rPr>
            </w:pPr>
            <w:r>
              <w:rPr>
                <w:rFonts w:ascii="Arial" w:cs="Arial" w:eastAsia="Arial" w:hAnsi="Arial"/>
                <w:sz w:val="14"/>
                <w:szCs w:val="14"/>
                <w:color w:val="auto"/>
                <w:w w:val="96"/>
              </w:rPr>
              <w:t>As a % of</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As a %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6"/>
          </w:tcPr>
          <w:p>
            <w:pPr>
              <w:jc w:val="center"/>
              <w:ind w:right="600"/>
              <w:spacing w:after="0" w:line="149" w:lineRule="exact"/>
              <w:rPr>
                <w:sz w:val="20"/>
                <w:szCs w:val="20"/>
                <w:color w:val="auto"/>
              </w:rPr>
            </w:pPr>
            <w:r>
              <w:rPr>
                <w:rFonts w:ascii="Arial" w:cs="Arial" w:eastAsia="Arial" w:hAnsi="Arial"/>
                <w:sz w:val="14"/>
                <w:szCs w:val="14"/>
                <w:color w:val="auto"/>
                <w:w w:val="91"/>
              </w:rPr>
              <w:t>Related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jc w:val="center"/>
              <w:ind w:right="620"/>
              <w:spacing w:after="0"/>
              <w:rPr>
                <w:sz w:val="20"/>
                <w:szCs w:val="20"/>
                <w:color w:val="auto"/>
              </w:rPr>
            </w:pPr>
            <w:r>
              <w:rPr>
                <w:rFonts w:ascii="Arial" w:cs="Arial" w:eastAsia="Arial" w:hAnsi="Arial"/>
                <w:sz w:val="14"/>
                <w:szCs w:val="14"/>
                <w:color w:val="auto"/>
                <w:w w:val="87"/>
              </w:rPr>
              <w:t>Business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183"/>
        </w:trPr>
        <w:tc>
          <w:tcPr>
            <w:tcW w:w="6860" w:type="dxa"/>
            <w:vAlign w:val="bottom"/>
            <w:tcBorders>
              <w:top w:val="single" w:sz="8" w:color="CCEEFF"/>
            </w:tcBorders>
            <w:gridSpan w:val="7"/>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 xml:space="preserve">(i) </w:t>
            </w:r>
            <w:r>
              <w:rPr>
                <w:rFonts w:ascii="Arial" w:cs="Arial" w:eastAsia="Arial" w:hAnsi="Arial"/>
                <w:sz w:val="16"/>
                <w:szCs w:val="16"/>
                <w:color w:val="auto"/>
              </w:rPr>
              <w:t>Average yield</w:t>
            </w: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gridSpan w:val="7"/>
          </w:tcPr>
          <w:p>
            <w:pPr>
              <w:ind w:left="660"/>
              <w:spacing w:after="0"/>
              <w:rPr>
                <w:sz w:val="20"/>
                <w:szCs w:val="20"/>
                <w:color w:val="auto"/>
              </w:rPr>
            </w:pPr>
            <w:r>
              <w:rPr>
                <w:rFonts w:ascii="Arial" w:cs="Arial" w:eastAsia="Arial" w:hAnsi="Arial"/>
                <w:sz w:val="16"/>
                <w:szCs w:val="16"/>
                <w:color w:val="auto"/>
              </w:rPr>
              <w:t>Collection and disposal</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6860" w:type="dxa"/>
            <w:vAlign w:val="bottom"/>
            <w:gridSpan w:val="7"/>
            <w:shd w:val="clear" w:color="auto" w:fill="CCEEFF"/>
          </w:tcPr>
          <w:p>
            <w:pPr>
              <w:ind w:left="660"/>
              <w:spacing w:after="0"/>
              <w:rPr>
                <w:sz w:val="20"/>
                <w:szCs w:val="20"/>
                <w:color w:val="auto"/>
              </w:rPr>
            </w:pPr>
            <w:r>
              <w:rPr>
                <w:rFonts w:ascii="Arial" w:cs="Arial" w:eastAsia="Arial" w:hAnsi="Arial"/>
                <w:sz w:val="16"/>
                <w:szCs w:val="16"/>
                <w:color w:val="auto"/>
              </w:rPr>
              <w:t>Recycling commodities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111</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1"/>
              <w:spacing w:after="0"/>
              <w:rPr>
                <w:sz w:val="20"/>
                <w:szCs w:val="20"/>
                <w:color w:val="auto"/>
              </w:rPr>
            </w:pPr>
            <w:r>
              <w:rPr>
                <w:rFonts w:ascii="Arial" w:cs="Arial" w:eastAsia="Arial" w:hAnsi="Arial"/>
                <w:sz w:val="16"/>
                <w:szCs w:val="16"/>
                <w:color w:val="auto"/>
              </w:rPr>
              <w:t>(21)</w:t>
            </w:r>
          </w:p>
        </w:tc>
        <w:tc>
          <w:tcPr>
            <w:tcW w:w="100" w:type="dxa"/>
            <w:vAlign w:val="bottom"/>
            <w:tcBorders>
              <w:right w:val="single" w:sz="8" w:color="CCEEFF"/>
            </w:tcBorders>
            <w:shd w:val="clear" w:color="auto" w:fill="CCEEFF"/>
          </w:tcPr>
          <w:p>
            <w:pPr>
              <w:spacing w:after="0"/>
              <w:rPr>
                <w:sz w:val="17"/>
                <w:szCs w:val="17"/>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0"/>
        </w:trPr>
        <w:tc>
          <w:tcPr>
            <w:tcW w:w="6860" w:type="dxa"/>
            <w:vAlign w:val="bottom"/>
            <w:gridSpan w:val="7"/>
          </w:tcPr>
          <w:p>
            <w:pPr>
              <w:ind w:left="660"/>
              <w:spacing w:after="0"/>
              <w:rPr>
                <w:sz w:val="20"/>
                <w:szCs w:val="20"/>
                <w:color w:val="auto"/>
              </w:rPr>
            </w:pPr>
            <w:r>
              <w:rPr>
                <w:rFonts w:ascii="Arial" w:cs="Arial" w:eastAsia="Arial" w:hAnsi="Arial"/>
                <w:sz w:val="16"/>
                <w:szCs w:val="16"/>
                <w:color w:val="auto"/>
              </w:rPr>
              <w:t>Fuel surcharges and mandated fees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31"/>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360" w:type="dxa"/>
            <w:vAlign w:val="bottom"/>
            <w:gridSpan w:val="4"/>
          </w:tcPr>
          <w:p>
            <w:pPr>
              <w:jc w:val="right"/>
              <w:ind w:right="4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6860" w:type="dxa"/>
            <w:vAlign w:val="bottom"/>
            <w:gridSpan w:val="7"/>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187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3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12"/>
          </w:tcPr>
          <w:p>
            <w:pPr>
              <w:ind w:left="120"/>
              <w:spacing w:after="0"/>
              <w:rPr>
                <w:sz w:val="20"/>
                <w:szCs w:val="20"/>
                <w:color w:val="auto"/>
              </w:rPr>
            </w:pPr>
            <w:r>
              <w:rPr>
                <w:rFonts w:ascii="Arial" w:cs="Arial" w:eastAsia="Arial" w:hAnsi="Arial"/>
                <w:sz w:val="14"/>
                <w:szCs w:val="14"/>
                <w:b w:val="1"/>
                <w:bCs w:val="1"/>
                <w:color w:val="auto"/>
              </w:rPr>
              <w:t>Quarters Ended March 31,</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60" w:type="dxa"/>
            <w:vAlign w:val="bottom"/>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Free Cash Flow Analysis (b) (c)</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20" w:type="dxa"/>
            <w:vAlign w:val="bottom"/>
          </w:tcPr>
          <w:p>
            <w:pPr>
              <w:spacing w:after="0"/>
              <w:rPr>
                <w:sz w:val="24"/>
                <w:szCs w:val="24"/>
                <w:color w:val="auto"/>
              </w:rPr>
            </w:pPr>
          </w:p>
        </w:tc>
        <w:tc>
          <w:tcPr>
            <w:tcW w:w="5940" w:type="dxa"/>
            <w:vAlign w:val="bottom"/>
            <w:gridSpan w:val="6"/>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721</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rPr>
              <w:t>(332)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gridSpan w:val="4"/>
          </w:tcPr>
          <w:p>
            <w:pPr>
              <w:spacing w:after="0"/>
              <w:rPr>
                <w:sz w:val="20"/>
                <w:szCs w:val="20"/>
                <w:color w:val="auto"/>
              </w:rPr>
            </w:pPr>
            <w:r>
              <w:rPr>
                <w:rFonts w:ascii="Arial" w:cs="Arial" w:eastAsia="Arial" w:hAnsi="Arial"/>
                <w:sz w:val="16"/>
                <w:szCs w:val="16"/>
                <w:color w:val="auto"/>
                <w:w w:val="95"/>
              </w:rPr>
              <w:t>Proceeds from divestitures of businesses and other assets (net of cash divested)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Borders>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22" w:lineRule="exact"/>
        <w:rPr>
          <w:rFonts w:ascii="Arial" w:cs="Arial" w:eastAsia="Arial" w:hAnsi="Arial"/>
          <w:sz w:val="16"/>
          <w:szCs w:val="16"/>
          <w:color w:val="auto"/>
        </w:rPr>
      </w:pPr>
    </w:p>
    <w:p>
      <w:pPr>
        <w:ind w:left="340" w:right="520" w:hanging="332"/>
        <w:spacing w:after="0" w:line="264"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Prior year information has been revised to reflect the adoption of ASU 2016-09 and conform to our current year presentation.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Quarters Ended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20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6420" w:type="dxa"/>
            <w:vAlign w:val="bottom"/>
            <w:tcBorders>
              <w:bottom w:val="single" w:sz="8" w:color="CCEEFF"/>
            </w:tcBorders>
            <w:gridSpan w:val="4"/>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9,042</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9,310</w:t>
            </w:r>
          </w:p>
        </w:tc>
        <w:tc>
          <w:tcPr>
            <w:tcW w:w="3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5"/>
          </w:tcPr>
          <w:p>
            <w:pPr>
              <w:ind w:left="7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14,580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14,906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Debt-to-total capital</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792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6"/>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gridSpan w:val="5"/>
            <w:vMerge w:val="restart"/>
          </w:tcPr>
          <w:p>
            <w:pPr>
              <w:ind w:left="340"/>
              <w:spacing w:after="0"/>
              <w:rPr>
                <w:sz w:val="20"/>
                <w:szCs w:val="20"/>
                <w:color w:val="auto"/>
              </w:rPr>
            </w:pPr>
            <w:r>
              <w:rPr>
                <w:rFonts w:ascii="Arial" w:cs="Arial" w:eastAsia="Arial" w:hAnsi="Arial"/>
                <w:sz w:val="18"/>
                <w:szCs w:val="18"/>
                <w:color w:val="auto"/>
              </w:rPr>
              <w:t>Cash paid for acquisitions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606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65.7%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792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6"/>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Sites accepting waste at the end of each period presented</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79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2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Cost basis of landfill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89.5</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93.5</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5"/>
          </w:tcPr>
          <w:p>
            <w:pPr>
              <w:ind w:left="700"/>
              <w:spacing w:after="0"/>
              <w:rPr>
                <w:sz w:val="20"/>
                <w:szCs w:val="20"/>
                <w:color w:val="auto"/>
              </w:rPr>
            </w:pPr>
            <w:r>
              <w:rPr>
                <w:rFonts w:ascii="Arial" w:cs="Arial" w:eastAsia="Arial" w:hAnsi="Arial"/>
                <w:sz w:val="18"/>
                <w:szCs w:val="18"/>
                <w:color w:val="auto"/>
              </w:rPr>
              <w:t>Total landfill amortization expense (b) (c)</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March 31, 2017 as compared to the quarter ended December 31, 2016 reflects an increase in amortization expense of approximately $21.5 million, primarily due to changes in landfill estimates identified in the prior quarter.</w:t>
      </w:r>
    </w:p>
    <w:p>
      <w:pPr>
        <w:ind w:left="460" w:right="1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March 31, 2017 as compared to the quarter ended March 31, 2016 reflects an increase in amortization expense of of approximately $14.9 million primarily due to increased volumes and changes in landfill estimates identified in both quarters.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20"/>
          </w:cols>
          <w:pgMar w:left="240" w:top="270" w:right="239" w:bottom="1440" w:gutter="0" w:footer="0" w:header="0"/>
        </w:sectPr>
      </w:pPr>
    </w:p>
    <w:bookmarkStart w:id="13" w:name="page14"/>
    <w:bookmarkEnd w:id="13"/>
    <w:p>
      <w:pPr>
        <w:jc w:val="center"/>
        <w:ind w:right="-2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72"/>
          </w:cols>
          <w:pgMar w:left="248" w:top="27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72"/>
        <w:spacing w:after="0"/>
        <w:rPr>
          <w:sz w:val="20"/>
          <w:szCs w:val="20"/>
          <w:color w:val="auto"/>
        </w:rPr>
      </w:pPr>
      <w:r>
        <w:rPr>
          <w:rFonts w:ascii="Arial" w:cs="Arial" w:eastAsia="Arial" w:hAnsi="Arial"/>
          <w:sz w:val="16"/>
          <w:szCs w:val="16"/>
          <w:b w:val="1"/>
          <w:bCs w:val="1"/>
          <w:i w:val="1"/>
          <w:iCs w:val="1"/>
          <w:color w:val="auto"/>
        </w:rPr>
        <w:t>Adjusted Net Income and Diluted Earnings Per Share</w:t>
      </w:r>
    </w:p>
    <w:p>
      <w:pPr>
        <w:spacing w:after="0" w:line="46"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Adjustments:</w:t>
      </w:r>
    </w:p>
    <w:p>
      <w:pPr>
        <w:spacing w:after="0" w:line="23" w:lineRule="exact"/>
        <w:rPr>
          <w:sz w:val="20"/>
          <w:szCs w:val="20"/>
          <w:color w:val="auto"/>
        </w:rPr>
      </w:pPr>
    </w:p>
    <w:p>
      <w:pPr>
        <w:ind w:left="1732"/>
        <w:spacing w:after="0"/>
        <w:rPr>
          <w:sz w:val="20"/>
          <w:szCs w:val="20"/>
          <w:color w:val="auto"/>
        </w:rPr>
      </w:pPr>
      <w:r>
        <w:rPr>
          <w:rFonts w:ascii="Arial" w:cs="Arial" w:eastAsia="Arial" w:hAnsi="Arial"/>
          <w:sz w:val="16"/>
          <w:szCs w:val="16"/>
          <w:color w:val="auto"/>
        </w:rPr>
        <w:t>Tax benefits related to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-116205</wp:posOffset>
            </wp:positionV>
            <wp:extent cx="55054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2"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Equity investment impairment</w:t>
      </w:r>
    </w:p>
    <w:p>
      <w:pPr>
        <w:spacing w:after="0" w:line="18"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Adjusted Net Income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-119380</wp:posOffset>
            </wp:positionV>
            <wp:extent cx="55054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12" w:right="1140"/>
        <w:spacing w:after="0" w:line="277" w:lineRule="auto"/>
        <w:rPr>
          <w:sz w:val="20"/>
          <w:szCs w:val="20"/>
          <w:color w:val="auto"/>
        </w:rPr>
      </w:pPr>
      <w:r>
        <w:rPr>
          <w:rFonts w:ascii="Arial" w:cs="Arial" w:eastAsia="Arial" w:hAnsi="Arial"/>
          <w:sz w:val="18"/>
          <w:szCs w:val="18"/>
          <w:b w:val="1"/>
          <w:bCs w:val="1"/>
          <w:i w:val="1"/>
          <w:iCs w:val="1"/>
          <w:color w:val="auto"/>
        </w:rPr>
        <w:t xml:space="preserve">Adjusted Tax Expense Reconciliation and Effective Tax Rate </w:t>
      </w:r>
      <w:r>
        <w:rPr>
          <w:rFonts w:ascii="Arial" w:cs="Arial" w:eastAsia="Arial" w:hAnsi="Arial"/>
          <w:sz w:val="18"/>
          <w:szCs w:val="18"/>
          <w:b w:val="1"/>
          <w:bCs w:val="1"/>
          <w:color w:val="auto"/>
        </w:rPr>
        <w:t>As reported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-156210</wp:posOffset>
            </wp:positionV>
            <wp:extent cx="608012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52"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Adjustments:</w:t>
      </w:r>
    </w:p>
    <w:p>
      <w:pPr>
        <w:spacing w:after="0" w:line="27"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Tax benefits related to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-130810</wp:posOffset>
            </wp:positionV>
            <wp:extent cx="608012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272"/>
        <w:spacing w:after="0"/>
        <w:rPr>
          <w:sz w:val="20"/>
          <w:szCs w:val="20"/>
          <w:color w:val="auto"/>
        </w:rPr>
      </w:pPr>
      <w:r>
        <w:rPr>
          <w:rFonts w:ascii="Arial" w:cs="Arial" w:eastAsia="Arial" w:hAnsi="Arial"/>
          <w:sz w:val="18"/>
          <w:szCs w:val="18"/>
          <w:color w:val="auto"/>
        </w:rPr>
        <w:t>Equity investment impairment</w:t>
      </w:r>
    </w:p>
    <w:p>
      <w:pPr>
        <w:spacing w:after="0" w:line="18"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As adjusted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-119380</wp:posOffset>
            </wp:positionV>
            <wp:extent cx="608012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Quarter Ended</w:t>
      </w:r>
    </w:p>
    <w:p>
      <w:pPr>
        <w:ind w:left="1100"/>
        <w:spacing w:after="0" w:line="236" w:lineRule="auto"/>
        <w:rPr>
          <w:sz w:val="20"/>
          <w:szCs w:val="20"/>
          <w:color w:val="auto"/>
        </w:rPr>
      </w:pPr>
      <w:r>
        <w:rPr>
          <w:rFonts w:ascii="Arial" w:cs="Arial" w:eastAsia="Arial" w:hAnsi="Arial"/>
          <w:sz w:val="14"/>
          <w:szCs w:val="14"/>
          <w:b w:val="1"/>
          <w:bCs w:val="1"/>
          <w:color w:val="auto"/>
        </w:rPr>
        <w:t>March 31,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4"/>
          </w:tcPr>
          <w:p>
            <w:pPr>
              <w:ind w:left="160"/>
              <w:spacing w:after="0" w:line="119" w:lineRule="exact"/>
              <w:rPr>
                <w:sz w:val="20"/>
                <w:szCs w:val="20"/>
                <w:color w:val="auto"/>
              </w:rPr>
            </w:pPr>
            <w:r>
              <w:rPr>
                <w:rFonts w:ascii="Arial" w:cs="Arial" w:eastAsia="Arial" w:hAnsi="Arial"/>
                <w:sz w:val="13"/>
                <w:szCs w:val="13"/>
                <w:b w:val="1"/>
                <w:bCs w:val="1"/>
                <w:color w:val="auto"/>
                <w:w w:val="98"/>
              </w:rPr>
              <w:t>Per Share</w:t>
            </w: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0.67</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0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235"/>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ind w:right="330"/>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0.06</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0.66</w:t>
            </w:r>
          </w:p>
        </w:tc>
        <w:tc>
          <w:tcPr>
            <w:tcW w:w="6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1"/>
              </w:rPr>
              <w:t>(a)</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6"/>
          </w:tcPr>
          <w:p>
            <w:pPr>
              <w:ind w:left="20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0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Pre-tax</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Tax</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Effective Tax</w:t>
            </w:r>
          </w:p>
        </w:tc>
        <w:tc>
          <w:tcPr>
            <w:tcW w:w="1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Income</w:t>
            </w:r>
          </w:p>
        </w:tc>
        <w:tc>
          <w:tcPr>
            <w:tcW w:w="360" w:type="dxa"/>
            <w:vAlign w:val="bottom"/>
            <w:gridSpan w:val="4"/>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Rate (b)</w:t>
            </w:r>
          </w:p>
        </w:tc>
        <w:tc>
          <w:tcPr>
            <w:tcW w:w="18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$ 434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31.7%</w:t>
            </w:r>
          </w:p>
        </w:tc>
      </w:tr>
      <w:tr>
        <w:trPr>
          <w:trHeight w:val="508"/>
        </w:trPr>
        <w:tc>
          <w:tcPr>
            <w:tcW w:w="20" w:type="dxa"/>
            <w:vAlign w:val="bottom"/>
          </w:tcPr>
          <w:p>
            <w:pPr>
              <w:spacing w:after="0"/>
              <w:rPr>
                <w:sz w:val="24"/>
                <w:szCs w:val="24"/>
                <w:color w:val="auto"/>
              </w:rPr>
            </w:pPr>
          </w:p>
        </w:tc>
        <w:tc>
          <w:tcPr>
            <w:tcW w:w="80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$ 459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b w:val="1"/>
                <w:bCs w:val="1"/>
                <w:color w:val="auto"/>
              </w:rPr>
              <w:t>36.8%</w:t>
            </w: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2">
            <w:col w:w="6552" w:space="720"/>
            <w:col w:w="3900"/>
          </w:cols>
          <w:pgMar w:left="248" w:top="270" w:right="479" w:bottom="1440" w:gutter="0" w:footer="0" w:header="0"/>
          <w:type w:val="continuous"/>
        </w:sectPr>
      </w:pPr>
    </w:p>
    <w:p>
      <w:pPr>
        <w:ind w:left="452" w:right="120" w:hanging="452"/>
        <w:spacing w:after="0" w:line="258"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First quarter 2017 adjusted earnings per diluted share increased 13.8% as compared with first quarter 2016 as reported earnings per diluted share of $0.58.</w:t>
      </w:r>
    </w:p>
    <w:p>
      <w:pPr>
        <w:spacing w:after="0" w:line="1" w:lineRule="exact"/>
        <w:rPr>
          <w:rFonts w:ascii="Arial" w:cs="Arial" w:eastAsia="Arial" w:hAnsi="Arial"/>
          <w:sz w:val="18"/>
          <w:szCs w:val="18"/>
          <w:b w:val="1"/>
          <w:bCs w:val="1"/>
          <w:color w:val="auto"/>
        </w:rPr>
      </w:pPr>
    </w:p>
    <w:p>
      <w:pPr>
        <w:ind w:left="452" w:hanging="452"/>
        <w:spacing w:after="0" w:line="261" w:lineRule="auto"/>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12" w:lineRule="exact"/>
        <w:rPr>
          <w:sz w:val="20"/>
          <w:szCs w:val="20"/>
          <w:color w:val="auto"/>
        </w:rPr>
      </w:pPr>
    </w:p>
    <w:p>
      <w:pPr>
        <w:jc w:val="center"/>
        <w:ind w:right="-231"/>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172"/>
          </w:cols>
          <w:pgMar w:left="248" w:top="270" w:right="479" w:bottom="1440" w:gutter="0" w:footer="0" w:header="0"/>
          <w:type w:val="continuous"/>
        </w:sectPr>
      </w:pPr>
    </w:p>
    <w:bookmarkStart w:id="14" w:name="page15"/>
    <w:bookmarkEnd w:id="14"/>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Quarter Ended</w:t>
      </w:r>
    </w:p>
    <w:p>
      <w:pPr>
        <w:jc w:val="center"/>
        <w:ind w:left="66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72" w:type="dxa"/>
        <w:tblCellMar>
          <w:top w:w="0" w:type="dxa"/>
          <w:left w:w="0" w:type="dxa"/>
          <w:bottom w:w="0" w:type="dxa"/>
          <w:right w:w="0" w:type="dxa"/>
        </w:tblCellMar>
      </w:tblPr>
      <w:tr>
        <w:trPr>
          <w:trHeight w:val="142"/>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Income from Operations and Operating EBITDA</w:t>
            </w: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7"/>
                <w:szCs w:val="17"/>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EBITDA, as reported (a)</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 xml:space="preserve">2017 Projected Free Cash Flow Reconciliation </w:t>
            </w:r>
            <w:r>
              <w:rPr>
                <w:rFonts w:ascii="Arial" w:cs="Arial" w:eastAsia="Arial" w:hAnsi="Arial"/>
                <w:sz w:val="18"/>
                <w:szCs w:val="18"/>
                <w:b w:val="1"/>
                <w:bCs w:val="1"/>
                <w:color w:val="auto"/>
              </w:rPr>
              <w:t>(b)</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1020" w:type="dxa"/>
            <w:vAlign w:val="bottom"/>
            <w:gridSpan w:val="4"/>
          </w:tcPr>
          <w:p>
            <w:pPr>
              <w:jc w:val="center"/>
              <w:ind w:left="59"/>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First quarter 2017 as reported operating EBITDA increased $66 million, or 8.0%, as compared with the first quarter of 2016.</w:t>
      </w:r>
    </w:p>
    <w:p>
      <w:pPr>
        <w:spacing w:after="0" w:line="23" w:lineRule="exact"/>
        <w:rPr>
          <w:rFonts w:ascii="Arial" w:cs="Arial" w:eastAsia="Arial" w:hAnsi="Arial"/>
          <w:sz w:val="18"/>
          <w:szCs w:val="18"/>
          <w:b w:val="1"/>
          <w:bCs w:val="1"/>
          <w:color w:val="auto"/>
        </w:rPr>
      </w:pPr>
    </w:p>
    <w:p>
      <w:pPr>
        <w:ind w:left="452" w:hanging="452"/>
        <w:spacing w:after="0" w:line="290" w:lineRule="auto"/>
        <w:tabs>
          <w:tab w:leader="none" w:pos="452"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2017. The amounts used in the reconciliation are subject to many variables, some of which are not under our control and, therefore, are not necessarily indicative of actual results.</w:t>
      </w:r>
    </w:p>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(8)</w:t>
      </w:r>
    </w:p>
    <w:sectPr>
      <w:pgSz w:w="11900" w:h="16838" w:orient="portrait"/>
      <w:cols w:equalWidth="0" w:num="1">
        <w:col w:w="11292"/>
      </w:cols>
      <w:pgMar w:left="248"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2019-12-05T16:14:29Z</dcterms:created>
  <dcterms:modified xsi:type="dcterms:W3CDTF">2019-12-05T16:14:29Z</dcterms:modified>
</cp:coreProperties>
</file>